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昌吉州食品药品安全稽查支队2020年部门预算公开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昌吉州食品药品安全稽查支队单位概况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一、关于昌吉州食品药品安全稽查支队2020年收支预算情况的总体说明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二、关于昌吉州食品药品安全稽查支队2020年收入预算情况说明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三、关于昌吉州食品药品安全稽查支队2020年支出预算情况说明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四、关于昌吉州食品药品安全稽查支队2020年财政拨款收支预算情况的总体说明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五、关于昌吉州食品药品安全稽查支队2020年一般公共预算当年拨款情况说明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六、关于昌吉州食品药品安全稽查支队2020年一般公共预算基本支出情况说明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七、关于昌吉州食品药品安全稽查支队2020年项目支出情况说明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八、关于昌吉州食品药品安全稽查支队2020年一般公共预算“三公”经费预算情况说明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九、关于昌吉州食品药品安全稽查支队2020年政府性基金预算拨款情况说明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宋体" w:eastAsia="仿宋_GB2312"/>
          <w:b/>
          <w:kern w:val="0"/>
          <w:sz w:val="32"/>
          <w:szCs w:val="32"/>
        </w:rPr>
        <w:t>昌吉州食品药品安全稽查支队</w:t>
      </w:r>
      <w:r>
        <w:rPr>
          <w:rFonts w:hint="eastAsia" w:ascii="黑体" w:hAnsi="黑体" w:eastAsia="黑体"/>
          <w:kern w:val="0"/>
          <w:sz w:val="32"/>
          <w:szCs w:val="32"/>
        </w:rPr>
        <w:t>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仿宋" w:eastAsia="仿宋_GB2312"/>
          <w:sz w:val="32"/>
          <w:szCs w:val="32"/>
        </w:rPr>
        <w:t>承担自治州餐饮服务食品、保健食品、化妆品的执法监督工作。</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rPr>
        <w:t>昌吉州食品药品安全稽查支队</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0</w:t>
      </w:r>
      <w:r>
        <w:rPr>
          <w:rFonts w:hint="eastAsia" w:ascii="仿宋_GB2312" w:hAnsi="黑体" w:eastAsia="仿宋_GB2312" w:cs="宋体"/>
          <w:bCs/>
          <w:kern w:val="0"/>
          <w:sz w:val="32"/>
          <w:szCs w:val="32"/>
        </w:rPr>
        <w:t>个科室</w:t>
      </w:r>
      <w:r>
        <w:rPr>
          <w:rFonts w:hint="eastAsia" w:ascii="仿宋_GB2312" w:hAnsi="宋体" w:eastAsia="仿宋_GB2312" w:cs="宋体"/>
          <w:kern w:val="0"/>
          <w:sz w:val="32"/>
          <w:szCs w:val="32"/>
        </w:rPr>
        <w:t>。</w:t>
      </w:r>
    </w:p>
    <w:p>
      <w:pPr>
        <w:widowControl/>
        <w:spacing w:line="560" w:lineRule="exact"/>
        <w:ind w:firstLine="640" w:firstLineChars="200"/>
        <w:outlineLvl w:val="1"/>
        <w:rPr>
          <w:rFonts w:ascii="仿宋_GB2312" w:hAnsi="宋体" w:eastAsia="仿宋_GB2312" w:cs="宋体"/>
          <w:kern w:val="0"/>
          <w:sz w:val="32"/>
          <w:szCs w:val="32"/>
        </w:rPr>
      </w:pPr>
      <w:r>
        <w:rPr>
          <w:rFonts w:hint="eastAsia" w:ascii="仿宋_GB2312" w:hAnsi="宋体" w:eastAsia="仿宋_GB2312"/>
          <w:kern w:val="0"/>
          <w:sz w:val="32"/>
          <w:szCs w:val="32"/>
        </w:rPr>
        <w:t>昌吉州食品药品安全稽查支队</w:t>
      </w:r>
      <w:r>
        <w:rPr>
          <w:rFonts w:hint="eastAsia" w:ascii="仿宋_GB2312" w:hAnsi="宋体" w:eastAsia="仿宋_GB2312" w:cs="宋体"/>
          <w:kern w:val="0"/>
          <w:sz w:val="32"/>
          <w:szCs w:val="32"/>
        </w:rPr>
        <w:t>编制数11，实有人数10人，其中：在职10人，增加0人； 退休0人，增加0人；离休0人，增加0人。</w:t>
      </w: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line="560" w:lineRule="exact"/>
        <w:jc w:val="center"/>
        <w:outlineLvl w:val="1"/>
        <w:rPr>
          <w:rFonts w:ascii="黑体" w:hAnsi="黑体" w:eastAsia="黑体"/>
          <w:kern w:val="0"/>
          <w:sz w:val="32"/>
          <w:szCs w:val="32"/>
        </w:rPr>
      </w:pPr>
    </w:p>
    <w:p>
      <w:pPr>
        <w:widowControl/>
        <w:spacing w:before="120" w:beforeLines="50"/>
        <w:jc w:val="both"/>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编制部门：昌吉州食品药品安全稽查支队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127.27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127.27　</w:t>
            </w:r>
          </w:p>
        </w:tc>
      </w:tr>
      <w:tr>
        <w:tblPrEx>
          <w:tblCellMar>
            <w:top w:w="0" w:type="dxa"/>
            <w:left w:w="108" w:type="dxa"/>
            <w:bottom w:w="0" w:type="dxa"/>
            <w:right w:w="108" w:type="dxa"/>
          </w:tblCellMar>
        </w:tblPrEx>
        <w:trPr>
          <w:trHeight w:val="320"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127.27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127.27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127.27</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127.27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127.27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8"/>
          <w:szCs w:val="28"/>
        </w:rPr>
        <w:t xml:space="preserve">填报部门：昌吉州食品药品安全稽查支队 </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506"/>
        <w:gridCol w:w="465"/>
        <w:gridCol w:w="525"/>
        <w:gridCol w:w="1900"/>
        <w:gridCol w:w="820"/>
        <w:gridCol w:w="835"/>
        <w:gridCol w:w="525"/>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w:t>
            </w: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190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127.27</w:t>
            </w:r>
          </w:p>
        </w:tc>
        <w:tc>
          <w:tcPr>
            <w:tcW w:w="83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127.27</w:t>
            </w:r>
          </w:p>
        </w:tc>
        <w:tc>
          <w:tcPr>
            <w:tcW w:w="52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127.27</w:t>
            </w:r>
          </w:p>
        </w:tc>
        <w:tc>
          <w:tcPr>
            <w:tcW w:w="8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127.27</w:t>
            </w:r>
          </w:p>
        </w:tc>
        <w:tc>
          <w:tcPr>
            <w:tcW w:w="5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编制部门：昌吉州食品药品安全稽查支队              单位：万元</w:t>
      </w:r>
    </w:p>
    <w:tbl>
      <w:tblPr>
        <w:tblStyle w:val="7"/>
        <w:tblW w:w="9420" w:type="dxa"/>
        <w:tblInd w:w="-240" w:type="dxa"/>
        <w:tblLayout w:type="fixed"/>
        <w:tblCellMar>
          <w:top w:w="0" w:type="dxa"/>
          <w:left w:w="108" w:type="dxa"/>
          <w:bottom w:w="0" w:type="dxa"/>
          <w:right w:w="108" w:type="dxa"/>
        </w:tblCellMar>
      </w:tblPr>
      <w:tblGrid>
        <w:gridCol w:w="491"/>
        <w:gridCol w:w="435"/>
        <w:gridCol w:w="435"/>
        <w:gridCol w:w="244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20"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201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38</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50</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事业运行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127.27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127.27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127.27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127.27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编制部门：昌吉州食品药品安全稽查支队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127.27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127.27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127.27</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127.27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127.27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127.27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127.27</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编制部门：昌吉州食品药品安全稽查支队</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127.27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127.27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38</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50</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事业运行</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127.27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127.27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color w:val="000000"/>
                <w:kern w:val="0"/>
                <w:sz w:val="18"/>
                <w:szCs w:val="18"/>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366" w:hRule="atLeast"/>
        </w:trPr>
        <w:tc>
          <w:tcPr>
            <w:tcW w:w="6902"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编制部门：昌吉州食品药品安全稽查支队</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伙食补助费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基础性</w:t>
            </w:r>
            <w:r>
              <w:rPr>
                <w:rFonts w:ascii="仿宋_GB2312" w:hAnsi="宋体" w:eastAsia="仿宋_GB2312" w:cs="宋体"/>
                <w:color w:val="000000"/>
                <w:kern w:val="0"/>
                <w:sz w:val="24"/>
                <w:szCs w:val="24"/>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16.15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16.15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奖励性</w:t>
            </w:r>
            <w:r>
              <w:rPr>
                <w:rFonts w:ascii="仿宋_GB2312" w:hAnsi="宋体" w:eastAsia="仿宋_GB2312" w:cs="宋体"/>
                <w:color w:val="000000"/>
                <w:kern w:val="0"/>
                <w:sz w:val="24"/>
                <w:szCs w:val="24"/>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9.24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8.82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11.76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职工基本医疗保险缴费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5.24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公务员医疗补助缴费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2.21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0.24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0.24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ascii="仿宋_GB2312" w:hAnsi="宋体" w:eastAsia="仿宋_GB2312" w:cs="宋体"/>
                <w:color w:val="000000"/>
                <w:kern w:val="0"/>
                <w:sz w:val="24"/>
                <w:szCs w:val="24"/>
              </w:rPr>
              <w:t>0.</w:t>
            </w:r>
            <w:r>
              <w:rPr>
                <w:rFonts w:hint="eastAsia" w:ascii="仿宋_GB2312" w:hAnsi="宋体" w:eastAsia="仿宋_GB2312" w:cs="宋体"/>
                <w:color w:val="000000"/>
                <w:kern w:val="0"/>
                <w:sz w:val="24"/>
                <w:szCs w:val="24"/>
                <w:lang w:val="en-US" w:eastAsia="zh-CN"/>
              </w:rPr>
              <w:t>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r>
              <w:rPr>
                <w:rFonts w:hint="eastAsia" w:ascii="仿宋_GB2312" w:hAnsi="宋体" w:eastAsia="仿宋_GB2312" w:cs="宋体"/>
                <w:color w:val="000000"/>
                <w:kern w:val="0"/>
                <w:sz w:val="24"/>
                <w:szCs w:val="24"/>
                <w:lang w:val="en-US" w:eastAsia="zh-CN"/>
              </w:rPr>
              <w:t>10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4"/>
                <w:szCs w:val="24"/>
                <w:lang w:val="en-US" w:eastAsia="zh-CN"/>
              </w:rPr>
            </w:pPr>
            <w:r>
              <w:rPr>
                <w:rFonts w:ascii="仿宋_GB2312" w:hAnsi="宋体" w:eastAsia="仿宋_GB2312" w:cs="宋体"/>
                <w:color w:val="000000"/>
                <w:kern w:val="0"/>
                <w:sz w:val="24"/>
                <w:szCs w:val="24"/>
              </w:rPr>
              <w:t>0.</w:t>
            </w:r>
            <w:r>
              <w:rPr>
                <w:rFonts w:hint="eastAsia" w:ascii="仿宋_GB2312" w:hAnsi="宋体" w:eastAsia="仿宋_GB2312" w:cs="宋体"/>
                <w:color w:val="000000"/>
                <w:kern w:val="0"/>
                <w:sz w:val="24"/>
                <w:szCs w:val="24"/>
                <w:lang w:val="en-US" w:eastAsia="zh-CN"/>
              </w:rPr>
              <w:t>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r>
              <w:rPr>
                <w:rFonts w:hint="eastAsia" w:ascii="仿宋_GB2312" w:hAnsi="宋体" w:eastAsia="仿宋_GB2312" w:cs="宋体"/>
                <w:color w:val="000000"/>
                <w:kern w:val="0"/>
                <w:sz w:val="24"/>
                <w:szCs w:val="24"/>
                <w:lang w:val="en-US" w:eastAsia="zh-CN"/>
              </w:rPr>
              <w:t>24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其他交通费用</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0.24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其他商品和服务支出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127.27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115.71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11.56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p>
      <w:pPr>
        <w:widowControl/>
        <w:jc w:val="left"/>
        <w:outlineLvl w:val="1"/>
        <w:rPr>
          <w:rFonts w:ascii="仿宋_GB2312" w:hAnsi="宋体" w:eastAsia="仿宋_GB2312"/>
          <w:b/>
          <w:kern w:val="0"/>
          <w:sz w:val="32"/>
          <w:szCs w:val="32"/>
        </w:rPr>
      </w:pPr>
    </w:p>
    <w:tbl>
      <w:tblPr>
        <w:tblStyle w:val="7"/>
        <w:tblW w:w="9541" w:type="dxa"/>
        <w:tblInd w:w="-360" w:type="dxa"/>
        <w:tblLayout w:type="fixed"/>
        <w:tblCellMar>
          <w:top w:w="0" w:type="dxa"/>
          <w:left w:w="108" w:type="dxa"/>
          <w:bottom w:w="0" w:type="dxa"/>
          <w:right w:w="108" w:type="dxa"/>
        </w:tblCellMar>
      </w:tblPr>
      <w:tblGrid>
        <w:gridCol w:w="8"/>
        <w:gridCol w:w="482"/>
        <w:gridCol w:w="464"/>
        <w:gridCol w:w="480"/>
        <w:gridCol w:w="607"/>
        <w:gridCol w:w="1455"/>
        <w:gridCol w:w="750"/>
        <w:gridCol w:w="571"/>
        <w:gridCol w:w="536"/>
        <w:gridCol w:w="652"/>
        <w:gridCol w:w="651"/>
        <w:gridCol w:w="377"/>
        <w:gridCol w:w="203"/>
        <w:gridCol w:w="419"/>
        <w:gridCol w:w="578"/>
        <w:gridCol w:w="420"/>
        <w:gridCol w:w="420"/>
        <w:gridCol w:w="386"/>
        <w:gridCol w:w="82"/>
      </w:tblGrid>
      <w:tr>
        <w:tblPrEx>
          <w:tblCellMar>
            <w:top w:w="0" w:type="dxa"/>
            <w:left w:w="108" w:type="dxa"/>
            <w:bottom w:w="0" w:type="dxa"/>
            <w:right w:w="108" w:type="dxa"/>
          </w:tblCellMar>
        </w:tblPrEx>
        <w:trPr>
          <w:gridBefore w:val="1"/>
          <w:gridAfter w:val="1"/>
          <w:wBefore w:w="8" w:type="dxa"/>
          <w:wAfter w:w="82" w:type="dxa"/>
          <w:trHeight w:val="375" w:hRule="atLeast"/>
        </w:trPr>
        <w:tc>
          <w:tcPr>
            <w:tcW w:w="9451"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2" w:type="dxa"/>
          <w:trHeight w:val="397" w:hRule="atLeast"/>
        </w:trPr>
        <w:tc>
          <w:tcPr>
            <w:tcW w:w="7025" w:type="dxa"/>
            <w:gridSpan w:val="11"/>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编制部门：昌吉州食品药品安全稽查支队</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4"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07" w:type="dxa"/>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5" w:type="dxa"/>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71"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1"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80"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9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4"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8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0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571"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536"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652"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651"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580" w:type="dxa"/>
            <w:gridSpan w:val="2"/>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419"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578"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42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42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c>
          <w:tcPr>
            <w:tcW w:w="468" w:type="dxa"/>
            <w:gridSpan w:val="2"/>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71"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580"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center"/>
              <w:outlineLvl w:val="1"/>
              <w:rPr>
                <w:rFonts w:ascii="仿宋_GB2312" w:hAnsi="宋体" w:eastAsia="仿宋_GB2312"/>
                <w:kern w:val="0"/>
                <w:sz w:val="18"/>
                <w:szCs w:val="18"/>
              </w:rPr>
            </w:pPr>
          </w:p>
        </w:tc>
        <w:tc>
          <w:tcPr>
            <w:tcW w:w="464" w:type="dxa"/>
            <w:shd w:val="clear" w:color="auto" w:fill="auto"/>
          </w:tcPr>
          <w:p>
            <w:pPr>
              <w:widowControl/>
              <w:jc w:val="center"/>
              <w:outlineLvl w:val="1"/>
              <w:rPr>
                <w:rFonts w:ascii="仿宋_GB2312" w:hAnsi="宋体" w:eastAsia="仿宋_GB2312"/>
                <w:kern w:val="0"/>
                <w:sz w:val="18"/>
                <w:szCs w:val="18"/>
              </w:rPr>
            </w:pPr>
          </w:p>
        </w:tc>
        <w:tc>
          <w:tcPr>
            <w:tcW w:w="480" w:type="dxa"/>
            <w:shd w:val="clear" w:color="auto" w:fill="auto"/>
          </w:tcPr>
          <w:p>
            <w:pPr>
              <w:widowControl/>
              <w:jc w:val="center"/>
              <w:outlineLvl w:val="1"/>
              <w:rPr>
                <w:rFonts w:ascii="仿宋_GB2312" w:hAnsi="宋体" w:eastAsia="仿宋_GB2312"/>
                <w:kern w:val="0"/>
                <w:sz w:val="18"/>
                <w:szCs w:val="18"/>
              </w:rPr>
            </w:pPr>
          </w:p>
        </w:tc>
        <w:tc>
          <w:tcPr>
            <w:tcW w:w="607" w:type="dxa"/>
            <w:shd w:val="clear" w:color="auto" w:fill="auto"/>
          </w:tcPr>
          <w:p>
            <w:pPr>
              <w:widowControl/>
              <w:jc w:val="center"/>
              <w:outlineLvl w:val="1"/>
              <w:rPr>
                <w:rFonts w:ascii="仿宋_GB2312" w:hAnsi="宋体" w:eastAsia="仿宋_GB2312"/>
                <w:kern w:val="0"/>
                <w:sz w:val="18"/>
                <w:szCs w:val="18"/>
              </w:rPr>
            </w:pPr>
          </w:p>
        </w:tc>
        <w:tc>
          <w:tcPr>
            <w:tcW w:w="145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571"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536"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652"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651"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580" w:type="dxa"/>
            <w:gridSpan w:val="2"/>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419"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578"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420"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420" w:type="dxa"/>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c>
          <w:tcPr>
            <w:tcW w:w="468" w:type="dxa"/>
            <w:gridSpan w:val="2"/>
            <w:shd w:val="clear" w:color="auto" w:fill="auto"/>
          </w:tcPr>
          <w:p>
            <w:pPr>
              <w:widowControl/>
              <w:jc w:val="left"/>
              <w:outlineLvl w:val="1"/>
              <w:rPr>
                <w:rFonts w:ascii="仿宋_GB2312" w:hAnsi="宋体" w:eastAsia="仿宋_GB2312"/>
                <w:b/>
                <w:kern w:val="0"/>
                <w:sz w:val="18"/>
                <w:szCs w:val="18"/>
              </w:rPr>
            </w:pPr>
          </w:p>
          <w:p>
            <w:pPr>
              <w:widowControl/>
              <w:jc w:val="left"/>
              <w:outlineLvl w:val="1"/>
              <w:rPr>
                <w:rFonts w:ascii="仿宋_GB2312" w:hAnsi="宋体" w:eastAsia="仿宋_GB2312"/>
                <w:kern w:val="0"/>
                <w:sz w:val="18"/>
                <w:szCs w:val="18"/>
              </w:rPr>
            </w:pPr>
            <w:r>
              <w:rPr>
                <w:rFonts w:hint="eastAsia" w:ascii="仿宋_GB2312" w:hAnsi="宋体" w:eastAsia="仿宋_GB2312"/>
                <w:b/>
                <w:kern w:val="0"/>
                <w:sz w:val="18"/>
                <w:szCs w:val="18"/>
              </w:rPr>
              <w:t>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备注：我单位2020年预算未安排项目支出，此报表为空表。</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编制单位：昌吉州食品药品安全稽查支队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备注：我单位2020年未安排三公经费支出，此报表为空表。</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编制单位：昌吉州食品药品安全稽查支队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r>
    </w:tbl>
    <w:p>
      <w:pPr>
        <w:widowControl/>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备注：我单位2020年未安排政府性基金预算，此报表为空表。</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仿宋_GB2312" w:hAnsi="宋体" w:eastAsia="仿宋_GB2312"/>
          <w:b/>
          <w:kern w:val="0"/>
          <w:sz w:val="32"/>
          <w:szCs w:val="32"/>
        </w:rPr>
        <w:t>昌吉州食品药品安全稽查支队</w:t>
      </w:r>
      <w:r>
        <w:rPr>
          <w:rFonts w:hint="eastAsia" w:ascii="黑体" w:hAnsi="宋体" w:eastAsia="黑体" w:cs="宋体"/>
          <w:kern w:val="0"/>
          <w:sz w:val="32"/>
          <w:szCs w:val="32"/>
        </w:rPr>
        <w:t>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按照全口径预算的原则，昌吉州食品药品安全稽查支队2020年所有收入和支出均纳入部门预算管理。收支总预算    127.27万元。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二、关于昌吉州食品药品安全稽查支队2020年收入预算情况说明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昌吉州食品药品安全稽查支队收入预算127.27万元，其中：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一般公共预算127.27万元，占100%，比上年增加0.02万元，主要原因是人员工资正常涨幅，压减三公经费预算；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政府性基金预算未安排。比上年增加0万元，主要原因是预算未安排。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三、关于昌吉州食品药品安全稽查支队2020年支出预算情况说明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b w:val="0"/>
          <w:bCs/>
          <w:kern w:val="0"/>
          <w:sz w:val="32"/>
          <w:szCs w:val="32"/>
        </w:rPr>
        <w:t>昌吉州食品药品安全稽查支队</w:t>
      </w:r>
      <w:r>
        <w:rPr>
          <w:rFonts w:hint="eastAsia" w:ascii="仿宋_GB2312" w:hAnsi="宋体" w:eastAsia="仿宋_GB2312" w:cs="宋体"/>
          <w:kern w:val="0"/>
          <w:sz w:val="32"/>
          <w:szCs w:val="32"/>
        </w:rPr>
        <w:t>2020年支出预算127.27万元，其中：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基本支出127.27万元，占100%，比上年增加0.02万元，主要原因是人员工资正常涨幅，压减三公经费预算；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项目支出0万元，占0 %，比上年增加0万元，主要原因是预算未安排。</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四、关于昌吉州食品药品安全稽查支队2020年财政拨款收支预算情况的总体说明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w:t>
      </w:r>
      <w:r>
        <w:rPr>
          <w:rFonts w:hint="eastAsia" w:ascii="仿宋_GB2312" w:hAnsi="宋体" w:eastAsia="仿宋_GB2312" w:cs="宋体"/>
          <w:kern w:val="0"/>
          <w:sz w:val="32"/>
          <w:szCs w:val="32"/>
          <w:lang w:val="en-US" w:eastAsia="zh-CN"/>
        </w:rPr>
        <w:t>127.27</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color w:val="000000" w:themeColor="text1"/>
          <w:spacing w:val="-6"/>
          <w:kern w:val="0"/>
          <w:sz w:val="32"/>
          <w:szCs w:val="32"/>
          <w14:textFill>
            <w14:solidFill>
              <w14:schemeClr w14:val="tx1"/>
            </w14:solidFill>
          </w14:textFill>
        </w:rPr>
      </w:pPr>
      <w:r>
        <w:rPr>
          <w:rFonts w:hint="eastAsia" w:ascii="仿宋_GB2312" w:hAnsi="宋体" w:eastAsia="仿宋_GB2312" w:cs="宋体"/>
          <w:color w:val="000000" w:themeColor="text1"/>
          <w:spacing w:val="-6"/>
          <w:kern w:val="0"/>
          <w:sz w:val="32"/>
          <w:szCs w:val="32"/>
          <w14:textFill>
            <w14:solidFill>
              <w14:schemeClr w14:val="tx1"/>
            </w14:solidFill>
          </w14:textFill>
        </w:rPr>
        <w:t>收入全部为一般公共预算拨款，无政府性基金预算拨款。</w:t>
      </w:r>
    </w:p>
    <w:p>
      <w:pPr>
        <w:spacing w:line="560" w:lineRule="exact"/>
        <w:ind w:firstLine="640" w:firstLineChars="200"/>
        <w:rPr>
          <w:rFonts w:hint="eastAsia" w:ascii="仿宋_GB2312" w:hAnsi="宋体" w:eastAsia="仿宋_GB2312" w:cs="宋体"/>
          <w:color w:val="000000" w:themeColor="text1"/>
          <w:spacing w:val="-6"/>
          <w:kern w:val="0"/>
          <w:sz w:val="32"/>
          <w:szCs w:val="32"/>
          <w14:textFill>
            <w14:solidFill>
              <w14:schemeClr w14:val="tx1"/>
            </w14:solidFill>
          </w14:textFill>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127.27</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市场监督管理事务支出。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五、关于昌吉州食品药品安全稽查支队2020年一般公共预算当年拨款情况说明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昌吉州食品药品安全稽查支队2020年一般公共预算拨款基本支出127.27万元，比上年执行数增加0.02万元，增长0.02 %。主要原因是：人员工资正常涨幅，压减三公经费预算。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一般公共服务（类）127.27万</w:t>
      </w:r>
      <w:r>
        <w:rPr>
          <w:rFonts w:hint="eastAsia" w:ascii="仿宋_GB2312" w:hAnsi="宋体" w:eastAsia="仿宋_GB2312" w:cs="宋体"/>
          <w:kern w:val="0"/>
          <w:sz w:val="32"/>
          <w:szCs w:val="32"/>
        </w:rPr>
        <w:t>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127.27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比上年执行数增加0.02万元，增长0.02%，主要原因是：人员工资正常涨幅，压减三公经费预算。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六、关于昌吉州食品药品安全稽查支队2020年一般公共预算基本支出情况说明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昌吉州食品药品安全稽查支队2020年一般公共预算基本支出127.27万元，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115.71万元，主要包括：基本工资45万元、奖金3.11万元、伙食补助费12.60万元、绩效工资25.39万元、机关事业单位基本养老保险缴费11.76万元、职工基本医疗保险缴费5.24万元、公务员医疗补助缴费2.21万元、其他社会保障缴费0.58万元、住房公积金8.82万元、职工住宅取暖费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公用经费11.56万元，主要包括：办公费2.2万元、水费0.35万元、电费0.9万元、物业管理费2万元、差旅费2万元、工会经费0.9万元、福利费2.07万元、其他交通费用0.24万元、其他商品和服务支出0.9万元。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七、关于昌吉州食品药品安全稽查支队2020年项目支出情况说明</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昌吉州食品药品安全稽查支队2020年预算没有安排项目支出，项目支出支出情况表为空表。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八、关于昌吉州食品药品安全稽查支队2020年一般公共预算“三公”经费预算情况说明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昌吉州食品药品安全稽查支队2020年“三公”经费财政拨款预算数为0万元，其中：因公出国（境）费0万元，公务用车购置0万元，公务用车运行费0万元，公务接待费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2020年“三公”经费财政拨款预算比上年减少2.23万元，其中：因公出国（境）费增加</w:t>
      </w:r>
      <w:bookmarkStart w:id="0" w:name="_GoBack"/>
      <w:bookmarkEnd w:id="0"/>
      <w:r>
        <w:rPr>
          <w:rFonts w:hint="eastAsia" w:ascii="仿宋_GB2312" w:hAnsi="宋体" w:eastAsia="仿宋_GB2312" w:cs="宋体"/>
          <w:kern w:val="0"/>
          <w:sz w:val="32"/>
          <w:szCs w:val="32"/>
        </w:rPr>
        <w:t>0万元，主要原因是未安排预算</w:t>
      </w:r>
      <w:r>
        <w:rPr>
          <w:rFonts w:hint="eastAsia" w:ascii="仿宋_GB2312" w:hAnsi="宋体" w:eastAsia="仿宋_GB2312" w:cs="宋体"/>
          <w:kern w:val="0"/>
          <w:sz w:val="32"/>
          <w:szCs w:val="32"/>
          <w:highlight w:val="none"/>
        </w:rPr>
        <w:t>；公务用车购置费为0</w:t>
      </w:r>
      <w:r>
        <w:rPr>
          <w:rFonts w:hint="eastAsia" w:ascii="仿宋_GB2312" w:hAnsi="宋体" w:eastAsia="仿宋_GB2312" w:cs="宋体"/>
          <w:kern w:val="0"/>
          <w:sz w:val="32"/>
          <w:szCs w:val="32"/>
          <w:highlight w:val="none"/>
          <w:lang w:eastAsia="zh-CN"/>
        </w:rPr>
        <w:t>万元</w:t>
      </w:r>
      <w:r>
        <w:rPr>
          <w:rFonts w:hint="eastAsia" w:ascii="仿宋_GB2312" w:hAnsi="宋体" w:eastAsia="仿宋_GB2312" w:cs="宋体"/>
          <w:kern w:val="0"/>
          <w:sz w:val="32"/>
          <w:szCs w:val="32"/>
          <w:highlight w:val="none"/>
        </w:rPr>
        <w:t>，未</w:t>
      </w:r>
      <w:r>
        <w:rPr>
          <w:rFonts w:hint="eastAsia" w:ascii="仿宋_GB2312" w:hAnsi="宋体" w:eastAsia="仿宋_GB2312" w:cs="宋体"/>
          <w:kern w:val="0"/>
          <w:sz w:val="32"/>
          <w:szCs w:val="32"/>
        </w:rPr>
        <w:t>安排预算；公务用车运行费减少2.08万元，主要原因是压减公务用车运行维护费支出预算；公务接待费减少0.15万元，主要原因是压减公务接待支出预算。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仿宋_GB2312" w:hAnsi="宋体" w:eastAsia="仿宋_GB2312"/>
          <w:b/>
          <w:kern w:val="0"/>
          <w:sz w:val="32"/>
          <w:szCs w:val="32"/>
        </w:rPr>
        <w:t>昌吉州食品药品安全稽查支队</w:t>
      </w:r>
      <w:r>
        <w:rPr>
          <w:rFonts w:hint="eastAsia" w:ascii="黑体" w:hAnsi="宋体" w:eastAsia="黑体" w:cs="宋体"/>
          <w:kern w:val="0"/>
          <w:sz w:val="32"/>
          <w:szCs w:val="32"/>
        </w:rPr>
        <w:t>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昌吉州食品药品安全稽查支队2020年没有使用政府性基金预算拨款安排的支出，政府性基金预算支出情况表为空表。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2020年，昌吉州食品药品安全稽查支队</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机关运行经费财政拨款预算11.56万元，比上年预算减少0.85万元，下降6.85 %。主要原因是压减三公经费支出预算。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2020年，昌吉州食品药品安全稽查支队政府采购预算   0万元，其中：政府采购货物预算0万元，政府采购工程预算0万元，政府采购服务预算0万元。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截至2019年底，昌吉州食品药品安全稽查支队占用使用国有资产总体情况为：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3.办公家具价值:1.11万元。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tbl>
      <w:tblPr>
        <w:tblStyle w:val="7"/>
        <w:tblW w:w="8522" w:type="dxa"/>
        <w:tblInd w:w="0" w:type="dxa"/>
        <w:tblLayout w:type="fixed"/>
        <w:tblCellMar>
          <w:top w:w="0" w:type="dxa"/>
          <w:left w:w="108" w:type="dxa"/>
          <w:bottom w:w="0" w:type="dxa"/>
          <w:right w:w="108" w:type="dxa"/>
        </w:tblCellMar>
      </w:tblPr>
      <w:tblGrid>
        <w:gridCol w:w="1339"/>
        <w:gridCol w:w="1132"/>
        <w:gridCol w:w="1"/>
        <w:gridCol w:w="1014"/>
        <w:gridCol w:w="305"/>
        <w:gridCol w:w="710"/>
        <w:gridCol w:w="197"/>
        <w:gridCol w:w="197"/>
        <w:gridCol w:w="1174"/>
        <w:gridCol w:w="152"/>
        <w:gridCol w:w="691"/>
        <w:gridCol w:w="1306"/>
        <w:gridCol w:w="152"/>
        <w:gridCol w:w="152"/>
      </w:tblGrid>
      <w:tr>
        <w:tblPrEx>
          <w:tblCellMar>
            <w:top w:w="0" w:type="dxa"/>
            <w:left w:w="108" w:type="dxa"/>
            <w:bottom w:w="0" w:type="dxa"/>
            <w:right w:w="108" w:type="dxa"/>
          </w:tblCellMar>
        </w:tblPrEx>
        <w:trPr>
          <w:trHeight w:val="406" w:hRule="atLeast"/>
        </w:trPr>
        <w:tc>
          <w:tcPr>
            <w:tcW w:w="8522"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133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13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01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01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17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97"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556" w:type="dxa"/>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昌吉州食品药品安全稽查支队</w:t>
            </w:r>
          </w:p>
        </w:tc>
        <w:tc>
          <w:tcPr>
            <w:tcW w:w="117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453"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无</w:t>
            </w:r>
          </w:p>
        </w:tc>
      </w:tr>
      <w:tr>
        <w:tblPrEx>
          <w:tblCellMar>
            <w:top w:w="0" w:type="dxa"/>
            <w:left w:w="108" w:type="dxa"/>
            <w:bottom w:w="0" w:type="dxa"/>
            <w:right w:w="108" w:type="dxa"/>
          </w:tblCellMar>
        </w:tblPrEx>
        <w:trPr>
          <w:trHeight w:val="451" w:hRule="atLeast"/>
        </w:trPr>
        <w:tc>
          <w:tcPr>
            <w:tcW w:w="133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13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31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0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17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4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1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133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183" w:type="dxa"/>
            <w:gridSpan w:val="13"/>
            <w:tcBorders>
              <w:top w:val="nil"/>
              <w:left w:val="nil"/>
              <w:bottom w:val="single" w:color="000000" w:sz="4" w:space="0"/>
              <w:right w:val="single" w:color="000000"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133" w:type="dxa"/>
            <w:gridSpan w:val="2"/>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133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133"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133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1133"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p>
        </w:tc>
        <w:tc>
          <w:tcPr>
            <w:tcW w:w="3749" w:type="dxa"/>
            <w:gridSpan w:val="7"/>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01" w:type="dxa"/>
            <w:gridSpan w:val="4"/>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1906" w:h="16838"/>
          <w:pgMar w:top="1440" w:right="1800" w:bottom="1440" w:left="1800" w:header="851" w:footer="992" w:gutter="0"/>
          <w:pgNumType w:fmt="numberInDash" w:start="32"/>
          <w:cols w:space="425" w:num="1"/>
          <w:docGrid w:type="lines" w:linePitch="312" w:charSpace="0"/>
        </w:sectPr>
      </w:pPr>
    </w:p>
    <w:p>
      <w:pPr>
        <w:spacing w:line="56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按照中共昌吉回族自治州委员会机构编制委员会2019年10月31日《关于自治州市场监督管理局所属事业单位机构编制调整有关事宜的通知》（昌州党机编发〔2019〕38号）文件精神，昌吉回族自治州食品药品监督管理局食品安全监督执法支队更名为昌吉回族自治州食品药品安全稽查支队。   </w:t>
      </w:r>
    </w:p>
    <w:p>
      <w:pPr>
        <w:widowControl/>
        <w:spacing w:before="156" w:beforeLines="50" w:line="520" w:lineRule="exact"/>
        <w:jc w:val="center"/>
        <w:outlineLvl w:val="1"/>
        <w:rPr>
          <w:rFonts w:ascii="黑体" w:hAnsi="黑体" w:eastAsia="黑体"/>
          <w:kern w:val="0"/>
          <w:sz w:val="32"/>
          <w:szCs w:val="32"/>
        </w:rPr>
      </w:pP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昌吉州食品药品安全稽查支队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t>14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1442C2"/>
    <w:rsid w:val="00206E59"/>
    <w:rsid w:val="002A1A64"/>
    <w:rsid w:val="003E0195"/>
    <w:rsid w:val="003E370E"/>
    <w:rsid w:val="005618A6"/>
    <w:rsid w:val="00575B0A"/>
    <w:rsid w:val="005B509C"/>
    <w:rsid w:val="00637197"/>
    <w:rsid w:val="00910DB3"/>
    <w:rsid w:val="0091715F"/>
    <w:rsid w:val="00944B81"/>
    <w:rsid w:val="00991501"/>
    <w:rsid w:val="00C8617D"/>
    <w:rsid w:val="00D00CDC"/>
    <w:rsid w:val="00D85033"/>
    <w:rsid w:val="00E13A83"/>
    <w:rsid w:val="018B28BE"/>
    <w:rsid w:val="038D6503"/>
    <w:rsid w:val="050A5FAE"/>
    <w:rsid w:val="05392EC1"/>
    <w:rsid w:val="087358D5"/>
    <w:rsid w:val="0985098C"/>
    <w:rsid w:val="0AEA6506"/>
    <w:rsid w:val="0B93387F"/>
    <w:rsid w:val="0C46308B"/>
    <w:rsid w:val="0D114843"/>
    <w:rsid w:val="0D202422"/>
    <w:rsid w:val="0F130A22"/>
    <w:rsid w:val="1020324E"/>
    <w:rsid w:val="127F52C4"/>
    <w:rsid w:val="13053BAB"/>
    <w:rsid w:val="13130166"/>
    <w:rsid w:val="183F6E28"/>
    <w:rsid w:val="18A765E7"/>
    <w:rsid w:val="18AC18D7"/>
    <w:rsid w:val="19472005"/>
    <w:rsid w:val="1A68212B"/>
    <w:rsid w:val="1AE176D6"/>
    <w:rsid w:val="1CD14B13"/>
    <w:rsid w:val="1DEB4130"/>
    <w:rsid w:val="1E3A562C"/>
    <w:rsid w:val="20A873C1"/>
    <w:rsid w:val="211F29BE"/>
    <w:rsid w:val="218C0B2B"/>
    <w:rsid w:val="22031BC7"/>
    <w:rsid w:val="23016C9A"/>
    <w:rsid w:val="232F480A"/>
    <w:rsid w:val="249022CB"/>
    <w:rsid w:val="25C16080"/>
    <w:rsid w:val="25F01B11"/>
    <w:rsid w:val="261A02AF"/>
    <w:rsid w:val="27687FD6"/>
    <w:rsid w:val="28863398"/>
    <w:rsid w:val="29FA0646"/>
    <w:rsid w:val="2BD85862"/>
    <w:rsid w:val="2CAE145B"/>
    <w:rsid w:val="2D8472FC"/>
    <w:rsid w:val="2F143FAC"/>
    <w:rsid w:val="2F403D9B"/>
    <w:rsid w:val="2FEC680F"/>
    <w:rsid w:val="31A33BB3"/>
    <w:rsid w:val="31FC2D6C"/>
    <w:rsid w:val="326432D5"/>
    <w:rsid w:val="338045FD"/>
    <w:rsid w:val="342B06AF"/>
    <w:rsid w:val="37902BF6"/>
    <w:rsid w:val="37C76D7C"/>
    <w:rsid w:val="3894345C"/>
    <w:rsid w:val="39406DD1"/>
    <w:rsid w:val="3A2F2A01"/>
    <w:rsid w:val="3A6F2F46"/>
    <w:rsid w:val="3ABD5805"/>
    <w:rsid w:val="3DA97E8F"/>
    <w:rsid w:val="3E4E6386"/>
    <w:rsid w:val="3EC4203B"/>
    <w:rsid w:val="40516ED9"/>
    <w:rsid w:val="40974BFD"/>
    <w:rsid w:val="40EA7CCE"/>
    <w:rsid w:val="4136225D"/>
    <w:rsid w:val="42AF0EFB"/>
    <w:rsid w:val="42C36263"/>
    <w:rsid w:val="42E1181B"/>
    <w:rsid w:val="43C43CDB"/>
    <w:rsid w:val="440C6F8D"/>
    <w:rsid w:val="44765BE4"/>
    <w:rsid w:val="44E16381"/>
    <w:rsid w:val="45F86C84"/>
    <w:rsid w:val="46882826"/>
    <w:rsid w:val="48361980"/>
    <w:rsid w:val="48A3590E"/>
    <w:rsid w:val="48CC0FB4"/>
    <w:rsid w:val="496D042C"/>
    <w:rsid w:val="4A3230AE"/>
    <w:rsid w:val="4A454527"/>
    <w:rsid w:val="4B120314"/>
    <w:rsid w:val="4B606EEF"/>
    <w:rsid w:val="4BD434D0"/>
    <w:rsid w:val="4C7A7BA9"/>
    <w:rsid w:val="4D2A5D50"/>
    <w:rsid w:val="4DC760E3"/>
    <w:rsid w:val="510D5E37"/>
    <w:rsid w:val="51355D46"/>
    <w:rsid w:val="53B97542"/>
    <w:rsid w:val="54744E0B"/>
    <w:rsid w:val="550C23F1"/>
    <w:rsid w:val="556B6B46"/>
    <w:rsid w:val="563B1750"/>
    <w:rsid w:val="564934C6"/>
    <w:rsid w:val="56512350"/>
    <w:rsid w:val="5667518A"/>
    <w:rsid w:val="57D23EEA"/>
    <w:rsid w:val="581E0686"/>
    <w:rsid w:val="595A7949"/>
    <w:rsid w:val="5A232A10"/>
    <w:rsid w:val="5A7D7BD2"/>
    <w:rsid w:val="5AC4491F"/>
    <w:rsid w:val="5B4E4151"/>
    <w:rsid w:val="5BD01812"/>
    <w:rsid w:val="5BFD205A"/>
    <w:rsid w:val="5D0F2310"/>
    <w:rsid w:val="5E8D0E9F"/>
    <w:rsid w:val="60E1091C"/>
    <w:rsid w:val="63D17400"/>
    <w:rsid w:val="641B78DE"/>
    <w:rsid w:val="642A56CE"/>
    <w:rsid w:val="6541769A"/>
    <w:rsid w:val="65454F57"/>
    <w:rsid w:val="66491FC2"/>
    <w:rsid w:val="6681138A"/>
    <w:rsid w:val="6731491D"/>
    <w:rsid w:val="67A1182F"/>
    <w:rsid w:val="67C5111F"/>
    <w:rsid w:val="682F6A48"/>
    <w:rsid w:val="692476D4"/>
    <w:rsid w:val="69D62C2F"/>
    <w:rsid w:val="6B076EBC"/>
    <w:rsid w:val="6B1503E9"/>
    <w:rsid w:val="6C8A786D"/>
    <w:rsid w:val="6D4B0B52"/>
    <w:rsid w:val="6ED24376"/>
    <w:rsid w:val="724410C7"/>
    <w:rsid w:val="72C473A4"/>
    <w:rsid w:val="74435A6D"/>
    <w:rsid w:val="75032E42"/>
    <w:rsid w:val="75147714"/>
    <w:rsid w:val="77C53060"/>
    <w:rsid w:val="7A5445EC"/>
    <w:rsid w:val="7A9A00B8"/>
    <w:rsid w:val="7AC338F3"/>
    <w:rsid w:val="7C095EC2"/>
    <w:rsid w:val="7C251A79"/>
    <w:rsid w:val="7C6F567F"/>
    <w:rsid w:val="7D483BC8"/>
    <w:rsid w:val="7DEF15D5"/>
    <w:rsid w:val="7E71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CF886-601A-40ED-BD52-7C27C7C2831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1201</Words>
  <Characters>6848</Characters>
  <Lines>57</Lines>
  <Paragraphs>16</Paragraphs>
  <TotalTime>8</TotalTime>
  <ScaleCrop>false</ScaleCrop>
  <LinksUpToDate>false</LinksUpToDate>
  <CharactersWithSpaces>8033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2021-05-27T03:59:00Z</cp:lastPrinted>
  <dcterms:modified xsi:type="dcterms:W3CDTF">2021-05-31T05:00:53Z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