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昌吉州残疾人劳动就业服务部2019年部门预算公开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州残疾人劳服部部门单位概况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2019年州残疾人劳服部部门预算公开表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年州残疾人劳服部部门预算情况说明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部门2019年收入预算情况说明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部门2019年支出预算情况说明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部门2019年一般公共预算当年拨款情况说明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部门2019年一般公共预算基本支出情况说明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部门2019年项目支出情况说明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部门2019年一般公共预算“三公”经费预算情况说明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/>
          <w:kern w:val="0"/>
          <w:sz w:val="32"/>
          <w:szCs w:val="32"/>
        </w:rPr>
        <w:t>部门2019年政府性基金预算拨款情况说明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州残疾人劳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动就业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服部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主要职责是：宣传贯彻《中华人民共和国残疾人保障法》，维护残疾人在政治、经济、文化、社会和家庭生活等方面同其他公民平等的权利，密切联系残疾人，听取残疾人意见，反映残疾人需求，全心全意为残疾人服务。团结、教育残疾人遵守法律，履行应尽义务，发扬乐观进取精神，自尊、自信、自立，为全面建成小康社会，推进现代化建设贡献力量。沟通政府、社会与残疾人之间的联系，宣传残疾人事业，动员社会理解、尊重、关心帮助残疾人。开展和促进残疾人康复、教育、扶贫、劳动就业、维权、文化体育、社会保障和残疾预防等工作，改善残疾人参与社会生活的环境和条件。参与研究，制定和实施残疾人事业的政策、规划和计划，发挥综合、协调、咨询、服务作用，对有关领域的工作进行管理和指导。管理和发放《中华人民共和国残疾人证》。管理和指导各类残疾人群众组织，开展为发展残疾人事业的募捐、助残活动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州残疾人劳服部无下属预算单位，本级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下设1个处室，分别是：劳动就业服务部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2019年部门编制数9，实有人数9人，其中：在职9人，增加0人； 退休0人，增加0人；离休0人，增加0人。</w:t>
      </w:r>
    </w:p>
    <w:p>
      <w:pPr>
        <w:widowControl/>
        <w:spacing w:line="560" w:lineRule="exact"/>
        <w:ind w:firstLine="1920" w:firstLineChars="6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编制部门：昌吉回族自治州残疾人劳动就业服务部 </w:t>
      </w:r>
      <w:r>
        <w:rPr>
          <w:rFonts w:hint="eastAsia" w:ascii="仿宋_GB2312" w:hAnsi="宋体" w:eastAsia="仿宋_GB2312"/>
          <w:kern w:val="0"/>
          <w:sz w:val="10"/>
          <w:szCs w:val="10"/>
        </w:rPr>
        <w:t xml:space="preserve">               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     131.71       131.71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     131.71    131.71131.71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填报部门：昌吉回族自治州劳动就业服务部                      单位：万元</w:t>
      </w:r>
    </w:p>
    <w:tbl>
      <w:tblPr>
        <w:tblStyle w:val="5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35"/>
        <w:gridCol w:w="465"/>
        <w:gridCol w:w="1933"/>
        <w:gridCol w:w="820"/>
        <w:gridCol w:w="862"/>
        <w:gridCol w:w="49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残疾人事业支出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131.71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131.71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131.71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编制部门：昌吉回族自治州劳动就业服务部       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残疾人事业支出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131.71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131.71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131.71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131.71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昌吉回族自治州劳动就业服务部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单位：万元</w:t>
      </w:r>
    </w:p>
    <w:tbl>
      <w:tblPr>
        <w:tblStyle w:val="5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131.71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131.71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5"/>
        <w:tblW w:w="92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3079"/>
        <w:gridCol w:w="1115"/>
        <w:gridCol w:w="365"/>
        <w:gridCol w:w="1477"/>
        <w:gridCol w:w="1701"/>
        <w:gridCol w:w="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昌吉回族自治州劳动就业服务部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05" w:hRule="atLeast"/>
        </w:trPr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6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残疾人事业支出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131.71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131.71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9" w:type="dxa"/>
          <w:trHeight w:val="49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98"/>
        <w:gridCol w:w="3390"/>
        <w:gridCol w:w="692"/>
        <w:gridCol w:w="629"/>
        <w:gridCol w:w="364"/>
        <w:gridCol w:w="1195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昌吉回族自治州劳动就业服务部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5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一般公共预算基本支出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经济分类科目编码</w:t>
            </w:r>
          </w:p>
        </w:tc>
        <w:tc>
          <w:tcPr>
            <w:tcW w:w="3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经济分类科目名称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人员经费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公用经费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款</w:t>
            </w:r>
          </w:p>
        </w:tc>
        <w:tc>
          <w:tcPr>
            <w:tcW w:w="3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Dialog" w:hAnsi="Dialog" w:eastAsia="Dialog" w:cs="Dialog"/>
                <w:color w:val="000000"/>
                <w:sz w:val="24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131.71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119.08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12.63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基本工资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45.43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45.43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奖金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2.72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2.72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伙食补助费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11.34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11.34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绩效工资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23.64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23.64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机关事业单位基本养老保险缴费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14.36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14.36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职工基本医疗保险缴费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6.46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6.46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公务员医疗补助缴费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5.03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5.03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其他社会保障缴费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0.58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0.58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住房公积金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8.62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8.62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办公费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2.49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2.49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取暖费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差旅费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3.31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3.31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工会经费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福利费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2.01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2.01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其他商品和服务支出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7" w:type="dxa"/>
          <w:trHeight w:val="30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职工住宅取暖费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0.9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ialog" w:hAnsi="Dialog" w:eastAsia="Dialog" w:cs="Dialog"/>
                <w:color w:val="000000"/>
                <w:sz w:val="24"/>
              </w:rPr>
            </w:pPr>
            <w:r>
              <w:rPr>
                <w:rFonts w:ascii="Dialog" w:hAnsi="Dialog" w:eastAsia="Dialog" w:cs="Dialog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5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70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昌吉回族自治州劳动就业服务部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56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备注：本单位无项目支出内容。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编制单位：昌吉回族自治州劳动就业服务部 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备注：无三公经费内容，填报空表。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编制单位：昌吉回族自治州劳动就业服务部                       单位：万元</w:t>
      </w:r>
    </w:p>
    <w:tbl>
      <w:tblPr>
        <w:tblStyle w:val="5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备：无政府性基金内容。</w:t>
      </w:r>
    </w:p>
    <w:p>
      <w:pPr>
        <w:widowControl/>
        <w:jc w:val="left"/>
        <w:outlineLvl w:val="1"/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" w:hAnsi="仿宋" w:eastAsia="仿宋" w:cs="仿宋"/>
          <w:kern w:val="0"/>
          <w:sz w:val="32"/>
          <w:szCs w:val="32"/>
        </w:rPr>
        <w:t>部门2019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年所有收入和支出均纳入部门预算管理。收支总预算131.71万元。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部门收入预算131.71元，其中：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一般公共预算131.71万元，占100%，比上年减少3.44万元，主要原因是办公经费减少；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政府性基金预算未安排；占0%，比上年增加0 万元，主要原因是无政府性基金安排的预算支出；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年支出预算131.71元，其中：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基本支出131.71万元，占100%，比上年减少3.44万元，主要原因是办公经费减少。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项目支出0万元，比上年增加0万元，主要原因是无项目支出。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2019年财政拨款收支总预算131.71万元。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131.71万元，主要用于社会保障和就业支出。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部门2019年一般公共预算拨款基本支出131.71万元，比上年执行数减少3.44万元，下降2.6 %。主要原因是：办公经费减少。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（二）一般公共预算当年拨款结构情况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1.社会保障和就业支出（类）：131.71万元，占100%；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（三）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  <w:t>昌吉州残联劳动就业服务部部门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</w:rPr>
        <w:t>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残疾人事业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其他残疾人事业支出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131.71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比上年执行数减少 3.44万元，下降2.6%，主要原因是：办公经费减少。  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劳服部部门2019年一般公共预算基本支出131.71万元，其中：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人员经费119.08万元，主要包括：基本工资、奖金、伙食补助费、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绩效工资、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机关事业单位基本养老保险缴费、职工基本医疗保险缴费、公务员医疗补助缴费、其他社会保障缴费、住房公积金、对个人和家庭的补助等。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公用经费12.63万元，主要包括：办公费、取暖费、差旅费、工会经费、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福利费、商品和服务支出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七、关于劳服部部门2019年项目支出情况说明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2019年州劳动就业服务部无项目支出。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部门2019年“三公”经费财政拨款预算数为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 0万元，公务用车购置0 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2019年“三公”经费财政拨款预算比上年减少0万元，其中：因公出国（境）费增加0万元，主要原因是未安排因公出国（境）费；公务用车购置费为0，未安排预算。[或公务用车购置费增加0万元，主要原因是未安排预算]；公务用车运行费减少2万元，主要原因是一辆车报废；公务接待费减少0万元，主要原因是未安排预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0家行政单位、0家参公管理事业单位和0家事业单位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机关运行经费财政拨款预算12.63万元，比上年预算减少0.77万元，下降6.4%。主要原因是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厉行勤俭节约，缩减运行经费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部门及下属单位政府采购预算0万元，其中：政府采购货物预算 0万元，政府采购工程预算0万元，政府采购服务预算0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 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昌吉州残联劳动就业服务部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2.车辆1辆，价值52.81万元；其中：一般公务用车1辆，价值 52.81万元；执法执勤用车0辆，价值0万元；其他车辆0辆，价值0万元。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eastAsia="仿宋_GB2312"/>
          <w:sz w:val="32"/>
        </w:rPr>
        <w:t>33.49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2019年度，本年度实行绩效管理的项目0个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0万元，具体情况见下表（按项目分别填报）：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tbl>
      <w:tblPr>
        <w:tblW w:w="89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90"/>
        <w:gridCol w:w="690"/>
        <w:gridCol w:w="690"/>
        <w:gridCol w:w="690"/>
        <w:gridCol w:w="690"/>
        <w:gridCol w:w="690"/>
        <w:gridCol w:w="690"/>
        <w:gridCol w:w="480"/>
        <w:gridCol w:w="480"/>
        <w:gridCol w:w="480"/>
        <w:gridCol w:w="4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预算单位</w:t>
            </w:r>
          </w:p>
        </w:tc>
        <w:tc>
          <w:tcPr>
            <w:tcW w:w="4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项目总体目标</w:t>
            </w:r>
          </w:p>
        </w:tc>
        <w:tc>
          <w:tcPr>
            <w:tcW w:w="78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项目完成指标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项目效益指标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56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无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5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昌吉回族自治州残疾人劳动就业服务部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D"/>
    <w:rsid w:val="001408E4"/>
    <w:rsid w:val="001C40C8"/>
    <w:rsid w:val="00206C7D"/>
    <w:rsid w:val="002B3BF1"/>
    <w:rsid w:val="005D2A81"/>
    <w:rsid w:val="00606895"/>
    <w:rsid w:val="00AB4C51"/>
    <w:rsid w:val="00C92CED"/>
    <w:rsid w:val="00F335FF"/>
    <w:rsid w:val="07736E52"/>
    <w:rsid w:val="0CE1408B"/>
    <w:rsid w:val="14EE30D2"/>
    <w:rsid w:val="17727F6F"/>
    <w:rsid w:val="19A23E21"/>
    <w:rsid w:val="1ADD5539"/>
    <w:rsid w:val="1D920F25"/>
    <w:rsid w:val="252F3991"/>
    <w:rsid w:val="26DA62DE"/>
    <w:rsid w:val="2EA5267F"/>
    <w:rsid w:val="2FD95482"/>
    <w:rsid w:val="3016039F"/>
    <w:rsid w:val="346B3A1F"/>
    <w:rsid w:val="35A5503B"/>
    <w:rsid w:val="38687A0C"/>
    <w:rsid w:val="3EDB3099"/>
    <w:rsid w:val="423164E7"/>
    <w:rsid w:val="46AD7D73"/>
    <w:rsid w:val="4A8C23FE"/>
    <w:rsid w:val="4F8673D8"/>
    <w:rsid w:val="502B14C5"/>
    <w:rsid w:val="50CE4A49"/>
    <w:rsid w:val="55654A78"/>
    <w:rsid w:val="57B31074"/>
    <w:rsid w:val="5C586DDD"/>
    <w:rsid w:val="5CC8760B"/>
    <w:rsid w:val="5F0817E0"/>
    <w:rsid w:val="62B2294D"/>
    <w:rsid w:val="65D82D44"/>
    <w:rsid w:val="6F4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paragraph" w:customStyle="1" w:styleId="8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1">
    <w:name w:val="页眉 字符"/>
    <w:basedOn w:val="6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缩进 3 Char"/>
    <w:basedOn w:val="6"/>
    <w:link w:val="13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3">
    <w:name w:val="正文文本缩进 31"/>
    <w:basedOn w:val="1"/>
    <w:link w:val="12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7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普通(网站)2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1291</Words>
  <Characters>7362</Characters>
  <Lines>61</Lines>
  <Paragraphs>17</Paragraphs>
  <TotalTime>3</TotalTime>
  <ScaleCrop>false</ScaleCrop>
  <LinksUpToDate>false</LinksUpToDate>
  <CharactersWithSpaces>8636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2019-01-15T18:37:00Z</dcterms:created>
  <dc:creator>王怡</dc:creator>
  <cp:lastModifiedBy>Administrator</cp:lastModifiedBy>
  <dcterms:modified xsi:type="dcterms:W3CDTF">2021-05-27T10:41:53Z</dcterms:modified>
  <dc:title>王怡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