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widowControl/>
        <w:spacing w:before="100" w:beforeAutospacing="1" w:after="100" w:afterAutospacing="1"/>
        <w:outlineLvl w:val="1"/>
        <w:rPr>
          <w:rFonts w:ascii="仿宋_GB2312" w:hAnsi="黑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仿宋_GB2312" w:hAnsi="黑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pacing w:before="312" w:after="312" w:line="320" w:lineRule="atLeast"/>
        <w:jc w:val="center"/>
        <w:textAlignment w:val="baseline"/>
        <w:rPr>
          <w:rFonts w:ascii="黑体" w:hAnsi="黑体" w:eastAsia="黑体" w:cs="微软雅黑"/>
          <w:color w:val="000000"/>
          <w:sz w:val="24"/>
        </w:rPr>
      </w:pPr>
      <w:r>
        <w:rPr>
          <w:rFonts w:hint="eastAsia" w:ascii="黑体" w:hAnsi="黑体" w:eastAsia="黑体" w:cs="方正小标宋_GBK"/>
          <w:color w:val="000000"/>
          <w:kern w:val="0"/>
          <w:sz w:val="44"/>
          <w:szCs w:val="44"/>
        </w:rPr>
        <w:t>昌吉回族自治州食品药品监督管理局食品安全监督执法支队</w:t>
      </w:r>
      <w:r>
        <w:rPr>
          <w:rFonts w:ascii="黑体" w:hAnsi="黑体" w:eastAsia="黑体" w:cs="方正小标宋_GBK"/>
          <w:color w:val="000000"/>
          <w:kern w:val="0"/>
          <w:sz w:val="44"/>
          <w:szCs w:val="44"/>
        </w:rPr>
        <w:t>2019</w:t>
      </w:r>
      <w:r>
        <w:rPr>
          <w:rFonts w:hint="eastAsia" w:ascii="黑体" w:hAnsi="黑体" w:eastAsia="黑体" w:cs="方正小标宋_GBK"/>
          <w:color w:val="000000"/>
          <w:kern w:val="0"/>
          <w:sz w:val="44"/>
          <w:szCs w:val="44"/>
        </w:rPr>
        <w:t>年部门预算公开</w:t>
      </w:r>
    </w:p>
    <w:p>
      <w:pPr>
        <w:widowControl/>
        <w:spacing w:before="312" w:after="312" w:line="320" w:lineRule="atLeast"/>
        <w:jc w:val="center"/>
        <w:textAlignment w:val="baseline"/>
        <w:rPr>
          <w:rFonts w:ascii="仿宋_GB2312" w:hAnsi="微软雅黑" w:eastAsia="仿宋_GB2312" w:cs="微软雅黑"/>
          <w:color w:val="000000"/>
          <w:sz w:val="2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仿宋_GB2312" w:hAnsi="黑体" w:eastAsia="仿宋_GB2312"/>
          <w:kern w:val="0"/>
          <w:sz w:val="44"/>
          <w:szCs w:val="44"/>
        </w:rPr>
      </w:pPr>
      <w:r>
        <w:rPr>
          <w:rFonts w:hint="eastAsia" w:ascii="仿宋_GB2312" w:hAnsi="黑体" w:eastAsia="仿宋_GB2312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仿宋_GB2312" w:eastAsia="仿宋_GB2312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昌吉州食品药品监督管理局食品安全监督执法支队概况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二、关于昌吉州食品药品监督管理局食品安全监督执法支队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三、关于昌吉州食品药品监督管理局食品安全监督执法支队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四、关于昌吉州食品药品监督管理局食品安全监督执法支队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方正小标宋简体" w:hAnsi="黑体" w:eastAsia="方正小标宋简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方正小标宋简体" w:hAnsi="黑体" w:eastAsia="方正小标宋简体" w:cs="黑体"/>
          <w:b/>
          <w:bCs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kern w:val="0"/>
          <w:sz w:val="32"/>
          <w:szCs w:val="32"/>
        </w:rPr>
        <w:t>第一部分</w:t>
      </w:r>
      <w:r>
        <w:rPr>
          <w:rFonts w:ascii="方正小标宋简体" w:hAnsi="黑体" w:eastAsia="方正小标宋简体"/>
          <w:kern w:val="0"/>
          <w:sz w:val="32"/>
          <w:szCs w:val="32"/>
        </w:rPr>
        <w:t xml:space="preserve">  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昌吉州食品药品监督管理局食品安全监督执法支队单位概况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负责查处食品、药品、医疗器械、化妆品违法行为，办理食品药品重大案件，登记，受理群众食品药品投诉举报等。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昌吉州食品药品监督管理局食品安全监督执法支队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昌吉州食品药品监督管理局食品安全监督执法支队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人；退休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both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黑体" w:eastAsia="仿宋_GB2312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第二部分</w:t>
      </w:r>
      <w:r>
        <w:rPr>
          <w:rFonts w:ascii="仿宋_GB2312" w:hAnsi="黑体" w:eastAsia="仿宋_GB2312"/>
          <w:kern w:val="0"/>
          <w:sz w:val="32"/>
          <w:szCs w:val="32"/>
        </w:rPr>
        <w:t xml:space="preserve">  2019</w:t>
      </w:r>
      <w:r>
        <w:rPr>
          <w:rFonts w:hint="eastAsia" w:ascii="仿宋_GB2312" w:hAnsi="黑体" w:eastAsia="仿宋_GB2312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编制部门：昌吉州食品药品监督管理局食品安全监督执法支队</w:t>
      </w:r>
      <w:r>
        <w:rPr>
          <w:rFonts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/>
              </w:rPr>
              <w:t>127.25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/>
              </w:rPr>
              <w:t>127.25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/>
              </w:rPr>
              <w:t>127.25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/>
              </w:rPr>
              <w:t>127.25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127.25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127.25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昌吉州食品药品监督管理局食品安全监督执法支队</w:t>
      </w:r>
      <w:r>
        <w:rPr>
          <w:rFonts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3"/>
        <w:gridCol w:w="518"/>
        <w:gridCol w:w="1921"/>
        <w:gridCol w:w="820"/>
        <w:gridCol w:w="982"/>
        <w:gridCol w:w="378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0"/>
                <w:tab w:val="right" w:pos="521"/>
              </w:tabs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201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lang w:val="en-US" w:eastAsia="zh-CN"/>
              </w:rPr>
              <w:t>127.25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lang w:val="en-US" w:eastAsia="zh-CN"/>
              </w:rPr>
              <w:t>127.25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127.25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127.25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昌吉州食品药品监督管理局食品安全监督执法支队</w:t>
      </w:r>
      <w:r>
        <w:rPr>
          <w:rFonts w:ascii="仿宋_GB2312" w:hAnsi="宋体" w:eastAsia="仿宋_GB2312"/>
          <w:kern w:val="0"/>
          <w:sz w:val="24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2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36"/>
        <w:gridCol w:w="532"/>
        <w:gridCol w:w="2289"/>
        <w:gridCol w:w="19"/>
        <w:gridCol w:w="1836"/>
        <w:gridCol w:w="19"/>
        <w:gridCol w:w="1837"/>
        <w:gridCol w:w="19"/>
        <w:gridCol w:w="1694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事业运行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127.25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127.25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127.25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127.25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昌吉州食品药品监督管理局食品安全监督执法支队</w:t>
      </w:r>
      <w:r>
        <w:rPr>
          <w:rFonts w:ascii="仿宋_GB2312" w:hAnsi="宋体" w:eastAsia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单位：万元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127.25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127.25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127.25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127.25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  <w:r>
              <w:t>127.25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t>127.25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t>127.25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t>127.25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t>127.25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t>127.25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491"/>
        <w:gridCol w:w="422"/>
        <w:gridCol w:w="2358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编制部门：昌吉州食品药品监督管理局食品安全监督执法支队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127.25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127.25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127.25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1701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编制部门：昌吉州食品药品监督管理局食品安全监督执法支队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t>39.98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t>39.98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t>2.69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t>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</w:rPr>
              <w:t>12.6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</w:rPr>
              <w:t>12.6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25.39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25.39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</w:rPr>
              <w:t>6.13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t>0.51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t>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8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127.25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12.41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4"/>
        <w:tblW w:w="95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94"/>
        <w:gridCol w:w="478"/>
        <w:gridCol w:w="545"/>
        <w:gridCol w:w="327"/>
        <w:gridCol w:w="2402"/>
        <w:gridCol w:w="448"/>
        <w:gridCol w:w="348"/>
        <w:gridCol w:w="539"/>
        <w:gridCol w:w="37"/>
        <w:gridCol w:w="316"/>
        <w:gridCol w:w="652"/>
        <w:gridCol w:w="341"/>
        <w:gridCol w:w="237"/>
        <w:gridCol w:w="419"/>
        <w:gridCol w:w="578"/>
        <w:gridCol w:w="420"/>
        <w:gridCol w:w="420"/>
        <w:gridCol w:w="352"/>
        <w:gridCol w:w="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45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45" w:type="dxa"/>
          <w:trHeight w:val="405" w:hRule="atLeast"/>
        </w:trPr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编制部门：昌吉州食品药品监督管理局食品安全监督执法支队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32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2402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44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4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02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78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327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2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4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年预算未安排项目支出，此报表为空表。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昌吉州食品药品监督管理局食品安全监督执法支队</w:t>
      </w:r>
      <w:r>
        <w:rPr>
          <w:rFonts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编制单位：昌吉州食品药品监督管理局食品安全监督执法支队</w:t>
      </w:r>
      <w:r>
        <w:rPr>
          <w:rFonts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年未安排政府性基金预算，此报表为空表。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黑体" w:hAnsi="黑体" w:eastAsia="黑体" w:cs="黑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kern w:val="0"/>
          <w:sz w:val="32"/>
          <w:szCs w:val="32"/>
        </w:rPr>
        <w:t>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二、关于昌吉州食品药品监督管理局食品安全监督执法支队</w:t>
      </w:r>
      <w:r>
        <w:rPr>
          <w:rFonts w:ascii="黑体" w:hAnsi="黑体" w:eastAsia="黑体" w:cs="宋体"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100 %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，比上年减少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万元，主要原因是压缩基本经费支出。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政府性基金预算未安排。为</w:t>
      </w:r>
      <w:r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  <w:t xml:space="preserve"> 0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占</w:t>
      </w:r>
      <w:r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  <w:t xml:space="preserve"> 0 %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，比上年增加</w:t>
      </w:r>
      <w:r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  <w:t xml:space="preserve">0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万元；主要原因是无政府性基金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三、关于年支出预算情况说明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，比上年减少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万元，主要原因：是压缩基本经费支出。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万元，与上年预算数持平，主要原因是无项目支出。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四、关于昌吉州食品药品监督管理局食品安全监督执法支队</w:t>
      </w:r>
      <w:r>
        <w:rPr>
          <w:rFonts w:ascii="黑体" w:hAnsi="黑体" w:eastAsia="黑体" w:cs="宋体"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年财政拨款收支总预算数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支出预算包括：一般公共服务支出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，主要用于201 一般公共服务支出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。其中：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2013850事业运行101.44万元，2013150事业运行25.81。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五、关于昌吉州食品药品监督管理局食品安全监督执法支队</w:t>
      </w:r>
      <w:r>
        <w:rPr>
          <w:rFonts w:ascii="黑体" w:hAnsi="黑体" w:eastAsia="黑体" w:cs="宋体"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ascii="仿宋_GB2312" w:hAnsi="宋体" w:eastAsia="仿宋_GB2312" w:cs="宋体"/>
          <w:kern w:val="0"/>
          <w:sz w:val="32"/>
          <w:szCs w:val="32"/>
        </w:rPr>
        <w:t>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3.92%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。主要原因是：压缩基本经费开支。</w:t>
      </w:r>
    </w:p>
    <w:p>
      <w:pPr>
        <w:widowControl/>
        <w:spacing w:line="580" w:lineRule="exact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</w:rPr>
        <w:t>（二）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一般公共服务（</w:t>
      </w:r>
      <w:r>
        <w:rPr>
          <w:rFonts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</w:rPr>
        <w:t>类）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、基本支出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万元，占一般预算支出的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100 %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、项目支出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万元，占一般预算支出的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0%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" w:hAnsi="楷体" w:eastAsia="楷体" w:cs="宋体"/>
          <w:b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市场监督管理事务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款）事业运行（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元，占一般预算支出的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，比上年执行数执行数减少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3.92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，主要原因是：压缩基本经费开支。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黑体" w:hAnsi="黑体" w:eastAsia="黑体" w:cs="黑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127.25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114.84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39.98万元、奖金2.69万元、伙食补助费12.6万元、机关事业单位基本养老保险缴费13.61万元、职工基本医疗保险缴费6.13万元、公务员医疗补助缴费4.76万元、其他社会保障缴费0.51万元、住房公积金8.17万元、绩效工资25.39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12.41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1.89万元、水费0.1万元、电费0.25万元、邮电费0.35万元、物业管理费2.59万元、差旅费2.2万元、维修（护）费0.1万元、培训费0.4万元、公务接待费0.15万元、工会经费0.8万元、福利费0.7万元、公务用车运行维护费2.08万元、其他商品和服务支出0.8万元、职工住宅取暖费1万元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黑体" w:hAnsi="黑体" w:eastAsia="黑体" w:cs="黑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b w:val="0"/>
          <w:bCs/>
          <w:sz w:val="32"/>
          <w:szCs w:val="32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</w:rPr>
        <w:t>项目名称：无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设立的政策依据：无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无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无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八、关于昌吉州食品药品监督管理局食品安全监督执法支队</w:t>
      </w:r>
      <w:r>
        <w:rPr>
          <w:rFonts w:ascii="黑体" w:hAnsi="黑体" w:eastAsia="黑体" w:cs="黑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2.23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2.08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0.15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万元，主要原因是严</w:t>
      </w:r>
      <w:r>
        <w:rPr>
          <w:rFonts w:hint="eastAsia" w:ascii="仿宋_GB2312" w:hAnsi="Tahoma" w:eastAsia="仿宋_GB2312" w:cs="Tahoma"/>
          <w:sz w:val="32"/>
          <w:szCs w:val="32"/>
        </w:rPr>
        <w:t>格执行中央八项规定</w:t>
      </w:r>
      <w:r>
        <w:rPr>
          <w:rFonts w:hint="eastAsia" w:ascii="仿宋_GB2312" w:hAnsi="宋体" w:eastAsia="仿宋_GB2312"/>
          <w:sz w:val="32"/>
          <w:szCs w:val="32"/>
        </w:rPr>
        <w:t>和自治区十条规定、严格控制出国（境）团组。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万元，公务用车购置费增加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万元，主要原因是未安排购置公务用车预算；公务用车运行费减少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万元，主要原因是：</w:t>
      </w:r>
      <w:r>
        <w:rPr>
          <w:rFonts w:hint="eastAsia" w:ascii="仿宋_GB2312" w:hAnsi="仿宋" w:eastAsia="仿宋_GB2312" w:cs="Tahoma"/>
          <w:color w:val="000000"/>
          <w:sz w:val="32"/>
          <w:szCs w:val="32"/>
        </w:rPr>
        <w:t>加强公务用车管理，厉行节约控制车辆运行费用。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万元，主要原因：严</w:t>
      </w:r>
      <w:r>
        <w:rPr>
          <w:rFonts w:hint="eastAsia" w:ascii="仿宋_GB2312" w:hAnsi="Tahoma" w:eastAsia="仿宋_GB2312" w:cs="Tahoma"/>
          <w:sz w:val="32"/>
          <w:szCs w:val="32"/>
        </w:rPr>
        <w:t>格执行中央八项规定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控制接待人数和批次。</w:t>
      </w:r>
    </w:p>
    <w:p>
      <w:pPr>
        <w:widowControl/>
        <w:spacing w:line="580" w:lineRule="exact"/>
        <w:ind w:firstLine="642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黑体" w:hAnsi="黑体" w:eastAsia="黑体" w:cs="黑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家参公管理事业单位和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%。主要原因是压缩基本经费开支。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昌吉州食品药品监督管理局食品安全监督执法支队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4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昌吉州食品药品监督管理局食品安全监督执法支队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ind w:firstLine="300" w:firstLineChars="200"/>
              <w:rPr>
                <w:rFonts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仿宋_GB2312" w:hAnsi="黑体" w:eastAsia="仿宋_GB2312"/>
          <w:b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黑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/>
          <w:kern w:val="0"/>
          <w:sz w:val="32"/>
          <w:szCs w:val="32"/>
        </w:rPr>
        <w:t>名词解释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四、“三公”经费：</w:t>
      </w:r>
      <w:r>
        <w:rPr>
          <w:rFonts w:hint="eastAsia" w:ascii="仿宋_GB2312" w:eastAsia="仿宋_GB2312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5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昌吉州食品药品监督管理局食品安全监督执法支队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</w:p>
    <w:p>
      <w:pPr>
        <w:spacing w:line="55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2D666"/>
    <w:multiLevelType w:val="singleLevel"/>
    <w:tmpl w:val="8742D66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3"/>
    <w:rsid w:val="00092C2A"/>
    <w:rsid w:val="0056315B"/>
    <w:rsid w:val="006D115C"/>
    <w:rsid w:val="007E6FD4"/>
    <w:rsid w:val="00901B63"/>
    <w:rsid w:val="009209EF"/>
    <w:rsid w:val="0093136B"/>
    <w:rsid w:val="0096794D"/>
    <w:rsid w:val="00B11A59"/>
    <w:rsid w:val="00BA4D03"/>
    <w:rsid w:val="00D37703"/>
    <w:rsid w:val="00F57B16"/>
    <w:rsid w:val="013F7206"/>
    <w:rsid w:val="020D15E1"/>
    <w:rsid w:val="0271394E"/>
    <w:rsid w:val="04CA4F61"/>
    <w:rsid w:val="079A7D00"/>
    <w:rsid w:val="0A3F2F26"/>
    <w:rsid w:val="0A7338B5"/>
    <w:rsid w:val="11A1347B"/>
    <w:rsid w:val="13D72254"/>
    <w:rsid w:val="14697FD5"/>
    <w:rsid w:val="17FC3D52"/>
    <w:rsid w:val="1AB77422"/>
    <w:rsid w:val="1B8E0F44"/>
    <w:rsid w:val="1BD14F74"/>
    <w:rsid w:val="1D662753"/>
    <w:rsid w:val="1DF84907"/>
    <w:rsid w:val="20D652BD"/>
    <w:rsid w:val="282D0034"/>
    <w:rsid w:val="29321487"/>
    <w:rsid w:val="297D4367"/>
    <w:rsid w:val="2B195E4F"/>
    <w:rsid w:val="2E2D291E"/>
    <w:rsid w:val="2F1C0536"/>
    <w:rsid w:val="33D8576E"/>
    <w:rsid w:val="36A6521C"/>
    <w:rsid w:val="37F22462"/>
    <w:rsid w:val="380478BC"/>
    <w:rsid w:val="3C155823"/>
    <w:rsid w:val="3E6314CC"/>
    <w:rsid w:val="47EA02B5"/>
    <w:rsid w:val="49F30674"/>
    <w:rsid w:val="4A905018"/>
    <w:rsid w:val="4F9434A8"/>
    <w:rsid w:val="50121C96"/>
    <w:rsid w:val="50ED0F19"/>
    <w:rsid w:val="59A42717"/>
    <w:rsid w:val="59E1387C"/>
    <w:rsid w:val="5B782672"/>
    <w:rsid w:val="5C803FB6"/>
    <w:rsid w:val="5EC83D4F"/>
    <w:rsid w:val="662C68BE"/>
    <w:rsid w:val="67E31E9B"/>
    <w:rsid w:val="68D0561E"/>
    <w:rsid w:val="698E16FD"/>
    <w:rsid w:val="6BF97C9E"/>
    <w:rsid w:val="6D2F23FA"/>
    <w:rsid w:val="6D43716D"/>
    <w:rsid w:val="6FF61EC4"/>
    <w:rsid w:val="70276441"/>
    <w:rsid w:val="72F52B83"/>
    <w:rsid w:val="75114BB3"/>
    <w:rsid w:val="756C4BA2"/>
    <w:rsid w:val="77DA4FDA"/>
    <w:rsid w:val="7D4B33FB"/>
    <w:rsid w:val="7E512D98"/>
    <w:rsid w:val="7F8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99"/>
    <w:rPr>
      <w:rFonts w:cs="Times New Roman"/>
      <w:b/>
    </w:rPr>
  </w:style>
  <w:style w:type="character" w:customStyle="1" w:styleId="7">
    <w:name w:val="批注框文本 Char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批注框文本1"/>
    <w:basedOn w:val="1"/>
    <w:link w:val="7"/>
    <w:qFormat/>
    <w:uiPriority w:val="99"/>
    <w:rPr>
      <w:sz w:val="18"/>
      <w:szCs w:val="18"/>
    </w:rPr>
  </w:style>
  <w:style w:type="character" w:customStyle="1" w:styleId="9">
    <w:name w:val="页脚 字符"/>
    <w:link w:val="2"/>
    <w:semiHidden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3 Char"/>
    <w:link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2">
    <w:name w:val="Body Text Indent 31"/>
    <w:basedOn w:val="1"/>
    <w:link w:val="11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sz w:val="24"/>
    </w:rPr>
  </w:style>
  <w:style w:type="paragraph" w:customStyle="1" w:styleId="13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6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18">
    <w:name w:val="普通(网站)3"/>
    <w:basedOn w:val="1"/>
    <w:qFormat/>
    <w:uiPriority w:val="99"/>
    <w:rPr>
      <w:rFonts w:ascii="Calibri" w:hAnsi="Calibri" w:cs="黑体"/>
      <w:sz w:val="24"/>
    </w:rPr>
  </w:style>
  <w:style w:type="character" w:customStyle="1" w:styleId="19">
    <w:name w:val="Page Number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1463</Words>
  <Characters>8340</Characters>
  <Lines>69</Lines>
  <Paragraphs>19</Paragraphs>
  <TotalTime>2</TotalTime>
  <ScaleCrop>false</ScaleCrop>
  <LinksUpToDate>false</LinksUpToDate>
  <CharactersWithSpaces>9784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2019-01-18T10:37:00Z</dcterms:created>
  <dc:creator>王怡</dc:creator>
  <cp:lastModifiedBy>Administrator</cp:lastModifiedBy>
  <dcterms:modified xsi:type="dcterms:W3CDTF">2021-05-28T04:01:29Z</dcterms:modified>
  <dc:title>admin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