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昌吉州中级人民法院2020年部门预算公开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昌吉州中级人民法院单位概况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2020年</w:t>
      </w:r>
      <w:r>
        <w:rPr>
          <w:rFonts w:hint="eastAsia" w:ascii="仿宋_GB2312" w:hAnsi="宋体" w:eastAsia="仿宋_GB2312"/>
          <w:b/>
          <w:kern w:val="0"/>
          <w:sz w:val="32"/>
          <w:szCs w:val="32"/>
        </w:rPr>
        <w:t>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一、关于昌吉州中级人民法院2020年收支预算情况的总体说明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二、关于昌吉州中级人民法院2020年收入预算情况说明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三、关于昌吉州中级人民法院2020年支出预算情况说明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四、关于昌吉州中级人民法院2020年财政拨款收支预算情况的总体说明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五、关于昌吉州中级人民法院2020年一般公共预算当年拨款情况说明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六、关于昌吉州中级人民法院2020年一般公共预算基本支出情况说明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七、关于昌吉州中级人民法院2020年项目支出情况说明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八、关于昌吉州中级人民法院2020年一般公共预算“三公”经费预算情况说明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九、关于昌吉州中级人民法院2020年政府性基金预算拨款情况说明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昌吉州中级人民法院概况</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昌吉州中级人民法院作为国家审判机关，依法独立行使审判权。依法审判法律规定由昌吉州中级人民法院管辖的和其认为应当由自己审判的刑事、民事、行政等一审案件；依法审判法律规定由昌吉州中级人民法院管辖的刑事、民事、行政等第二审案件；依法办理应由昌吉州中级人民法院管辖的减刑、假释案件；受理不服所辖县（市）人民法院裁判生效的各类申诉和申请再审案件，对其中确有错误的，提审或指令下级人民法院再审；依法审判由昌吉州人民检察院按照审判监督程序提出的抗诉案件；对下级人民法院行使案件指定管辖权；监督下级人民法院的审判工作；依法行使司法执行权和司法决定权；依法决定国家赔偿；开展与法院工作有关的调查研究，针对案件审理中发现的突出问题提出司法建议；在审判工作中宣传法制、教育公民自学遵守宪法和法律；</w:t>
      </w:r>
    </w:p>
    <w:p>
      <w:pPr>
        <w:spacing w:line="360" w:lineRule="auto"/>
        <w:rPr>
          <w:rFonts w:ascii="仿宋_GB2312" w:hAnsi="宋体" w:eastAsia="仿宋_GB2312"/>
          <w:sz w:val="32"/>
          <w:szCs w:val="32"/>
        </w:rPr>
      </w:pPr>
      <w:r>
        <w:rPr>
          <w:rFonts w:hint="eastAsia" w:ascii="仿宋_GB2312" w:hAnsi="宋体" w:eastAsia="仿宋_GB2312"/>
          <w:sz w:val="32"/>
          <w:szCs w:val="32"/>
        </w:rPr>
        <w:t>监督指导全州法院的执行工作；监督指导全州法院的司法警察工作。</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昌吉州中级人民法院</w:t>
      </w:r>
      <w:r>
        <w:rPr>
          <w:rFonts w:hint="eastAsia" w:ascii="仿宋_GB2312" w:hAnsi="黑体" w:eastAsia="仿宋_GB2312" w:cs="宋体"/>
          <w:bCs/>
          <w:kern w:val="0"/>
          <w:sz w:val="32"/>
          <w:szCs w:val="32"/>
        </w:rPr>
        <w:t>无下属预算单位，下设17个处室，分别是：</w:t>
      </w:r>
      <w:r>
        <w:rPr>
          <w:rFonts w:hint="eastAsia" w:ascii="仿宋_GB2312" w:hAnsi="宋体" w:eastAsia="仿宋_GB2312"/>
          <w:sz w:val="32"/>
          <w:szCs w:val="32"/>
        </w:rPr>
        <w:t>办公室、政治部、立案一庭、立案二庭、刑事审判第一庭、刑事审判第二庭、民事审判第一庭、民事审判第二庭、民事审判第三庭、行政审判庭、审判监督庭、执行局、法律政策研究室、司法警察支队、信息技术处、纪检监察处、审判管理办公室</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sz w:val="32"/>
          <w:szCs w:val="32"/>
        </w:rPr>
        <w:t>昌吉州中级人民法院</w:t>
      </w:r>
      <w:r>
        <w:rPr>
          <w:rFonts w:hint="eastAsia" w:ascii="仿宋_GB2312" w:hAnsi="宋体" w:eastAsia="仿宋_GB2312" w:cs="宋体"/>
          <w:kern w:val="0"/>
          <w:sz w:val="32"/>
          <w:szCs w:val="32"/>
          <w:highlight w:val="none"/>
        </w:rPr>
        <w:t>编制数162人，实有人数154人，其中：在职154人，增加9人；退休69人，增加1人；离休1人，增加或减少0人。</w:t>
      </w:r>
    </w:p>
    <w:p>
      <w:pPr>
        <w:widowControl/>
        <w:jc w:val="center"/>
        <w:outlineLvl w:val="1"/>
        <w:rPr>
          <w:rFonts w:ascii="宋体" w:hAnsi="宋体"/>
          <w:b/>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18"/>
          <w:szCs w:val="18"/>
        </w:rPr>
        <w:t>昌吉州中级人民法院</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3573.2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3573.2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3573.2</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3573.2</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3573.2</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3573.2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3573.2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18"/>
          <w:szCs w:val="18"/>
        </w:rPr>
        <w:t>昌吉州中级人民法院</w:t>
      </w:r>
      <w:r>
        <w:rPr>
          <w:rFonts w:hint="eastAsia" w:ascii="仿宋_GB2312" w:hAnsi="宋体" w:eastAsia="仿宋_GB2312"/>
          <w:kern w:val="0"/>
          <w:sz w:val="24"/>
        </w:rPr>
        <w:t xml:space="preserve">                       单位：万元</w:t>
      </w:r>
    </w:p>
    <w:tbl>
      <w:tblPr>
        <w:tblStyle w:val="6"/>
        <w:tblW w:w="9654" w:type="dxa"/>
        <w:tblInd w:w="93" w:type="dxa"/>
        <w:tblLayout w:type="fixed"/>
        <w:tblCellMar>
          <w:top w:w="0" w:type="dxa"/>
          <w:left w:w="108" w:type="dxa"/>
          <w:bottom w:w="0" w:type="dxa"/>
          <w:right w:w="108" w:type="dxa"/>
        </w:tblCellMar>
      </w:tblPr>
      <w:tblGrid>
        <w:gridCol w:w="594"/>
        <w:gridCol w:w="481"/>
        <w:gridCol w:w="484"/>
        <w:gridCol w:w="1535"/>
        <w:gridCol w:w="1122"/>
        <w:gridCol w:w="851"/>
        <w:gridCol w:w="509"/>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53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2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5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2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4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5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行政运行</w:t>
            </w:r>
          </w:p>
        </w:tc>
        <w:tc>
          <w:tcPr>
            <w:tcW w:w="112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3553.2　</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3553.2</w:t>
            </w:r>
          </w:p>
        </w:tc>
        <w:tc>
          <w:tcPr>
            <w:tcW w:w="5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15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案件审判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3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3573.2</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3573.2</w:t>
            </w:r>
          </w:p>
        </w:tc>
        <w:tc>
          <w:tcPr>
            <w:tcW w:w="5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18"/>
          <w:szCs w:val="18"/>
        </w:rPr>
        <w:t>昌吉州中级人民法院</w:t>
      </w:r>
      <w:r>
        <w:rPr>
          <w:rFonts w:hint="eastAsia" w:ascii="仿宋_GB2312" w:hAnsi="宋体" w:eastAsia="仿宋_GB2312"/>
          <w:kern w:val="0"/>
          <w:sz w:val="24"/>
        </w:rPr>
        <w:t xml:space="preserve">                         单位：万元</w:t>
      </w:r>
    </w:p>
    <w:tbl>
      <w:tblPr>
        <w:tblStyle w:val="6"/>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行政运行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3553.2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3553.2</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案件审判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3573.2</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3553.2</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outlineLvl w:val="1"/>
        <w:rPr>
          <w:rFonts w:ascii="仿宋_GB2312" w:hAnsi="宋体" w:eastAsia="仿宋_GB2312"/>
          <w:b/>
          <w:kern w:val="0"/>
          <w:sz w:val="32"/>
          <w:szCs w:val="32"/>
        </w:rPr>
      </w:pP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18"/>
          <w:szCs w:val="18"/>
        </w:rPr>
        <w:t>昌吉州中级人民法院</w:t>
      </w:r>
      <w:r>
        <w:rPr>
          <w:rFonts w:hint="eastAsia" w:ascii="仿宋_GB2312" w:hAnsi="宋体" w:eastAsia="仿宋_GB2312"/>
          <w:kern w:val="0"/>
          <w:sz w:val="28"/>
          <w:szCs w:val="28"/>
        </w:rPr>
        <w:t xml:space="preserve">                              单位：万元</w:t>
      </w:r>
    </w:p>
    <w:tbl>
      <w:tblPr>
        <w:tblStyle w:val="6"/>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3573.2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3573.2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3573.2</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3573.2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3573.2</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3573.2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3573.2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3573.2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3573.2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3573.2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昌吉州中级人民法院</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204</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3553.2</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3553.2</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案件审判</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3573.2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3553.2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昌吉州中级人民法院</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977.85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977.85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429.02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429.02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58.5</w:t>
            </w:r>
          </w:p>
        </w:tc>
        <w:tc>
          <w:tcPr>
            <w:tcW w:w="1701"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58.5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伙食补助费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194.04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194.04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175.84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175.84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其他工资福利支出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851.35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851.35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234.46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234.46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职工基本医疗保险缴费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142.01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142.01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公务员医疗补助缴费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59.79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59.79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办公费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印刷费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邮电费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16.49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16.49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19.56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19.56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福利费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44.98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44.98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公务用车运行维护费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74.55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74.55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30.55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30.55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离休费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13.57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13.57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医疗补助费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7.75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7.75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职工住宅取暖费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3553.2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3173.06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380.14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469" w:type="dxa"/>
        <w:tblInd w:w="93" w:type="dxa"/>
        <w:tblLayout w:type="fixed"/>
        <w:tblCellMar>
          <w:top w:w="0" w:type="dxa"/>
          <w:left w:w="108" w:type="dxa"/>
          <w:bottom w:w="0" w:type="dxa"/>
          <w:right w:w="108" w:type="dxa"/>
        </w:tblCellMar>
      </w:tblPr>
      <w:tblGrid>
        <w:gridCol w:w="8"/>
        <w:gridCol w:w="495"/>
        <w:gridCol w:w="435"/>
        <w:gridCol w:w="420"/>
        <w:gridCol w:w="684"/>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18"/>
                <w:szCs w:val="18"/>
              </w:rPr>
              <w:t>昌吉州中级人民法院</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5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8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03"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3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84"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204</w:t>
            </w:r>
          </w:p>
        </w:tc>
        <w:tc>
          <w:tcPr>
            <w:tcW w:w="435"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05　</w:t>
            </w:r>
          </w:p>
        </w:tc>
        <w:tc>
          <w:tcPr>
            <w:tcW w:w="42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04　</w:t>
            </w:r>
          </w:p>
        </w:tc>
        <w:tc>
          <w:tcPr>
            <w:tcW w:w="684"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案件审判</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人民陪审员经费</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20</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20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20</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20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18"/>
          <w:szCs w:val="18"/>
        </w:rPr>
        <w:t>昌吉州中级人民法院</w:t>
      </w:r>
      <w:r>
        <w:rPr>
          <w:rFonts w:hint="eastAsia" w:ascii="仿宋_GB2312" w:hAnsi="宋体" w:eastAsia="仿宋_GB2312"/>
          <w:kern w:val="0"/>
          <w:sz w:val="24"/>
        </w:rPr>
        <w:t xml:space="preserve">                       单位：万元</w:t>
      </w:r>
    </w:p>
    <w:tbl>
      <w:tblPr>
        <w:tblStyle w:val="6"/>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77.52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74.55</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74.55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2.97</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Cs w:val="21"/>
        </w:rPr>
        <w:t>昌吉州中级人民法院</w:t>
      </w:r>
      <w:r>
        <w:rPr>
          <w:rFonts w:hint="eastAsia" w:ascii="仿宋_GB2312" w:hAnsi="宋体" w:eastAsia="仿宋_GB2312"/>
          <w:kern w:val="0"/>
          <w:sz w:val="24"/>
        </w:rPr>
        <w:t xml:space="preserve">          单位：万元</w:t>
      </w:r>
    </w:p>
    <w:tbl>
      <w:tblPr>
        <w:tblStyle w:val="6"/>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b/>
          <w:kern w:val="0"/>
          <w:sz w:val="28"/>
          <w:szCs w:val="32"/>
        </w:rPr>
        <w:t>备注：</w:t>
      </w:r>
      <w:r>
        <w:rPr>
          <w:rFonts w:hint="eastAsia" w:ascii="仿宋_GB2312" w:hAnsi="宋体" w:eastAsia="仿宋_GB2312" w:cs="宋体"/>
          <w:kern w:val="0"/>
          <w:sz w:val="28"/>
          <w:szCs w:val="28"/>
        </w:rPr>
        <w:t>昌吉州中级人民法院没有使用政府性基金预算拨款安排的支出，政府性基金预算支出情况表为空表。</w:t>
      </w: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第三部分2020年部门预算情况说明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关于昌吉州中级人民法院2020年收支预算情况的总体说明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按照全口径预算的原则，昌吉州中级人民法院2020年所有收入和支出均纳入部门预算管理。收支总预算3573.2万元。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收入预算包括：一般公共预算3573.2万元。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支出预算包括：公共安全支出3573.2万元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二、关于昌吉州中级人民法院2020年收入预算情况说明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昌吉州中级人民法院收入预算3573.2元，其中：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一般公共预算3553.2万元，</w:t>
      </w:r>
      <w:r>
        <w:rPr>
          <w:rFonts w:hint="eastAsia" w:ascii="仿宋_GB2312" w:hAnsi="宋体" w:eastAsia="仿宋_GB2312" w:cs="宋体"/>
          <w:kern w:val="0"/>
          <w:sz w:val="32"/>
          <w:szCs w:val="32"/>
          <w:highlight w:val="none"/>
        </w:rPr>
        <w:t>占99.</w:t>
      </w:r>
      <w:r>
        <w:rPr>
          <w:rFonts w:hint="eastAsia" w:ascii="仿宋_GB2312" w:hAnsi="宋体" w:eastAsia="仿宋_GB2312" w:cs="宋体"/>
          <w:kern w:val="0"/>
          <w:sz w:val="32"/>
          <w:szCs w:val="32"/>
          <w:highlight w:val="none"/>
          <w:lang w:val="en-US" w:eastAsia="zh-CN"/>
        </w:rPr>
        <w:t>44</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 xml:space="preserve">比上年增加583.77万元，主要原因是新调入人员13人，聘用书记员60人工资福利支出等收入增加，公用经费较上年增加17.19万元，增长4.33%；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三、关于昌吉州中级人民法院2020年支出预算情况说明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昌吉州中级人民法院2020年支出预算3573.20万元，其中：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 3553.2万元，占99.</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 xml:space="preserve">%，比上年增加396.23万元，主要原因是新调入人员13人，聘用书记员60人工资福利支出等收入增加，公用经费较上年增加17.19万元，增长4.33%；        </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项目支出20万元，占 0.01 %，比上年增加（减少）0万元，主要原因</w:t>
      </w:r>
      <w:r>
        <w:rPr>
          <w:rFonts w:hint="eastAsia" w:ascii="仿宋_GB2312" w:hAnsi="宋体" w:eastAsia="仿宋_GB2312" w:cs="宋体"/>
          <w:kern w:val="0"/>
          <w:sz w:val="32"/>
          <w:szCs w:val="32"/>
          <w:lang w:val="en-US" w:eastAsia="zh-CN"/>
        </w:rPr>
        <w:t>无新增项目。</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四、关于昌吉州中级人民法院2020年财政拨款收支预算情况的总体说明</w:t>
      </w:r>
    </w:p>
    <w:p>
      <w:pPr>
        <w:spacing w:line="580" w:lineRule="exact"/>
        <w:ind w:firstLine="64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2020年财政拨款收支总预算3573.2万元。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支出预算包括：一般公共服务支出3573.2万元，主要用于公共安全支出。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五、关于昌吉州中级人民法院2020年一般公共预算当年拨款情况说明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昌吉州中级人民法院2020年一般公共预算拨款基本支出 </w:t>
      </w:r>
      <w:r>
        <w:rPr>
          <w:rFonts w:hint="eastAsia" w:ascii="仿宋_GB2312" w:hAnsi="宋体" w:eastAsia="仿宋_GB2312" w:cs="宋体"/>
          <w:kern w:val="0"/>
          <w:sz w:val="32"/>
          <w:szCs w:val="32"/>
          <w:highlight w:val="none"/>
        </w:rPr>
        <w:t>3573.2万元</w:t>
      </w:r>
      <w:r>
        <w:rPr>
          <w:rFonts w:hint="eastAsia" w:ascii="仿宋_GB2312" w:hAnsi="宋体" w:eastAsia="仿宋_GB2312" w:cs="宋体"/>
          <w:kern w:val="0"/>
          <w:sz w:val="32"/>
          <w:szCs w:val="32"/>
        </w:rPr>
        <w:t xml:space="preserve">，比上年执行数5370.11万元减少1796.91万元，下降33.46%。主要原因是：上年预算执行数人员经费基本工资、奖金支出较预算支出差额较大。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highlight w:val="none"/>
        </w:rPr>
        <w:t>公共安全支出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3573.2</w:t>
      </w:r>
      <w:r>
        <w:rPr>
          <w:rFonts w:hint="eastAsia" w:ascii="仿宋_GB2312" w:hAnsi="宋体" w:eastAsia="仿宋_GB2312" w:cs="宋体"/>
          <w:kern w:val="0"/>
          <w:sz w:val="32"/>
          <w:szCs w:val="32"/>
          <w:highlight w:val="none"/>
        </w:rPr>
        <w:t>万元，占100%。其中：案件审判支出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2040501</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20万元，占0.0</w:t>
      </w: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%；行政运行支出</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2040504</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3553.2万元，占99.</w:t>
      </w:r>
      <w:r>
        <w:rPr>
          <w:rFonts w:hint="eastAsia" w:ascii="仿宋_GB2312" w:hAnsi="宋体" w:eastAsia="仿宋_GB2312" w:cs="宋体"/>
          <w:kern w:val="0"/>
          <w:sz w:val="32"/>
          <w:szCs w:val="32"/>
          <w:highlight w:val="none"/>
          <w:lang w:val="en-US" w:eastAsia="zh-CN"/>
        </w:rPr>
        <w:t>44</w:t>
      </w:r>
      <w:r>
        <w:rPr>
          <w:rFonts w:hint="eastAsia" w:ascii="仿宋_GB2312" w:hAnsi="宋体" w:eastAsia="仿宋_GB2312" w:cs="宋体"/>
          <w:kern w:val="0"/>
          <w:sz w:val="32"/>
          <w:szCs w:val="32"/>
          <w:highlight w:val="none"/>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highlight w:val="none"/>
        </w:rPr>
        <w:t>.公共安全支出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204</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法院（05</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行政</w:t>
      </w:r>
      <w:r>
        <w:rPr>
          <w:rFonts w:ascii="仿宋_GB2312" w:hAnsi="宋体" w:eastAsia="仿宋_GB2312" w:cs="宋体"/>
          <w:kern w:val="0"/>
          <w:sz w:val="32"/>
          <w:szCs w:val="32"/>
          <w:highlight w:val="none"/>
        </w:rPr>
        <w:t>运行（</w:t>
      </w:r>
      <w:r>
        <w:rPr>
          <w:rFonts w:hint="eastAsia" w:ascii="仿宋_GB2312" w:hAnsi="宋体" w:eastAsia="仿宋_GB2312" w:cs="宋体"/>
          <w:kern w:val="0"/>
          <w:sz w:val="32"/>
          <w:szCs w:val="32"/>
          <w:highlight w:val="none"/>
        </w:rPr>
        <w:t>01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2020年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rPr>
        <w:t>3553.2</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比上年执行数3357.29万元减少195.91万元，下降5.51%，主要原因是：上年预算执行数人员经费基本工资、奖金支出较预算支出差额较大，聘用书记员工资，财政予以保障。</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2.公共安全支出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204</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法院</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05</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案件审判</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02</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2020年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rPr>
        <w:t>20</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与上年执行数21.18万元减少1.18万元，主要原因：2018年度</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rPr>
        <w:t>2019年将两年的人民陪审员经费全总部拨付到基层法院。</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六、关于昌吉州中级人民法院2020年一般公共预算基本支出情况说明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昌吉州中级人民法院2020年一般公共预算基本支出3553.2 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3173.06万元，主要包括：基本工资977.85万元、津贴补贴429.02万元、奖金58.5万元、伙食补助费194.04万元、机关事业单位基本养老保险缴费234.46万元、职工基本医疗保险缴费142.01万元、公务员医疗补助缴费59.79万元、其他社会保障缴费5.18万元、住房公积金175.84万元、其他工资福利支出851.35万元、离休费13.57万元、生活补助1.2万元、医疗费补助0.1万元、奖励金7.75万</w:t>
      </w:r>
      <w:r>
        <w:rPr>
          <w:rFonts w:hint="eastAsia" w:ascii="仿宋_GB2312" w:hAnsi="仿宋_GB2312" w:eastAsia="仿宋_GB2312" w:cs="仿宋_GB2312"/>
          <w:kern w:val="0"/>
          <w:sz w:val="32"/>
          <w:szCs w:val="32"/>
        </w:rPr>
        <w:t>元，职工住宅取暖费22.4</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380.14万元，主要包括：办公费10万元、印刷费15万元、水费1万元、电费25万元、邮电费12万元、取暖费46万元、物业管理费15万元、差旅费30.15万元、维修（护）费16.49万元、培训费6.89万元、公务接待费2.97万元、劳务费30万元、工会经费19.56万元、福利费44.98万元、公务用车运行维护费74.55万元、</w:t>
      </w:r>
      <w:r>
        <w:rPr>
          <w:rFonts w:hint="eastAsia" w:ascii="仿宋_GB2312" w:hAnsi="宋体" w:eastAsia="仿宋_GB2312" w:cs="宋体"/>
          <w:kern w:val="0"/>
          <w:sz w:val="32"/>
          <w:szCs w:val="32"/>
          <w:highlight w:val="none"/>
        </w:rPr>
        <w:t>其他商品和服务支出30.55万元。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七、关于昌吉州中级人民法院2020年项目支出情况说明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人民陪审员业务经费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val="en-US" w:eastAsia="zh-CN"/>
        </w:rPr>
        <w:t>三定方案和单位工作计划</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年度项目经费20万元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昌吉州中级人民法院本级</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：印刷资料、表彰先进、对陪审员的培训、发放交通补助、发放生活补助等支出</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2020年度</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八、关于昌吉州中级人民法院2020年一般公共预算“三公”经费预算情况说明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昌吉州中级人民法院2020年“三公”经费财政拨款预算数为 77.52万元，其中：因公出国（境）费 0万元，公务用车购置0万元，公务用车运行费74.55万元，公务接待费2.97万元。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2020年“三公”经费财政拨款预算比上年增加（减少）0</w:t>
      </w:r>
      <w:r>
        <w:rPr>
          <w:rFonts w:hint="eastAsia" w:ascii="仿宋_GB2312" w:hAnsi="宋体" w:eastAsia="仿宋_GB2312" w:cs="宋体"/>
          <w:b/>
          <w:kern w:val="0"/>
          <w:sz w:val="32"/>
          <w:szCs w:val="32"/>
        </w:rPr>
        <w:t>万</w:t>
      </w:r>
      <w:r>
        <w:rPr>
          <w:rFonts w:hint="eastAsia" w:ascii="仿宋_GB2312" w:hAnsi="宋体" w:eastAsia="仿宋_GB2312" w:cs="宋体"/>
          <w:b/>
          <w:kern w:val="0"/>
          <w:sz w:val="32"/>
          <w:szCs w:val="32"/>
          <w:highlight w:val="none"/>
        </w:rPr>
        <w:t>元，其中：</w:t>
      </w:r>
      <w:r>
        <w:rPr>
          <w:rFonts w:hint="eastAsia" w:ascii="仿宋_GB2312" w:hAnsi="宋体" w:eastAsia="仿宋_GB2312" w:cs="宋体"/>
          <w:b/>
          <w:kern w:val="0"/>
          <w:sz w:val="32"/>
          <w:szCs w:val="32"/>
        </w:rPr>
        <w:t>因公出国（境）费增加（减少）0万</w:t>
      </w:r>
      <w:r>
        <w:rPr>
          <w:rFonts w:hint="eastAsia" w:ascii="仿宋_GB2312" w:hAnsi="宋体" w:eastAsia="仿宋_GB2312" w:cs="宋体"/>
          <w:kern w:val="0"/>
          <w:sz w:val="32"/>
          <w:szCs w:val="32"/>
        </w:rPr>
        <w:t>元，主要原因是</w:t>
      </w:r>
      <w:r>
        <w:rPr>
          <w:rFonts w:hint="eastAsia" w:ascii="仿宋_GB2312" w:hAnsi="宋体" w:eastAsia="仿宋_GB2312" w:cs="宋体"/>
          <w:kern w:val="0"/>
          <w:sz w:val="32"/>
          <w:szCs w:val="32"/>
          <w:lang w:val="en-US" w:eastAsia="zh-CN"/>
        </w:rPr>
        <w:t>未安排经费</w:t>
      </w:r>
      <w:r>
        <w:rPr>
          <w:rFonts w:hint="eastAsia" w:ascii="仿宋_GB2312" w:hAnsi="宋体" w:eastAsia="仿宋_GB2312" w:cs="宋体"/>
          <w:kern w:val="0"/>
          <w:sz w:val="32"/>
          <w:szCs w:val="32"/>
        </w:rPr>
        <w:t>；公务用车购置费为0，未安排预算。公务用车运行费增加（减少）0万元，主要原因是厉行节约要求；公务接待费增加（减少）0万元，主要原因是厉行节约要求。</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九、关于昌吉州中级人民法院2020年政府性基金预算拨款情况说明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昌吉州中级人民法院没有使用政府性基金预算拨款安排的支出，政府性基金预算支出情况表为空表。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2020年，本级的机关运行经费财政拨款预算380.14万元，比上年预算数增加17.19万元，</w:t>
      </w:r>
      <w:r>
        <w:rPr>
          <w:rFonts w:hint="eastAsia" w:ascii="仿宋_GB2312" w:hAnsi="宋体" w:eastAsia="仿宋_GB2312" w:cs="宋体"/>
          <w:kern w:val="0"/>
          <w:sz w:val="32"/>
          <w:szCs w:val="32"/>
          <w:highlight w:val="none"/>
        </w:rPr>
        <w:t>增加4.</w:t>
      </w:r>
      <w:r>
        <w:rPr>
          <w:rFonts w:hint="eastAsia" w:ascii="仿宋_GB2312" w:hAnsi="宋体" w:eastAsia="仿宋_GB2312" w:cs="宋体"/>
          <w:kern w:val="0"/>
          <w:sz w:val="32"/>
          <w:szCs w:val="32"/>
          <w:highlight w:val="none"/>
          <w:lang w:val="en-US" w:eastAsia="zh-CN"/>
        </w:rPr>
        <w:t>52</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rPr>
        <w:t>主要原因是 人员增加后使工会经费和福利费有所增加。</w:t>
      </w:r>
      <w:bookmarkStart w:id="0" w:name="_GoBack"/>
      <w:bookmarkEnd w:id="0"/>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2020年，昌吉州中级人民法院政府采购预算1225.75万元，其中：政府采购货物预算289.2万元，政府采购工程预算817万元，政府采购服务预算119.55万元。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 3万元，其中：面向小微企业预留政府采购项目预算金额3万元。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截至2019年底，我单位单位占用使用国有资产总体情况为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1.房屋19373.33平方米，价值5382.57万元。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2.车辆27辆，价值189.67万元；其中：一般公务用车12辆，价值61.76万元；执法执勤用车12辆，价值127.91万元。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3.办公家具价值197.68万元。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4.其他资产价值1036.69万元。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2套，单位价值100万元以上大型设备0套。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2020年部门预算未安排购置车辆经费，未安排购置50万元和100万元以上大型设备。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2020年度，本年度实行绩效管理的项目1个，涉及预算金额20万元。具体情况见下表（按项目分别填报）：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720" w:num="1"/>
          <w:docGrid w:type="lines" w:linePitch="312" w:charSpace="0"/>
        </w:sectPr>
      </w:pPr>
    </w:p>
    <w:tbl>
      <w:tblPr>
        <w:tblStyle w:val="6"/>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0" w:type="dxa"/>
            <w:tcBorders>
              <w:top w:val="nil"/>
              <w:left w:val="nil"/>
              <w:bottom w:val="nil"/>
              <w:right w:val="nil"/>
            </w:tcBorders>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新疆维吾尔自治区昌吉回族自治州中级人民法院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仿宋_GB2312" w:hAnsi="宋体" w:eastAsia="仿宋_GB2312" w:cs="宋体"/>
                <w:kern w:val="0"/>
                <w:sz w:val="24"/>
              </w:rPr>
              <w:t>人民陪审员业务费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仿宋_GB2312" w:hAnsi="宋体" w:eastAsia="仿宋_GB2312" w:cs="宋体"/>
                <w:kern w:val="0"/>
                <w:sz w:val="24"/>
              </w:rPr>
              <w:t>支出内容包括交通补助费、培训费、资料费、无固定收入人民陪审员的生活补助费、其他费用如对人民陪审员的表彰、奖励等。</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培训费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陪审费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培训完成时间</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2020年12月31日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培训参加人数</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338人次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表彰县市</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8个县市园</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培训出勤率</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培训合格率</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不断提高司法公信力</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明显提高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持续提高陪审员的履职能力和业务水平</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长期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受训人员满意度</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720"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昌吉州中级人民法院</w:t>
      </w:r>
    </w:p>
    <w:p>
      <w:pPr>
        <w:widowControl/>
        <w:spacing w:line="560" w:lineRule="exact"/>
        <w:ind w:firstLine="3840" w:firstLineChars="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DF9"/>
    <w:rsid w:val="004E75F3"/>
    <w:rsid w:val="00594C8F"/>
    <w:rsid w:val="005A5B17"/>
    <w:rsid w:val="006C34B7"/>
    <w:rsid w:val="00B1750D"/>
    <w:rsid w:val="00C15CC5"/>
    <w:rsid w:val="00D56DF9"/>
    <w:rsid w:val="00EF1FA1"/>
    <w:rsid w:val="00FD18CD"/>
    <w:rsid w:val="118A2DC9"/>
    <w:rsid w:val="75D4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rFonts w:cs="Times New Roman"/>
      <w:b/>
      <w:bCs/>
    </w:rPr>
  </w:style>
  <w:style w:type="character" w:customStyle="1" w:styleId="7">
    <w:name w:val="页脚 字符"/>
    <w:link w:val="2"/>
    <w:semiHidden/>
    <w:qFormat/>
    <w:uiPriority w:val="0"/>
    <w:rPr>
      <w:rFonts w:ascii="Times New Roman" w:hAnsi="Times New Roman" w:eastAsia="黑体" w:cs="Times New Roman"/>
      <w:snapToGrid w:val="0"/>
      <w:kern w:val="0"/>
      <w:sz w:val="18"/>
      <w:szCs w:val="18"/>
    </w:rPr>
  </w:style>
  <w:style w:type="character" w:customStyle="1" w:styleId="8">
    <w:name w:val="页眉 字符"/>
    <w:link w:val="3"/>
    <w:semiHidden/>
    <w:qFormat/>
    <w:uiPriority w:val="0"/>
    <w:rPr>
      <w:rFonts w:ascii="Times New Roman" w:hAnsi="Times New Roman" w:eastAsia="宋体" w:cs="Times New Roman"/>
      <w:sz w:val="18"/>
      <w:szCs w:val="18"/>
    </w:rPr>
  </w:style>
  <w:style w:type="character" w:customStyle="1" w:styleId="9">
    <w:name w:val="正文文本缩进 3 Char"/>
    <w:link w:val="10"/>
    <w:semiHidden/>
    <w:qFormat/>
    <w:uiPriority w:val="0"/>
    <w:rPr>
      <w:rFonts w:ascii="Times New Roman" w:hAnsi="Times New Roman" w:eastAsia="仿宋_GB2312" w:cs="Times New Roman"/>
      <w:sz w:val="32"/>
      <w:szCs w:val="24"/>
    </w:rPr>
  </w:style>
  <w:style w:type="paragraph" w:customStyle="1" w:styleId="10">
    <w:name w:val="正文文本缩进 31"/>
    <w:basedOn w:val="1"/>
    <w:link w:val="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1">
    <w:name w:val="批注框文本 Char Char"/>
    <w:basedOn w:val="1"/>
    <w:link w:val="18"/>
    <w:qFormat/>
    <w:uiPriority w:val="0"/>
    <w:rPr>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1"/>
    <w:basedOn w:val="1"/>
    <w:qFormat/>
    <w:uiPriority w:val="0"/>
    <w:rPr>
      <w:rFonts w:ascii="Calibri" w:hAnsi="Calibri" w:cs="黑体"/>
      <w:sz w:val="24"/>
    </w:rPr>
  </w:style>
  <w:style w:type="paragraph" w:customStyle="1" w:styleId="16">
    <w:name w:val="普通(网站)2"/>
    <w:basedOn w:val="1"/>
    <w:qFormat/>
    <w:uiPriority w:val="0"/>
    <w:rPr>
      <w:rFonts w:ascii="Calibri" w:hAnsi="Calibri" w:cs="黑体"/>
      <w:sz w:val="24"/>
    </w:rPr>
  </w:style>
  <w:style w:type="paragraph" w:customStyle="1" w:styleId="17">
    <w:name w:val="普通(网站)3"/>
    <w:basedOn w:val="1"/>
    <w:qFormat/>
    <w:uiPriority w:val="0"/>
    <w:rPr>
      <w:rFonts w:ascii="Calibri" w:hAnsi="Calibri" w:cs="黑体"/>
      <w:sz w:val="24"/>
    </w:rPr>
  </w:style>
  <w:style w:type="character" w:customStyle="1" w:styleId="18">
    <w:name w:val="批注框文本 Char Char Char"/>
    <w:link w:val="11"/>
    <w:semiHidden/>
    <w:qFormat/>
    <w:uiPriority w:val="0"/>
    <w:rPr>
      <w:rFonts w:ascii="Times New Roman" w:hAnsi="Times New Roman" w:eastAsia="宋体" w:cs="Times New Roman"/>
      <w:sz w:val="18"/>
      <w:szCs w:val="18"/>
    </w:rPr>
  </w:style>
  <w:style w:type="character" w:customStyle="1" w:styleId="19">
    <w:name w:val="页码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1461</Words>
  <Characters>8334</Characters>
  <Lines>69</Lines>
  <Paragraphs>19</Paragraphs>
  <TotalTime>20</TotalTime>
  <ScaleCrop>false</ScaleCrop>
  <LinksUpToDate>false</LinksUpToDate>
  <CharactersWithSpaces>9776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2020-04-02T03:05:00Z</dcterms:created>
  <dc:creator>王怡</dc:creator>
  <cp:lastModifiedBy>1</cp:lastModifiedBy>
  <cp:lastPrinted>2020-04-02T04:10:00Z</cp:lastPrinted>
  <dcterms:modified xsi:type="dcterms:W3CDTF">2021-05-28T05:32:53Z</dcterms:modified>
  <dc:title>Administrator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