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昌吉州农牧机械化技术推广站</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昌吉州农牧机械化技术推广站部门单位概况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一、关于昌吉州农牧机械化技术推广站部门2020年收支预算情况的总体说明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二、关于昌吉州农牧机械化技术推广站部门2020年收入预算情况说明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三、关于昌吉州农牧机械化技术推广站部门2020年支出预算情况说明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昌吉州农牧机械化技术推广站</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五、关于昌吉州农牧机械化技术推广站部门2020年一般公共预算当年拨款情况说明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六、关于昌吉州农牧机械化技术推广站部门2020年一般公共预算基本支出情况说明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七、关于昌吉州农牧机械化技术推广站部门2020年项目支出情况说明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八、关于昌吉州农牧机械化技术推广站部门2020年一般公共预算“三公”经费预算情况说明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九、关于昌吉州农牧机械化技术推广站部门2020年政府性基金预算拨款情况说明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bCs/>
          <w:kern w:val="0"/>
          <w:sz w:val="32"/>
          <w:szCs w:val="32"/>
        </w:rPr>
        <w:t>昌吉州农牧机械化技术推广站</w:t>
      </w:r>
      <w:r>
        <w:rPr>
          <w:rFonts w:hint="eastAsia" w:ascii="黑体" w:hAnsi="黑体" w:eastAsia="黑体"/>
          <w:kern w:val="0"/>
          <w:sz w:val="32"/>
          <w:szCs w:val="32"/>
        </w:rPr>
        <w:t>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20" w:lineRule="exact"/>
        <w:ind w:firstLine="640" w:firstLineChars="200"/>
        <w:rPr>
          <w:rFonts w:ascii="仿宋_GB2312" w:hAnsi="宋体" w:eastAsia="仿宋_GB2312" w:cs="宋体"/>
          <w:bCs/>
          <w:kern w:val="0"/>
          <w:sz w:val="32"/>
          <w:szCs w:val="32"/>
        </w:rPr>
      </w:pPr>
      <w:r>
        <w:rPr>
          <w:rFonts w:hint="eastAsia" w:ascii="仿宋_GB2312" w:eastAsia="仿宋_GB2312"/>
          <w:sz w:val="32"/>
          <w:szCs w:val="32"/>
        </w:rPr>
        <w:t>昌吉州农牧机械化技术推广站主要职能是推广先进农机技术，提高农业机械化水平。包括农机技术推广管理；农机技术推广机构与队伍建设指导、业务指导；农牧机械化新技术、新机具试验、示范、推广；农机技术培训；农机信息服务等职能。</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昌吉州农牧机械化技术推广站</w:t>
      </w:r>
      <w:r>
        <w:rPr>
          <w:rFonts w:hint="eastAsia" w:ascii="仿宋_GB2312" w:hAnsi="黑体" w:eastAsia="仿宋_GB2312" w:cs="宋体"/>
          <w:bCs/>
          <w:kern w:val="0"/>
          <w:sz w:val="32"/>
          <w:szCs w:val="32"/>
        </w:rPr>
        <w:t>单位无下属预算单位，下设 四个科室，分别是：推广科、培训科、市场开发办公室、办公室</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昌吉州农牧机械化技术推广站</w:t>
      </w:r>
      <w:r>
        <w:rPr>
          <w:rFonts w:hint="eastAsia" w:ascii="仿宋_GB2312" w:hAnsi="宋体" w:eastAsia="仿宋_GB2312" w:cs="宋体"/>
          <w:kern w:val="0"/>
          <w:sz w:val="32"/>
          <w:szCs w:val="32"/>
        </w:rPr>
        <w:t>单位编制数25人，实有人数26人，其中：在职26人，增加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 退休24人，增加或减少0人；离休 0人，增加或减少0人。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编制部门：昌吉州农牧机械化技术推广站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389.43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389.43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389.43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389.43</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389.43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389.43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填报部门：昌吉州农牧机械化技术推广站              单位：万元</w:t>
      </w:r>
    </w:p>
    <w:tbl>
      <w:tblPr>
        <w:tblStyle w:val="10"/>
        <w:tblW w:w="9654" w:type="dxa"/>
        <w:tblInd w:w="-450" w:type="dxa"/>
        <w:tblLayout w:type="fixed"/>
        <w:tblCellMar>
          <w:top w:w="0" w:type="dxa"/>
          <w:left w:w="108" w:type="dxa"/>
          <w:bottom w:w="0" w:type="dxa"/>
          <w:right w:w="108" w:type="dxa"/>
        </w:tblCellMar>
      </w:tblPr>
      <w:tblGrid>
        <w:gridCol w:w="486"/>
        <w:gridCol w:w="417"/>
        <w:gridCol w:w="417"/>
        <w:gridCol w:w="2000"/>
        <w:gridCol w:w="820"/>
        <w:gridCol w:w="756"/>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5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w:t>
            </w: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事业运行</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383.43</w:t>
            </w:r>
          </w:p>
        </w:tc>
        <w:tc>
          <w:tcPr>
            <w:tcW w:w="75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383.43</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06</w:t>
            </w: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科技转化与推广服务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0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389.43</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389.43</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编制部门：昌吉州农牧机械化技术推广站                  单位：万元</w:t>
      </w:r>
    </w:p>
    <w:tbl>
      <w:tblPr>
        <w:tblStyle w:val="10"/>
        <w:tblW w:w="9420" w:type="dxa"/>
        <w:tblInd w:w="-240" w:type="dxa"/>
        <w:tblLayout w:type="fixed"/>
        <w:tblCellMar>
          <w:top w:w="0" w:type="dxa"/>
          <w:left w:w="108" w:type="dxa"/>
          <w:bottom w:w="0" w:type="dxa"/>
          <w:right w:w="108" w:type="dxa"/>
        </w:tblCellMar>
      </w:tblPr>
      <w:tblGrid>
        <w:gridCol w:w="489"/>
        <w:gridCol w:w="400"/>
        <w:gridCol w:w="399"/>
        <w:gridCol w:w="2571"/>
        <w:gridCol w:w="1839"/>
        <w:gridCol w:w="1840"/>
        <w:gridCol w:w="1882"/>
      </w:tblGrid>
      <w:tr>
        <w:tblPrEx>
          <w:tblLayout w:type="fixed"/>
          <w:tblCellMar>
            <w:top w:w="0" w:type="dxa"/>
            <w:left w:w="108" w:type="dxa"/>
            <w:bottom w:w="0" w:type="dxa"/>
            <w:right w:w="108" w:type="dxa"/>
          </w:tblCellMar>
        </w:tblPrEx>
        <w:trPr>
          <w:trHeight w:val="345" w:hRule="atLeast"/>
        </w:trPr>
        <w:tc>
          <w:tcPr>
            <w:tcW w:w="38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6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01</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04</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事业运行</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383.43</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383.43</w:t>
            </w: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01</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06</w:t>
            </w: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科技转化与推广服务</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389.43</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383.43</w:t>
            </w:r>
          </w:p>
        </w:tc>
        <w:tc>
          <w:tcPr>
            <w:tcW w:w="188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 昌吉州农牧机械化技术推广站     单位：万元</w:t>
      </w:r>
    </w:p>
    <w:tbl>
      <w:tblPr>
        <w:tblStyle w:val="10"/>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389.43</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389.43</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389.43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389.43</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383.43</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383.43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383.43</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编制部门：昌吉州农牧机械化技术推广站</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事业运行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383.43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383.43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科技转化与推广服务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389.43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383.43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编制部门：昌吉州农牧机械化技术推广站</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2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基本工资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128.69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128.69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15"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8.92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8.92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2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8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基础性</w:t>
            </w:r>
            <w:r>
              <w:rPr>
                <w:rFonts w:hint="eastAsia" w:ascii="仿宋_GB2312" w:hAnsi="宋体" w:eastAsia="仿宋_GB2312" w:cs="宋体"/>
                <w:color w:val="000000"/>
                <w:kern w:val="0"/>
                <w:sz w:val="18"/>
                <w:szCs w:val="18"/>
              </w:rPr>
              <w:t xml:space="preserve">绩效工资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43.12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43,12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8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奖励性</w:t>
            </w:r>
            <w:r>
              <w:rPr>
                <w:rFonts w:hint="eastAsia" w:ascii="仿宋_GB2312" w:hAnsi="宋体" w:eastAsia="仿宋_GB2312" w:cs="宋体"/>
                <w:color w:val="000000"/>
                <w:kern w:val="0"/>
                <w:sz w:val="18"/>
                <w:szCs w:val="18"/>
              </w:rPr>
              <w:t xml:space="preserve">绩效工资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25,42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25,42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8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24.74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24.74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机关事业单位基本养老保险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32.98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32.98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6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26.36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86"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6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8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w:t>
            </w:r>
          </w:p>
        </w:tc>
      </w:tr>
      <w:tr>
        <w:tblPrEx>
          <w:tblLayout w:type="fixed"/>
          <w:tblCellMar>
            <w:top w:w="0" w:type="dxa"/>
            <w:left w:w="108" w:type="dxa"/>
            <w:bottom w:w="0" w:type="dxa"/>
            <w:right w:w="108" w:type="dxa"/>
          </w:tblCellMar>
        </w:tblPrEx>
        <w:trPr>
          <w:trHeight w:val="28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260" w:hRule="atLeast"/>
        </w:trPr>
        <w:tc>
          <w:tcPr>
            <w:tcW w:w="757" w:type="dxa"/>
            <w:tcBorders>
              <w:top w:val="nil"/>
              <w:left w:val="single" w:color="auto" w:sz="4" w:space="0"/>
              <w:bottom w:val="single" w:color="auto" w:sz="4" w:space="0"/>
              <w:right w:val="single" w:color="auto" w:sz="4" w:space="0"/>
            </w:tcBorders>
            <w:shd w:val="clear" w:color="auto" w:fill="auto"/>
          </w:tcPr>
          <w:p>
            <w:pPr>
              <w:ind w:firstLine="180" w:firstLineChars="10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278"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268"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r>
      <w:tr>
        <w:tblPrEx>
          <w:tblLayout w:type="fixed"/>
          <w:tblCellMar>
            <w:top w:w="0" w:type="dxa"/>
            <w:left w:w="108" w:type="dxa"/>
            <w:bottom w:w="0" w:type="dxa"/>
            <w:right w:w="108" w:type="dxa"/>
          </w:tblCellMar>
        </w:tblPrEx>
        <w:trPr>
          <w:trHeight w:val="272"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Layout w:type="fixed"/>
          <w:tblCellMar>
            <w:top w:w="0" w:type="dxa"/>
            <w:left w:w="108" w:type="dxa"/>
            <w:bottom w:w="0" w:type="dxa"/>
            <w:right w:w="108" w:type="dxa"/>
          </w:tblCellMar>
        </w:tblPrEx>
        <w:trPr>
          <w:trHeight w:val="290"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w:t>
            </w:r>
          </w:p>
        </w:tc>
      </w:tr>
      <w:tr>
        <w:tblPrEx>
          <w:tblLayout w:type="fixed"/>
          <w:tblCellMar>
            <w:top w:w="0" w:type="dxa"/>
            <w:left w:w="108" w:type="dxa"/>
            <w:bottom w:w="0" w:type="dxa"/>
            <w:right w:w="108" w:type="dxa"/>
          </w:tblCellMar>
        </w:tblPrEx>
        <w:trPr>
          <w:trHeight w:val="266"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0.71</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0.99</w:t>
            </w:r>
          </w:p>
        </w:tc>
      </w:tr>
      <w:tr>
        <w:tblPrEx>
          <w:tblLayout w:type="fixed"/>
          <w:tblCellMar>
            <w:top w:w="0" w:type="dxa"/>
            <w:left w:w="108" w:type="dxa"/>
            <w:bottom w:w="0" w:type="dxa"/>
            <w:right w:w="108" w:type="dxa"/>
          </w:tblCellMar>
        </w:tblPrEx>
        <w:trPr>
          <w:trHeight w:val="260"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Layout w:type="fixed"/>
          <w:tblCellMar>
            <w:top w:w="0" w:type="dxa"/>
            <w:left w:w="108" w:type="dxa"/>
            <w:bottom w:w="0" w:type="dxa"/>
            <w:right w:w="108" w:type="dxa"/>
          </w:tblCellMar>
        </w:tblPrEx>
        <w:trPr>
          <w:trHeight w:val="278"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tcPr>
          <w:p>
            <w:pPr>
              <w:ind w:firstLine="90" w:firstLineChars="50"/>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5.92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5.92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4.46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6.12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6.12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383.43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341.56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41.87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58" w:type="dxa"/>
        <w:tblInd w:w="-360" w:type="dxa"/>
        <w:tblLayout w:type="fixed"/>
        <w:tblCellMar>
          <w:top w:w="0" w:type="dxa"/>
          <w:left w:w="108" w:type="dxa"/>
          <w:bottom w:w="0" w:type="dxa"/>
          <w:right w:w="108" w:type="dxa"/>
        </w:tblCellMar>
      </w:tblPr>
      <w:tblGrid>
        <w:gridCol w:w="8"/>
        <w:gridCol w:w="477"/>
        <w:gridCol w:w="396"/>
        <w:gridCol w:w="397"/>
        <w:gridCol w:w="851"/>
        <w:gridCol w:w="1456"/>
        <w:gridCol w:w="750"/>
        <w:gridCol w:w="108"/>
        <w:gridCol w:w="461"/>
        <w:gridCol w:w="536"/>
        <w:gridCol w:w="652"/>
        <w:gridCol w:w="652"/>
        <w:gridCol w:w="378"/>
        <w:gridCol w:w="200"/>
        <w:gridCol w:w="419"/>
        <w:gridCol w:w="578"/>
        <w:gridCol w:w="420"/>
        <w:gridCol w:w="420"/>
        <w:gridCol w:w="389"/>
        <w:gridCol w:w="10"/>
      </w:tblGrid>
      <w:tr>
        <w:tblPrEx>
          <w:tblLayout w:type="fixed"/>
          <w:tblCellMar>
            <w:top w:w="0" w:type="dxa"/>
            <w:left w:w="108" w:type="dxa"/>
            <w:bottom w:w="0" w:type="dxa"/>
            <w:right w:w="108" w:type="dxa"/>
          </w:tblCellMar>
        </w:tblPrEx>
        <w:trPr>
          <w:gridBefore w:val="1"/>
          <w:gridAfter w:val="1"/>
          <w:wBefore w:w="8" w:type="dxa"/>
          <w:wAfter w:w="10" w:type="dxa"/>
          <w:trHeight w:val="375" w:hRule="atLeast"/>
        </w:trPr>
        <w:tc>
          <w:tcPr>
            <w:tcW w:w="9540"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10" w:type="dxa"/>
          <w:trHeight w:val="405" w:hRule="atLeast"/>
        </w:trPr>
        <w:tc>
          <w:tcPr>
            <w:tcW w:w="4435"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编制部门：昌吉州农牧机械化技术推广站</w:t>
            </w:r>
          </w:p>
        </w:tc>
        <w:tc>
          <w:tcPr>
            <w:tcW w:w="997"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5"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213</w:t>
            </w:r>
          </w:p>
        </w:tc>
        <w:tc>
          <w:tcPr>
            <w:tcW w:w="39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01</w:t>
            </w:r>
          </w:p>
        </w:tc>
        <w:tc>
          <w:tcPr>
            <w:tcW w:w="397"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06</w:t>
            </w:r>
          </w:p>
        </w:tc>
        <w:tc>
          <w:tcPr>
            <w:tcW w:w="851"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科技转化与推广服务</w:t>
            </w:r>
          </w:p>
        </w:tc>
        <w:tc>
          <w:tcPr>
            <w:tcW w:w="145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昌吉州高标准农机化示范基地建设</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5"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399"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编制单位：昌吉州农牧机械化技术推广站              单位：万元</w:t>
      </w:r>
    </w:p>
    <w:tbl>
      <w:tblPr>
        <w:tblStyle w:val="10"/>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5.45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4.46</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0.99</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编制单位：昌吉州农牧机械化技推广站                        单位：万元</w:t>
      </w:r>
    </w:p>
    <w:tbl>
      <w:tblPr>
        <w:tblStyle w:val="10"/>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spacing w:line="560" w:lineRule="exact"/>
        <w:ind w:firstLine="562" w:firstLineChars="200"/>
        <w:rPr>
          <w:rFonts w:ascii="仿宋_GB2312" w:hAnsi="宋体" w:eastAsia="仿宋_GB2312" w:cs="宋体"/>
          <w:kern w:val="0"/>
          <w:sz w:val="32"/>
          <w:szCs w:val="32"/>
        </w:rPr>
      </w:pPr>
      <w:r>
        <w:rPr>
          <w:rFonts w:hint="eastAsia" w:ascii="仿宋_GB2312" w:hAnsi="宋体" w:eastAsia="仿宋_GB2312"/>
          <w:b/>
          <w:kern w:val="0"/>
          <w:sz w:val="28"/>
          <w:szCs w:val="32"/>
        </w:rPr>
        <w:t>备注：</w:t>
      </w:r>
      <w:r>
        <w:rPr>
          <w:rFonts w:hint="eastAsia" w:ascii="仿宋_GB2312" w:hAnsi="宋体" w:eastAsia="仿宋_GB2312" w:cs="宋体"/>
          <w:kern w:val="0"/>
          <w:sz w:val="32"/>
          <w:szCs w:val="32"/>
        </w:rPr>
        <w:t>昌吉州农牧机械化技术推广站部门2020年没有使用政府性基金预算拨款安排的支出，政府性基金预算支出情况表为空表。</w:t>
      </w:r>
    </w:p>
    <w:p>
      <w:pPr>
        <w:widowControl/>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关于昌吉州农牧机械化技术推广站部门2020年收支预算情况的总体说明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按照全口径预算的原则，昌吉州农牧机械化技术推广站部门2020年所有收入和支出均纳入部门预算管理。收支总预算389.43万元。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收入预算包括：一般公共预算389.43万元。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支出预算包括：农林水支出389.43万元。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二、关于昌吉州农牧机械化技术推广站部门2020年收入预算情况说明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昌吉州农牧机械化技术推广站部门收入预算 389.43万   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一般公共预算389.43万元，占100 %，比上年增加55.17万元，主要原因是人员经费增加；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政府性基金预算未安排，占0%，比上年增加0万元，主要原因是本单位政府性基金预算未安排；</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三、关于昌吉州农牧机械化技术推广站部门单位2020年支出预算情况说明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昌吉州农牧机械化技术推广站部门单位2020年支出预算 389.43 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383.43万元，占98.5%，比上年增加55.17万元，主要原因是人员经费增加。</w:t>
      </w:r>
    </w:p>
    <w:p>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项目支出6万元，占 1.5 %，比上年增加（减少）0万元，主要原因是该项目是延续项目。</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昌吉州农牧机械化技术推广站</w:t>
      </w:r>
      <w:r>
        <w:rPr>
          <w:rFonts w:hint="eastAsia" w:ascii="黑体" w:hAnsi="黑体" w:eastAsia="黑体" w:cs="宋体"/>
          <w:bCs/>
          <w:kern w:val="0"/>
          <w:sz w:val="32"/>
          <w:szCs w:val="32"/>
        </w:rPr>
        <w:t>部门2020年财政拨款收支预算情况的总体说明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389.43万元。</w:t>
      </w:r>
    </w:p>
    <w:p>
      <w:pPr>
        <w:spacing w:line="560" w:lineRule="exact"/>
        <w:ind w:firstLine="616" w:firstLineChars="200"/>
        <w:rPr>
          <w:rFonts w:ascii="仿宋_GB2312" w:hAnsi="宋体" w:eastAsia="仿宋_GB2312" w:cs="宋体"/>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支出预算包括：农林水支出389.43万元，主要用于保障本单位正常运转的人员经费、公用经费以及充分发挥本单位职能作用的专项业务经费。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五、关于昌吉州农牧机械化技术推广站部门2020年一般公共预算当年拨款情况说明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农牧机械化技术推广站部门2020年一般公共预算拨款基本支出383.43万元，比上年执行数减少70.29万元，下降15.49 %。主要原因是：2020年一般公共预算拨款基本支出未包括绩效奖人员经费以及访惠聚工作经费等。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1.农林水支出（</w:t>
      </w:r>
      <w:r>
        <w:rPr>
          <w:rFonts w:hint="eastAsia" w:ascii="仿宋_GB2312" w:eastAsia="仿宋_GB2312"/>
          <w:sz w:val="32"/>
          <w:szCs w:val="32"/>
          <w:lang w:val="en-US" w:eastAsia="zh-CN"/>
        </w:rPr>
        <w:t>213</w:t>
      </w:r>
      <w:r>
        <w:rPr>
          <w:rFonts w:hint="eastAsia" w:ascii="仿宋_GB2312" w:eastAsia="仿宋_GB2312"/>
          <w:sz w:val="32"/>
          <w:szCs w:val="32"/>
        </w:rPr>
        <w:t>）389.43</w:t>
      </w:r>
      <w:r>
        <w:rPr>
          <w:rFonts w:hint="eastAsia" w:ascii="仿宋_GB2312" w:hAnsi="宋体" w:eastAsia="仿宋_GB2312" w:cs="宋体"/>
          <w:kern w:val="0"/>
          <w:sz w:val="32"/>
          <w:szCs w:val="32"/>
        </w:rPr>
        <w:t>万元，占100%。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1.农林水支出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213</w:t>
      </w:r>
      <w:r>
        <w:rPr>
          <w:rFonts w:ascii="仿宋_GB2312" w:hAnsi="宋体" w:eastAsia="仿宋_GB2312" w:cs="宋体"/>
          <w:kern w:val="0"/>
          <w:sz w:val="32"/>
          <w:szCs w:val="32"/>
        </w:rPr>
        <w:t>）</w:t>
      </w:r>
      <w:r>
        <w:rPr>
          <w:rFonts w:hint="eastAsia" w:ascii="仿宋_GB2312" w:hAnsi="宋体" w:eastAsia="仿宋_GB2312" w:cs="宋体"/>
          <w:kern w:val="0"/>
          <w:sz w:val="32"/>
          <w:szCs w:val="32"/>
        </w:rPr>
        <w:t>农业</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事业</w:t>
      </w:r>
      <w:r>
        <w:rPr>
          <w:rFonts w:ascii="仿宋_GB2312" w:hAnsi="宋体" w:eastAsia="仿宋_GB2312" w:cs="宋体"/>
          <w:kern w:val="0"/>
          <w:sz w:val="32"/>
          <w:szCs w:val="32"/>
        </w:rPr>
        <w:t>运行（</w:t>
      </w:r>
      <w:r>
        <w:rPr>
          <w:rFonts w:hint="eastAsia" w:ascii="仿宋_GB2312" w:hAnsi="宋体" w:eastAsia="仿宋_GB2312" w:cs="宋体"/>
          <w:kern w:val="0"/>
          <w:sz w:val="32"/>
          <w:szCs w:val="32"/>
          <w:lang w:val="en-US" w:eastAsia="zh-CN"/>
        </w:rPr>
        <w:t>04</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昌吉州农牧机械化技术推广站2020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383.43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比上年执行数减少70.29万元，下降15.49 %，主要原因是：2020年一般公共预算拨款基本支出未包括绩效奖人员经费以及访惠聚工作经费等。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农林水支出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213</w:t>
      </w:r>
      <w:r>
        <w:rPr>
          <w:rFonts w:ascii="仿宋_GB2312" w:hAnsi="宋体" w:eastAsia="仿宋_GB2312" w:cs="宋体"/>
          <w:kern w:val="0"/>
          <w:sz w:val="32"/>
          <w:szCs w:val="32"/>
        </w:rPr>
        <w:t>）</w:t>
      </w:r>
      <w:r>
        <w:rPr>
          <w:rFonts w:hint="eastAsia" w:ascii="仿宋_GB2312" w:hAnsi="宋体" w:eastAsia="仿宋_GB2312" w:cs="宋体"/>
          <w:kern w:val="0"/>
          <w:sz w:val="32"/>
          <w:szCs w:val="32"/>
        </w:rPr>
        <w:t>农业</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科技转化与推广服务</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06</w:t>
      </w:r>
      <w:bookmarkStart w:id="0" w:name="_GoBack"/>
      <w:bookmarkEnd w:id="0"/>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昌吉州农牧机械化技术推广站2020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比上年执行数增加（减少）0万元，增长（下降）0 %，主要原因是：该项目是延续项目。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六、关于昌吉州农牧机械化技术推广站部门2020年一般公共预算基本支出情况说明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昌吉州农牧机械化技术推广站部门2020年一般公共预算基本支出383.43万元， 其中：</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人员经费341.56万元，主要包括：基本工资128.69万元、奖金8.92万元、伙食补助费31.5万元、</w:t>
      </w:r>
      <w:r>
        <w:rPr>
          <w:rFonts w:hint="eastAsia" w:ascii="仿宋_GB2312" w:hAnsi="宋体" w:eastAsia="仿宋_GB2312" w:cs="宋体"/>
          <w:kern w:val="0"/>
          <w:sz w:val="32"/>
          <w:szCs w:val="32"/>
          <w:highlight w:val="none"/>
          <w:lang w:eastAsia="zh-CN"/>
        </w:rPr>
        <w:t>基础性</w:t>
      </w:r>
      <w:r>
        <w:rPr>
          <w:rFonts w:hint="eastAsia" w:ascii="仿宋_GB2312" w:hAnsi="宋体" w:eastAsia="仿宋_GB2312" w:cs="宋体"/>
          <w:kern w:val="0"/>
          <w:sz w:val="32"/>
          <w:szCs w:val="32"/>
          <w:highlight w:val="none"/>
        </w:rPr>
        <w:t>绩效工资</w:t>
      </w:r>
      <w:r>
        <w:rPr>
          <w:rFonts w:hint="eastAsia" w:ascii="仿宋_GB2312" w:hAnsi="宋体" w:eastAsia="仿宋_GB2312" w:cs="宋体"/>
          <w:kern w:val="0"/>
          <w:sz w:val="32"/>
          <w:szCs w:val="32"/>
          <w:highlight w:val="none"/>
          <w:lang w:val="en-US" w:eastAsia="zh-CN"/>
        </w:rPr>
        <w:t>43.12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奖励性</w:t>
      </w:r>
      <w:r>
        <w:rPr>
          <w:rFonts w:hint="eastAsia" w:ascii="仿宋_GB2312" w:hAnsi="宋体" w:eastAsia="仿宋_GB2312" w:cs="宋体"/>
          <w:kern w:val="0"/>
          <w:sz w:val="32"/>
          <w:szCs w:val="32"/>
          <w:highlight w:val="none"/>
        </w:rPr>
        <w:t>绩效工资</w:t>
      </w:r>
      <w:r>
        <w:rPr>
          <w:rFonts w:hint="eastAsia" w:ascii="仿宋_GB2312" w:hAnsi="宋体" w:eastAsia="仿宋_GB2312" w:cs="宋体"/>
          <w:kern w:val="0"/>
          <w:sz w:val="32"/>
          <w:szCs w:val="32"/>
          <w:highlight w:val="none"/>
          <w:lang w:val="en-US" w:eastAsia="zh-CN"/>
        </w:rPr>
        <w:t>25.42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机关事业单位基本养老保险缴费32.98万元、职工基本医疗保险缴费26.36万元、公务员医疗补助缴费11.1万元、其他社会保障缴费1.66万元、住房公积金24.74万元、生活补助0.44万元、奖励金1.73万元、对个人和家庭的补助4.9万元等。</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公用经费41.87万元，主要包括：办公费7万元、水费 1万元、电费1万元、邮电费1万元、取暖费2.5万元、差旅费2万元、维修（护）费3.6万元、培训费0.71万元、公务接待费0.99万元、劳务费3万元、工会经费2.57万元、福利费5.92万元、公务用车运行维护费4.46万元、商品和服务支出6.12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七、关于昌吉州农牧机械化技术推广站部门2020年项目支出情况说明</w:t>
      </w:r>
    </w:p>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昌吉州高标准农机化示范基地建设</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：依据</w:t>
      </w:r>
      <w:r>
        <w:rPr>
          <w:rFonts w:hint="eastAsia" w:ascii="仿宋_GB2312" w:hAnsi="宋体" w:eastAsia="仿宋_GB2312" w:cs="宋体"/>
          <w:kern w:val="0"/>
          <w:sz w:val="32"/>
          <w:szCs w:val="32"/>
        </w:rPr>
        <w:t>单位职能</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推广先进农机技术，提高农业机械化水平，进行农牧机械化新技术、新机具试验、示范、推广。</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昌吉州农牧机械化技术推广站</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主要用于示范建设办公费、专业技术人员差族费等</w:t>
      </w:r>
      <w:r>
        <w:rPr>
          <w:rFonts w:hint="eastAsia" w:ascii="仿宋_GB2312" w:hAnsi="黑体" w:eastAsia="仿宋_GB2312"/>
          <w:sz w:val="32"/>
          <w:szCs w:val="32"/>
        </w:rPr>
        <w:t>。</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：2020年1月1日—11月30日。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八、关于昌吉州农牧机械化技术推广站部门2020年一般公共预算“三公”经费预算情况说明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昌吉州农牧机械化技术推广站部门2020年“三公”经费财政拨款预算数为5.45万元，其中：因公出国（境）费0     万元，公务用车购置0万元，公务用车运行费4.46万元，公务接待费0.99万元。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0万元，其中：因公出国（境）费增加（减少）0万元，主要原因是</w:t>
      </w:r>
      <w:r>
        <w:rPr>
          <w:rFonts w:hint="eastAsia" w:ascii="仿宋_GB2312" w:hAnsi="宋体" w:eastAsia="仿宋_GB2312"/>
          <w:sz w:val="32"/>
          <w:szCs w:val="32"/>
        </w:rPr>
        <w:t>我单位严格执行中央八项规定和区州十条规定，未安排因公出国（境）工作</w:t>
      </w:r>
      <w:r>
        <w:rPr>
          <w:rFonts w:hint="eastAsia" w:ascii="仿宋_GB2312" w:hAnsi="宋体" w:eastAsia="仿宋_GB2312" w:cs="宋体"/>
          <w:kern w:val="0"/>
          <w:sz w:val="32"/>
          <w:szCs w:val="32"/>
        </w:rPr>
        <w:t>；公务用车购置费为0，未安排预算。公务用车运行费增加（减少）0万元，主要原因是</w:t>
      </w:r>
      <w:r>
        <w:rPr>
          <w:rFonts w:hint="eastAsia" w:ascii="仿宋_GB2312" w:hAnsi="Tahoma" w:eastAsia="仿宋_GB2312" w:cs="Tahoma"/>
          <w:sz w:val="32"/>
          <w:szCs w:val="32"/>
        </w:rPr>
        <w:t>我单位严格贯彻中央和区州厉行节约的规定，严格控制公务用车运行维护费</w:t>
      </w:r>
      <w:r>
        <w:rPr>
          <w:rFonts w:hint="eastAsia" w:ascii="仿宋_GB2312" w:hAnsi="宋体" w:eastAsia="仿宋_GB2312" w:cs="宋体"/>
          <w:kern w:val="0"/>
          <w:sz w:val="32"/>
          <w:szCs w:val="32"/>
        </w:rPr>
        <w:t>；公务接待费增加（减少）0万元，主要原因是</w:t>
      </w:r>
      <w:r>
        <w:rPr>
          <w:rFonts w:hint="eastAsia" w:ascii="仿宋_GB2312" w:hAnsi="Tahoma" w:eastAsia="仿宋_GB2312" w:cs="Tahoma"/>
          <w:sz w:val="32"/>
          <w:szCs w:val="32"/>
        </w:rPr>
        <w:t>我单位按照中央和区州厉行节约的规定，严格控制公务接待费批次和人数</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九、关于昌吉州农牧机械化技术推广站部门2020年政府性基金预算拨款情况说明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昌吉州农牧机械化技术推广站部门2020年没有使用政府性基金预算拨款安排的支出，政府性基金预算支出情况表为空表。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2020年，昌吉州农牧机械化技术推广站单位的机关运行经费财政拨款预算41.87万元，比上年预算增加3.8万元，增长9.08 %。主要原因是在职人员有增加变化。</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2020年，昌吉州农牧机械化技术推广站单位政府采购预算27.7万元，其中：政府采购货物预算20.7万元，政府采购工程预算0万元，政府采购服务预算7万元。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截至2019年底，昌吉州农牧机械化技术推广站部门占用使用国有资产总体情况为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1.房屋2316.57平方米，价值110.97万元。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2.车辆2辆，价值45.19万元；其中：一般公务用车2辆，价值45.19万元；执法执勤用车0 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3.办公家具价值10.86万元。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4.其他资产价值37.69万元。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 0 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 0 台（套），单位价值100万元以上大型设备 0 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2020年度，本年度实行绩效管理的项目1个，涉及预算金额6万元。具体情况见下表（按项目分别填报）：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p>
    <w:tbl>
      <w:tblPr>
        <w:tblStyle w:val="10"/>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昌吉州农牧机械化技术推广站</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昌吉州高标准农机化示范基地建设</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单位职能：推广先进农机技术，提高农业机械化水平，进行农牧机械化新技术、新机具试验、示范、推广。</w:t>
            </w:r>
          </w:p>
          <w:p>
            <w:pPr>
              <w:widowControl/>
              <w:jc w:val="left"/>
              <w:rPr>
                <w:rFonts w:ascii="宋体" w:hAnsi="宋体" w:cs="宋体"/>
                <w:kern w:val="0"/>
                <w:sz w:val="18"/>
                <w:szCs w:val="18"/>
              </w:rPr>
            </w:pPr>
            <w:r>
              <w:rPr>
                <w:rFonts w:hint="eastAsia" w:ascii="宋体" w:hAnsi="宋体" w:cs="宋体"/>
                <w:kern w:val="0"/>
                <w:sz w:val="18"/>
                <w:szCs w:val="18"/>
              </w:rPr>
              <w:t>通过实施高标准农机化示范基地建设，以自治州农业机械化转型升级为契机，大力推广小麦、玉米、棉花、打瓜、葫芦、番茄、马铃薯、甜菜、鹰嘴豆等作物全程农业机械化技术，重点推广卫星导航、航空植保、精细整地、精量播种、精准施肥、精确施药、联合收获等节本、增效、环保成套集成技术。通过项目实施，在自治州开展全程机械化项目示范基地建设，不断创新探索适宜自治州大宗作物生产发展的先进农机生产技术应用，从节本增效增收的角度出发，提高农业产业产品竞争力。</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严格按照项目支出进行（万元）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高标准农机化示范基地核心区建设完成时间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11月30日</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建设高标准农机化示范基地（万亩）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重点推广农业机械化技术（项）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组织召开现场会（次）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农机化示范基地实现全程机械化率（%）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95.60%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实现每亩节本增效（元/亩）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不断提升农机全程机械化率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调查中满意和较满意农户占全部调查人数的比例（%）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昌吉州农牧机械化技术推广站</w:t>
      </w:r>
    </w:p>
    <w:p>
      <w:pPr>
        <w:widowControl/>
        <w:spacing w:line="520" w:lineRule="exact"/>
        <w:ind w:firstLine="4320" w:firstLineChars="13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3"/>
          <w:jc w:val="center"/>
        </w:pPr>
        <w:r>
          <w:fldChar w:fldCharType="begin"/>
        </w:r>
        <w:r>
          <w:instrText xml:space="preserve">PAGE   \* MERGEFORMAT</w:instrText>
        </w:r>
        <w:r>
          <w:fldChar w:fldCharType="separate"/>
        </w:r>
        <w:r>
          <w:rPr>
            <w:lang w:val="zh-CN"/>
          </w:rPr>
          <w:t>33</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6E59"/>
    <w:rsid w:val="00012120"/>
    <w:rsid w:val="00046EDC"/>
    <w:rsid w:val="000A24DE"/>
    <w:rsid w:val="000A52A1"/>
    <w:rsid w:val="000C09CF"/>
    <w:rsid w:val="000D560B"/>
    <w:rsid w:val="001647FA"/>
    <w:rsid w:val="0018791D"/>
    <w:rsid w:val="00194CAF"/>
    <w:rsid w:val="00206E59"/>
    <w:rsid w:val="00222919"/>
    <w:rsid w:val="00254E84"/>
    <w:rsid w:val="002662C7"/>
    <w:rsid w:val="002A1A64"/>
    <w:rsid w:val="002B6EEF"/>
    <w:rsid w:val="002C3D4D"/>
    <w:rsid w:val="002E0735"/>
    <w:rsid w:val="002E0B53"/>
    <w:rsid w:val="00306545"/>
    <w:rsid w:val="00315EC7"/>
    <w:rsid w:val="00316A5B"/>
    <w:rsid w:val="00322CC9"/>
    <w:rsid w:val="003607F6"/>
    <w:rsid w:val="003B200D"/>
    <w:rsid w:val="003D10B9"/>
    <w:rsid w:val="003E370E"/>
    <w:rsid w:val="004074D3"/>
    <w:rsid w:val="00437A4A"/>
    <w:rsid w:val="00487182"/>
    <w:rsid w:val="004F54E1"/>
    <w:rsid w:val="0050294F"/>
    <w:rsid w:val="005077E4"/>
    <w:rsid w:val="005376A7"/>
    <w:rsid w:val="00547EC6"/>
    <w:rsid w:val="00554BC3"/>
    <w:rsid w:val="005618A6"/>
    <w:rsid w:val="00575B0A"/>
    <w:rsid w:val="005C34E8"/>
    <w:rsid w:val="00644692"/>
    <w:rsid w:val="00661F17"/>
    <w:rsid w:val="006B1D8A"/>
    <w:rsid w:val="006C4922"/>
    <w:rsid w:val="007020FF"/>
    <w:rsid w:val="0072157E"/>
    <w:rsid w:val="00771D8B"/>
    <w:rsid w:val="00777092"/>
    <w:rsid w:val="007B50C5"/>
    <w:rsid w:val="007F0D7A"/>
    <w:rsid w:val="0080193C"/>
    <w:rsid w:val="00802C0D"/>
    <w:rsid w:val="008676FC"/>
    <w:rsid w:val="00870A79"/>
    <w:rsid w:val="0088523E"/>
    <w:rsid w:val="008D6461"/>
    <w:rsid w:val="00911FB4"/>
    <w:rsid w:val="00915D00"/>
    <w:rsid w:val="0091715F"/>
    <w:rsid w:val="00944B81"/>
    <w:rsid w:val="00976305"/>
    <w:rsid w:val="009A0312"/>
    <w:rsid w:val="009B3010"/>
    <w:rsid w:val="00A13CFA"/>
    <w:rsid w:val="00A25500"/>
    <w:rsid w:val="00A80B86"/>
    <w:rsid w:val="00AB14B6"/>
    <w:rsid w:val="00AD4153"/>
    <w:rsid w:val="00B272AD"/>
    <w:rsid w:val="00B57528"/>
    <w:rsid w:val="00B91634"/>
    <w:rsid w:val="00BD3635"/>
    <w:rsid w:val="00C74687"/>
    <w:rsid w:val="00C76834"/>
    <w:rsid w:val="00C77AE3"/>
    <w:rsid w:val="00C8617D"/>
    <w:rsid w:val="00CB51A4"/>
    <w:rsid w:val="00CC1AF7"/>
    <w:rsid w:val="00CF7781"/>
    <w:rsid w:val="00D00CDC"/>
    <w:rsid w:val="00D31793"/>
    <w:rsid w:val="00D37280"/>
    <w:rsid w:val="00D85033"/>
    <w:rsid w:val="00D95143"/>
    <w:rsid w:val="00DA3E7C"/>
    <w:rsid w:val="00DE3323"/>
    <w:rsid w:val="00DE4A97"/>
    <w:rsid w:val="00E36D5F"/>
    <w:rsid w:val="00F35F1B"/>
    <w:rsid w:val="00F856E1"/>
    <w:rsid w:val="00FA02F0"/>
    <w:rsid w:val="00FC42E1"/>
    <w:rsid w:val="00FD4D6A"/>
    <w:rsid w:val="011D5CBB"/>
    <w:rsid w:val="01AF7A01"/>
    <w:rsid w:val="089048B1"/>
    <w:rsid w:val="097342C1"/>
    <w:rsid w:val="0D3419F7"/>
    <w:rsid w:val="0D6A230E"/>
    <w:rsid w:val="17780529"/>
    <w:rsid w:val="19604A3E"/>
    <w:rsid w:val="197D3471"/>
    <w:rsid w:val="1ABD3F1E"/>
    <w:rsid w:val="1C156B62"/>
    <w:rsid w:val="1E371C7B"/>
    <w:rsid w:val="274F6EB2"/>
    <w:rsid w:val="27EF3C22"/>
    <w:rsid w:val="292467F4"/>
    <w:rsid w:val="2A115BEC"/>
    <w:rsid w:val="2AB02794"/>
    <w:rsid w:val="2AEB488F"/>
    <w:rsid w:val="2AFB57AB"/>
    <w:rsid w:val="2E31782B"/>
    <w:rsid w:val="30023344"/>
    <w:rsid w:val="31A46054"/>
    <w:rsid w:val="32737835"/>
    <w:rsid w:val="33215EAC"/>
    <w:rsid w:val="355C50BD"/>
    <w:rsid w:val="35F93CAE"/>
    <w:rsid w:val="361E37CF"/>
    <w:rsid w:val="368B5F77"/>
    <w:rsid w:val="398D10F0"/>
    <w:rsid w:val="3CF06F2D"/>
    <w:rsid w:val="41873374"/>
    <w:rsid w:val="43C22C6F"/>
    <w:rsid w:val="451379CF"/>
    <w:rsid w:val="46154A34"/>
    <w:rsid w:val="464F3CB8"/>
    <w:rsid w:val="4A0B1141"/>
    <w:rsid w:val="4B9B0E70"/>
    <w:rsid w:val="4C786355"/>
    <w:rsid w:val="4EDF1C8E"/>
    <w:rsid w:val="52F26C6E"/>
    <w:rsid w:val="543E471A"/>
    <w:rsid w:val="56866865"/>
    <w:rsid w:val="56AB17E3"/>
    <w:rsid w:val="59AA5628"/>
    <w:rsid w:val="5AE455AA"/>
    <w:rsid w:val="5DAF046E"/>
    <w:rsid w:val="5E077D77"/>
    <w:rsid w:val="5F1E4132"/>
    <w:rsid w:val="60190B65"/>
    <w:rsid w:val="61636D98"/>
    <w:rsid w:val="62131608"/>
    <w:rsid w:val="62553D4F"/>
    <w:rsid w:val="65C31CF1"/>
    <w:rsid w:val="68A91EC6"/>
    <w:rsid w:val="6F042056"/>
    <w:rsid w:val="6F1D7BE9"/>
    <w:rsid w:val="70F412E4"/>
    <w:rsid w:val="72BA20E2"/>
    <w:rsid w:val="7CD92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字符"/>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7"/>
    <w:link w:val="2"/>
    <w:semiHidden/>
    <w:qFormat/>
    <w:uiPriority w:val="0"/>
    <w:rPr>
      <w:rFonts w:ascii="Times New Roman" w:hAnsi="Times New Roman" w:eastAsia="宋体" w:cs="Times New Roman"/>
      <w:sz w:val="18"/>
      <w:szCs w:val="18"/>
    </w:rPr>
  </w:style>
  <w:style w:type="character" w:customStyle="1" w:styleId="15">
    <w:name w:val="页眉 字符"/>
    <w:basedOn w:val="7"/>
    <w:link w:val="4"/>
    <w:qFormat/>
    <w:uiPriority w:val="0"/>
    <w:rPr>
      <w:rFonts w:ascii="Times New Roman" w:hAnsi="Times New Roman" w:eastAsia="宋体" w:cs="Times New Roman"/>
      <w:sz w:val="18"/>
      <w:szCs w:val="18"/>
    </w:rPr>
  </w:style>
  <w:style w:type="character" w:customStyle="1" w:styleId="16">
    <w:name w:val="正文文本缩进 3 字符"/>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B77E1-3565-4F70-8670-4E640E26A1B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1445</Words>
  <Characters>8240</Characters>
  <Lines>68</Lines>
  <Paragraphs>19</Paragraphs>
  <TotalTime>9</TotalTime>
  <ScaleCrop>false</ScaleCrop>
  <LinksUpToDate>false</LinksUpToDate>
  <CharactersWithSpaces>9666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2020-03-21T13:22:00Z</dcterms:created>
  <dc:creator>闫超</dc:creator>
  <cp:lastModifiedBy>Administrator</cp:lastModifiedBy>
  <cp:lastPrinted>2021-05-27T09:10:03Z</cp:lastPrinted>
  <dcterms:modified xsi:type="dcterms:W3CDTF">2021-05-27T10:22:29Z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