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Times New Roman" w:hAnsi="Times New Roman" w:eastAsia="黑体" w:cs="Times New Roman"/>
          <w:b/>
          <w:color w:val="auto"/>
          <w:sz w:val="30"/>
        </w:rPr>
      </w:pPr>
      <w:r>
        <w:rPr>
          <w:rFonts w:hint="default" w:ascii="Times New Roman" w:hAnsi="Times New Roman" w:eastAsia="黑体" w:cs="Times New Roman"/>
          <w:b/>
          <w:color w:val="auto"/>
          <w:sz w:val="30"/>
        </w:rPr>
        <w:t>建设项目基本情况</w:t>
      </w:r>
    </w:p>
    <w:tbl>
      <w:tblPr>
        <w:tblStyle w:val="33"/>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1731"/>
        <w:gridCol w:w="1607"/>
        <w:gridCol w:w="1399"/>
        <w:gridCol w:w="58"/>
        <w:gridCol w:w="1518"/>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项目名称</w:t>
            </w:r>
          </w:p>
        </w:tc>
        <w:tc>
          <w:tcPr>
            <w:tcW w:w="7144" w:type="dxa"/>
            <w:gridSpan w:val="6"/>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新疆鲁兴化工有限公司化工仓储物流改造项目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建设单位</w:t>
            </w:r>
          </w:p>
        </w:tc>
        <w:tc>
          <w:tcPr>
            <w:tcW w:w="7144" w:type="dxa"/>
            <w:gridSpan w:val="6"/>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法人代表</w:t>
            </w:r>
          </w:p>
        </w:tc>
        <w:tc>
          <w:tcPr>
            <w:tcW w:w="3153" w:type="dxa"/>
            <w:gridSpan w:val="2"/>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翟雷绪</w:t>
            </w:r>
          </w:p>
        </w:tc>
        <w:tc>
          <w:tcPr>
            <w:tcW w:w="1274" w:type="dxa"/>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联系人</w:t>
            </w:r>
          </w:p>
        </w:tc>
        <w:tc>
          <w:tcPr>
            <w:tcW w:w="2717" w:type="dxa"/>
            <w:gridSpan w:val="3"/>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马金永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通讯地址</w:t>
            </w:r>
          </w:p>
        </w:tc>
        <w:tc>
          <w:tcPr>
            <w:tcW w:w="7144" w:type="dxa"/>
            <w:gridSpan w:val="6"/>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pacing w:val="-5"/>
                <w:sz w:val="24"/>
              </w:rPr>
              <w:t>新疆昌吉州呼图壁县工业园区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8"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联系电话</w:t>
            </w:r>
          </w:p>
        </w:tc>
        <w:tc>
          <w:tcPr>
            <w:tcW w:w="3153" w:type="dxa"/>
            <w:gridSpan w:val="2"/>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18599409888</w:t>
            </w:r>
          </w:p>
        </w:tc>
        <w:tc>
          <w:tcPr>
            <w:tcW w:w="1274" w:type="dxa"/>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邮政编码</w:t>
            </w:r>
          </w:p>
        </w:tc>
        <w:tc>
          <w:tcPr>
            <w:tcW w:w="2717" w:type="dxa"/>
            <w:gridSpan w:val="3"/>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831200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1371" w:type="dxa"/>
            <w:vAlign w:val="center"/>
          </w:tcPr>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建设地点</w:t>
            </w:r>
          </w:p>
        </w:tc>
        <w:tc>
          <w:tcPr>
            <w:tcW w:w="7144" w:type="dxa"/>
            <w:gridSpan w:val="6"/>
            <w:vAlign w:val="center"/>
          </w:tcPr>
          <w:p>
            <w:pPr>
              <w:snapToGrid w:val="0"/>
              <w:jc w:val="center"/>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7" w:hRule="atLeast"/>
          <w:jc w:val="center"/>
        </w:trPr>
        <w:tc>
          <w:tcPr>
            <w:tcW w:w="1371"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立项审批部门</w:t>
            </w:r>
          </w:p>
        </w:tc>
        <w:tc>
          <w:tcPr>
            <w:tcW w:w="3153" w:type="dxa"/>
            <w:gridSpan w:val="2"/>
            <w:vAlign w:val="center"/>
          </w:tcPr>
          <w:p>
            <w:pPr>
              <w:jc w:val="center"/>
              <w:rPr>
                <w:rFonts w:hint="default" w:ascii="Times New Roman" w:hAnsi="Times New Roman" w:cs="Times New Roman"/>
                <w:color w:val="auto"/>
                <w:sz w:val="24"/>
              </w:rPr>
            </w:pPr>
            <w:r>
              <w:rPr>
                <w:rFonts w:hint="default" w:ascii="Times New Roman" w:hAnsi="Times New Roman" w:cs="Times New Roman"/>
                <w:color w:val="auto"/>
                <w:sz w:val="24"/>
              </w:rPr>
              <w:t>呼图壁县商务和工业信息化局</w:t>
            </w:r>
          </w:p>
        </w:tc>
        <w:tc>
          <w:tcPr>
            <w:tcW w:w="1331" w:type="dxa"/>
            <w:gridSpan w:val="2"/>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批准文号</w:t>
            </w:r>
          </w:p>
        </w:tc>
        <w:tc>
          <w:tcPr>
            <w:tcW w:w="2660" w:type="dxa"/>
            <w:gridSpan w:val="2"/>
            <w:vAlign w:val="center"/>
          </w:tcPr>
          <w:p>
            <w:pPr>
              <w:ind w:left="-107" w:leftChars="-51" w:right="-105" w:rightChars="-50"/>
              <w:jc w:val="center"/>
              <w:rPr>
                <w:rFonts w:hint="default" w:ascii="Times New Roman" w:hAnsi="Times New Roman" w:cs="Times New Roman"/>
                <w:color w:val="auto"/>
                <w:sz w:val="24"/>
              </w:rPr>
            </w:pPr>
            <w:r>
              <w:rPr>
                <w:rFonts w:hint="default" w:ascii="Times New Roman" w:hAnsi="Times New Roman" w:cs="Times New Roman"/>
                <w:color w:val="auto"/>
                <w:sz w:val="24"/>
              </w:rPr>
              <w:t>呼商工信技备[2019]38号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71"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建设性质</w:t>
            </w:r>
          </w:p>
        </w:tc>
        <w:tc>
          <w:tcPr>
            <w:tcW w:w="3153" w:type="dxa"/>
            <w:gridSpan w:val="2"/>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新建□ 改扩建</w:t>
            </w: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eq \o\ac(□,</w:instrText>
            </w:r>
            <w:r>
              <w:rPr>
                <w:rFonts w:hint="default" w:ascii="Times New Roman" w:hAnsi="Times New Roman" w:cs="Times New Roman"/>
                <w:color w:val="auto"/>
                <w:position w:val="2"/>
                <w:sz w:val="24"/>
              </w:rPr>
              <w:instrText xml:space="preserve">√</w:instrText>
            </w:r>
            <w:r>
              <w:rPr>
                <w:rFonts w:hint="default" w:ascii="Times New Roman" w:hAnsi="Times New Roman" w:cs="Times New Roman"/>
                <w:color w:val="auto"/>
                <w:sz w:val="24"/>
              </w:rPr>
              <w:instrText xml:space="preserve">)</w:instrTex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 xml:space="preserve"> 技改□</w:t>
            </w:r>
          </w:p>
        </w:tc>
        <w:tc>
          <w:tcPr>
            <w:tcW w:w="1331" w:type="dxa"/>
            <w:gridSpan w:val="2"/>
            <w:vAlign w:val="center"/>
          </w:tcPr>
          <w:p>
            <w:pPr>
              <w:jc w:val="center"/>
              <w:rPr>
                <w:rFonts w:hint="default" w:ascii="Times New Roman" w:hAnsi="Times New Roman" w:cs="Times New Roman"/>
                <w:color w:val="auto"/>
                <w:sz w:val="24"/>
              </w:rPr>
            </w:pPr>
            <w:r>
              <w:rPr>
                <w:rFonts w:hint="default" w:ascii="Times New Roman" w:hAnsi="Times New Roman" w:cs="Times New Roman"/>
                <w:color w:val="auto"/>
                <w:sz w:val="24"/>
              </w:rPr>
              <w:t>行业类别</w:t>
            </w:r>
          </w:p>
          <w:p>
            <w:pPr>
              <w:jc w:val="center"/>
              <w:rPr>
                <w:rFonts w:hint="default" w:ascii="Times New Roman" w:hAnsi="Times New Roman" w:cs="Times New Roman"/>
                <w:color w:val="auto"/>
                <w:sz w:val="24"/>
              </w:rPr>
            </w:pPr>
            <w:r>
              <w:rPr>
                <w:rFonts w:hint="default" w:ascii="Times New Roman" w:hAnsi="Times New Roman" w:cs="Times New Roman"/>
                <w:color w:val="auto"/>
                <w:sz w:val="24"/>
              </w:rPr>
              <w:t>及代码</w:t>
            </w:r>
          </w:p>
        </w:tc>
        <w:tc>
          <w:tcPr>
            <w:tcW w:w="2660" w:type="dxa"/>
            <w:gridSpan w:val="2"/>
            <w:vAlign w:val="center"/>
          </w:tcPr>
          <w:p>
            <w:pPr>
              <w:pStyle w:val="2"/>
              <w:jc w:val="center"/>
              <w:rPr>
                <w:rFonts w:hint="default" w:ascii="Times New Roman" w:hAnsi="Times New Roman" w:cs="Times New Roman"/>
                <w:color w:val="auto"/>
                <w:sz w:val="24"/>
              </w:rPr>
            </w:pPr>
            <w:r>
              <w:rPr>
                <w:rFonts w:hint="default" w:ascii="Times New Roman" w:hAnsi="Times New Roman" w:cs="Times New Roman"/>
                <w:color w:val="auto"/>
                <w:sz w:val="24"/>
              </w:rPr>
              <w:t>G5941油气仓储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71" w:type="dxa"/>
            <w:vAlign w:val="center"/>
          </w:tcPr>
          <w:p>
            <w:pPr>
              <w:jc w:val="center"/>
              <w:rPr>
                <w:rFonts w:hint="default" w:ascii="Times New Roman" w:hAnsi="Times New Roman" w:cs="Times New Roman"/>
                <w:color w:val="auto"/>
                <w:sz w:val="24"/>
              </w:rPr>
            </w:pPr>
            <w:r>
              <w:rPr>
                <w:rFonts w:hint="default" w:ascii="Times New Roman" w:hAnsi="Times New Roman" w:cs="Times New Roman"/>
                <w:color w:val="auto"/>
                <w:sz w:val="24"/>
              </w:rPr>
              <w:t>占地面积</w:t>
            </w:r>
          </w:p>
          <w:p>
            <w:pPr>
              <w:jc w:val="center"/>
              <w:rPr>
                <w:rFonts w:hint="default" w:ascii="Times New Roman" w:hAnsi="Times New Roman" w:cs="Times New Roman"/>
                <w:color w:val="auto"/>
                <w:sz w:val="24"/>
              </w:rPr>
            </w:pPr>
            <w:r>
              <w:rPr>
                <w:rFonts w:hint="default" w:ascii="Times New Roman" w:hAnsi="Times New Roman" w:cs="Times New Roman"/>
                <w:color w:val="auto"/>
                <w:sz w:val="24"/>
              </w:rPr>
              <w:t>（平方米）</w:t>
            </w:r>
          </w:p>
        </w:tc>
        <w:tc>
          <w:tcPr>
            <w:tcW w:w="3153" w:type="dxa"/>
            <w:gridSpan w:val="2"/>
            <w:vAlign w:val="center"/>
          </w:tcPr>
          <w:p>
            <w:pPr>
              <w:jc w:val="center"/>
              <w:rPr>
                <w:rFonts w:hint="default" w:ascii="Times New Roman" w:hAnsi="Times New Roman" w:cs="Times New Roman"/>
                <w:color w:val="auto"/>
                <w:sz w:val="24"/>
              </w:rPr>
            </w:pPr>
            <w:r>
              <w:rPr>
                <w:rFonts w:hint="default" w:ascii="Times New Roman" w:hAnsi="Times New Roman" w:cs="Times New Roman"/>
                <w:color w:val="auto"/>
                <w:sz w:val="24"/>
              </w:rPr>
              <w:t>7095</w:t>
            </w:r>
          </w:p>
        </w:tc>
        <w:tc>
          <w:tcPr>
            <w:tcW w:w="1331" w:type="dxa"/>
            <w:gridSpan w:val="2"/>
            <w:vAlign w:val="center"/>
          </w:tcPr>
          <w:p>
            <w:pPr>
              <w:jc w:val="center"/>
              <w:rPr>
                <w:rFonts w:hint="default" w:ascii="Times New Roman" w:hAnsi="Times New Roman" w:cs="Times New Roman"/>
                <w:color w:val="auto"/>
                <w:sz w:val="24"/>
              </w:rPr>
            </w:pPr>
            <w:r>
              <w:rPr>
                <w:rFonts w:hint="default" w:ascii="Times New Roman" w:hAnsi="Times New Roman" w:cs="Times New Roman"/>
                <w:color w:val="auto"/>
                <w:sz w:val="24"/>
              </w:rPr>
              <w:t>绿化面积</w:t>
            </w:r>
          </w:p>
          <w:p>
            <w:pPr>
              <w:rPr>
                <w:rFonts w:hint="default" w:ascii="Times New Roman" w:hAnsi="Times New Roman" w:cs="Times New Roman"/>
                <w:color w:val="auto"/>
                <w:sz w:val="24"/>
              </w:rPr>
            </w:pPr>
            <w:r>
              <w:rPr>
                <w:rFonts w:hint="default" w:ascii="Times New Roman" w:hAnsi="Times New Roman" w:cs="Times New Roman"/>
                <w:color w:val="auto"/>
                <w:sz w:val="24"/>
              </w:rPr>
              <w:t>（平方米）</w:t>
            </w:r>
          </w:p>
        </w:tc>
        <w:tc>
          <w:tcPr>
            <w:tcW w:w="2660" w:type="dxa"/>
            <w:gridSpan w:val="2"/>
            <w:vAlign w:val="center"/>
          </w:tcPr>
          <w:p>
            <w:pPr>
              <w:jc w:val="center"/>
              <w:rPr>
                <w:rFonts w:hint="default" w:ascii="Times New Roman" w:hAnsi="Times New Roman" w:cs="Times New Roman"/>
                <w:color w:val="auto"/>
                <w:sz w:val="24"/>
                <w:highlight w:val="yellow"/>
              </w:rPr>
            </w:pPr>
            <w:r>
              <w:rPr>
                <w:rFonts w:hint="default" w:ascii="Times New Roman" w:hAnsi="Times New Roman" w:cs="Times New Roman"/>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371"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总投资</w:t>
            </w:r>
          </w:p>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(万元)</w:t>
            </w:r>
          </w:p>
        </w:tc>
        <w:tc>
          <w:tcPr>
            <w:tcW w:w="1644"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2050</w:t>
            </w:r>
          </w:p>
        </w:tc>
        <w:tc>
          <w:tcPr>
            <w:tcW w:w="1509"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其中：环保</w:t>
            </w:r>
          </w:p>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投资(万元)</w:t>
            </w:r>
          </w:p>
        </w:tc>
        <w:tc>
          <w:tcPr>
            <w:tcW w:w="1331" w:type="dxa"/>
            <w:gridSpan w:val="2"/>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40.7</w:t>
            </w:r>
          </w:p>
        </w:tc>
        <w:tc>
          <w:tcPr>
            <w:tcW w:w="1488"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环保投资占总投资比例</w:t>
            </w:r>
          </w:p>
        </w:tc>
        <w:tc>
          <w:tcPr>
            <w:tcW w:w="1172"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1"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评价经费</w:t>
            </w:r>
          </w:p>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(万元)</w:t>
            </w:r>
          </w:p>
        </w:tc>
        <w:tc>
          <w:tcPr>
            <w:tcW w:w="1644"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w:t>
            </w:r>
          </w:p>
        </w:tc>
        <w:tc>
          <w:tcPr>
            <w:tcW w:w="1509" w:type="dxa"/>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投产日期</w:t>
            </w:r>
          </w:p>
        </w:tc>
        <w:tc>
          <w:tcPr>
            <w:tcW w:w="3991" w:type="dxa"/>
            <w:gridSpan w:val="4"/>
            <w:vAlign w:val="center"/>
          </w:tcPr>
          <w:p>
            <w:pPr>
              <w:spacing w:line="400" w:lineRule="exact"/>
              <w:jc w:val="center"/>
              <w:rPr>
                <w:rFonts w:hint="default" w:ascii="Times New Roman" w:hAnsi="Times New Roman" w:cs="Times New Roman"/>
                <w:color w:val="auto"/>
                <w:sz w:val="24"/>
              </w:rPr>
            </w:pPr>
            <w:r>
              <w:rPr>
                <w:rFonts w:hint="default" w:ascii="Times New Roman" w:hAnsi="Times New Roman" w:cs="Times New Roman"/>
                <w:color w:val="auto"/>
                <w:sz w:val="24"/>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6" w:hRule="atLeast"/>
          <w:jc w:val="center"/>
        </w:trPr>
        <w:tc>
          <w:tcPr>
            <w:tcW w:w="8515" w:type="dxa"/>
            <w:gridSpan w:val="7"/>
            <w:vAlign w:val="center"/>
          </w:tcPr>
          <w:p>
            <w:pPr>
              <w:spacing w:line="360" w:lineRule="auto"/>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工程内容及规模</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1.项目背景</w:t>
            </w:r>
          </w:p>
          <w:p>
            <w:pPr>
              <w:widowControl/>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随着经济的快速发展，各种基础化工原料的需求量越来越大。近年来，周边相关的化工企业发展迅速，但与之相配套的化工产品仓储物流，特别是液体仓储存在明显的不足和欠缺，生产企业化工物流经营分散，方式单一，组织化程度低，横向联合薄弱，化工物流管理手段落后，没有充分发挥化工物流业的规模效应和协同效应，建设化工原料仓储物流的发展空间巨大。因此，发展现代化的大型仓储物流一体化服务是非常必要的，具有良好的发展机遇，符合国家产业政策，市场需求大，前景十分广阔。基于上述情况，新疆鲁兴化工有限公司在大量调研的基础上决定投资建设10万m³粗白油仓储项目。 </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按照《中华人民共和国环境保护法》和《建设项目环境保护管理条例》以及《建设项目环境影响评价分类管理名录》，本项目仓储原料主要为粗白油，根据《建设项目环境影响评价分类管理名录》，粗白油是低毒物质，因为有毒仓储项目需做环境影响评价报告表，所以本项目应编制环境影响评价报告表。受新疆鲁兴化工有限公司委托，本单位承担了该项目的环境影响评价工作。接受委托后，在现场踏勘和资料收集的基础上，编制完成了本环境影响评价报告表，并呈报环境保护行政主管部门进行审批，审批后的报告表将作为环保部门对企业进行环境管理的依据。</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2.工程概况</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2.1工程基本情况</w:t>
            </w:r>
          </w:p>
          <w:p>
            <w:pPr>
              <w:pStyle w:val="2"/>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（1）项目名称：新疆鲁兴化工有限公司化工仓储物流改造项目</w:t>
            </w:r>
          </w:p>
          <w:p>
            <w:pPr>
              <w:pStyle w:val="2"/>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（2）建设单位：新疆鲁兴化工有限公司</w:t>
            </w:r>
          </w:p>
          <w:p>
            <w:pPr>
              <w:pStyle w:val="2"/>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（3）建设性质：改建项目</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建设地点：项目位于新疆昌吉州呼图壁县工业园区新疆鲁兴化工有限公司院内，项目地理坐标为N44°15′57″，E86°34′53″。本项目周边北隔横二路为新疆锦弘镁合金有限公司，南与新疆瑞成气体有限公司相邻，东隔规划路为新疆天玑钢构钢结构加工厂，西与新疆鑫邦石化有限公司相邻。项目区地理位置图详见图1,卫星影像图见图2。</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（5）项目总投资：本项目总投资2050万元；资金筹措：企业自筹30%，银行贷款70%。</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2.2建设规模</w:t>
            </w:r>
          </w:p>
          <w:p>
            <w:pPr>
              <w:adjustRightInd w:val="0"/>
              <w:snapToGrid w:val="0"/>
              <w:spacing w:line="360" w:lineRule="auto"/>
              <w:ind w:firstLine="480" w:firstLineChars="200"/>
              <w:rPr>
                <w:rFonts w:hint="default" w:ascii="Times New Roman" w:hAnsi="Times New Roman" w:eastAsia="仿宋" w:cs="Times New Roman"/>
                <w:color w:val="auto"/>
                <w:sz w:val="24"/>
              </w:rPr>
            </w:pPr>
            <w:r>
              <w:rPr>
                <w:rFonts w:hint="default" w:ascii="Times New Roman" w:hAnsi="Times New Roman" w:cs="Times New Roman"/>
                <w:color w:val="auto"/>
                <w:sz w:val="24"/>
              </w:rPr>
              <w:t>本项目通过对厂区现有罐区内16个储罐（原环评批复的4个原料储罐2000m³，产品罐：6#溶剂油2个1000m³，120#溶剂油2个1000m³，200#溶剂油4个1000m³，260#溶剂油1个1000m³，轻烃1个1000m³，均建成未使用）进行技术改造，利用已建好的汽车装卸平台，使其达到年储存10万m³粗白油的能力。</w:t>
            </w:r>
            <w:r>
              <w:rPr>
                <w:rFonts w:hint="default" w:ascii="Times New Roman" w:hAnsi="Times New Roman" w:eastAsia="仿宋" w:cs="Times New Roman"/>
                <w:color w:val="auto"/>
                <w:sz w:val="24"/>
              </w:rPr>
              <w:t xml:space="preserve"> </w:t>
            </w:r>
          </w:p>
          <w:p>
            <w:pPr>
              <w:adjustRightInd w:val="0"/>
              <w:snapToGrid w:val="0"/>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2.3建设内容</w:t>
            </w:r>
          </w:p>
          <w:p>
            <w:pPr>
              <w:adjustRightInd w:val="0"/>
              <w:snapToGrid w:val="0"/>
              <w:spacing w:line="360" w:lineRule="auto"/>
              <w:ind w:firstLine="480" w:firstLineChars="200"/>
              <w:rPr>
                <w:rFonts w:hint="default" w:ascii="Times New Roman" w:hAnsi="Times New Roman" w:cs="Times New Roman"/>
                <w:b/>
                <w:bCs/>
                <w:color w:val="auto"/>
                <w:sz w:val="24"/>
              </w:rPr>
            </w:pPr>
            <w:r>
              <w:rPr>
                <w:rFonts w:hint="default" w:ascii="Times New Roman" w:hAnsi="Times New Roman" w:cs="Times New Roman"/>
                <w:color w:val="auto"/>
                <w:sz w:val="24"/>
              </w:rPr>
              <w:t>本项目通过对厂区现有罐区内16个储罐（原环评批复的4个原料储罐2000m³，产品罐：6#溶剂油2个1000m³，120#溶剂油2个1000m³，200#溶剂油4个1000m³，260#溶剂油1个1000m³，轻烃1个1000m³，均建成未使用）进行技术改造，达到年储存10万m³粗白油的能力。具体项目组成内容见表1。</w:t>
            </w:r>
            <w:r>
              <w:rPr>
                <w:rFonts w:hint="default" w:ascii="Times New Roman" w:hAnsi="Times New Roman" w:eastAsia="仿宋" w:cs="Times New Roman"/>
                <w:color w:val="auto"/>
              </w:rPr>
              <w:t xml:space="preserve"> </w:t>
            </w:r>
          </w:p>
          <w:p>
            <w:pPr>
              <w:overflowPunct w:val="0"/>
              <w:adjustRightInd w:val="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表1   主要工程建设内容及规模</w:t>
            </w:r>
          </w:p>
          <w:tbl>
            <w:tblPr>
              <w:tblStyle w:val="33"/>
              <w:tblW w:w="499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52"/>
              <w:gridCol w:w="670"/>
              <w:gridCol w:w="6485"/>
              <w:gridCol w:w="11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项目</w:t>
                  </w:r>
                </w:p>
              </w:tc>
              <w:tc>
                <w:tcPr>
                  <w:tcW w:w="379"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建设内容</w:t>
                  </w:r>
                </w:p>
              </w:tc>
              <w:tc>
                <w:tcPr>
                  <w:tcW w:w="3670"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建设规模</w:t>
                  </w:r>
                </w:p>
              </w:tc>
              <w:tc>
                <w:tcPr>
                  <w:tcW w:w="636"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主体</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工程</w:t>
                  </w: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储罐区</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罐区内16个储罐（</w:t>
                  </w:r>
                  <w:r>
                    <w:rPr>
                      <w:rFonts w:hint="default" w:ascii="Times New Roman" w:hAnsi="Times New Roman" w:eastAsia="宋体" w:cs="Times New Roman"/>
                      <w:color w:val="auto"/>
                      <w:szCs w:val="21"/>
                    </w:rPr>
                    <w:t>2台2000m³内浮</w:t>
                  </w:r>
                  <w:r>
                    <w:rPr>
                      <w:rFonts w:hint="default" w:ascii="Times New Roman" w:hAnsi="Times New Roman" w:cs="Times New Roman"/>
                      <w:color w:val="auto"/>
                      <w:szCs w:val="21"/>
                    </w:rPr>
                    <w:t>顶罐</w:t>
                  </w:r>
                  <w:r>
                    <w:rPr>
                      <w:rFonts w:hint="default" w:ascii="Times New Roman" w:hAnsi="Times New Roman" w:eastAsia="宋体" w:cs="Times New Roman"/>
                      <w:color w:val="auto"/>
                      <w:szCs w:val="21"/>
                    </w:rPr>
                    <w:t>，2台2000m³</w:t>
                  </w:r>
                  <w:r>
                    <w:rPr>
                      <w:rFonts w:hint="default" w:ascii="Times New Roman" w:hAnsi="Times New Roman" w:cs="Times New Roman"/>
                      <w:color w:val="auto"/>
                      <w:szCs w:val="21"/>
                    </w:rPr>
                    <w:t>拱</w:t>
                  </w:r>
                  <w:r>
                    <w:rPr>
                      <w:rFonts w:hint="default" w:ascii="Times New Roman" w:hAnsi="Times New Roman" w:eastAsia="宋体" w:cs="Times New Roman"/>
                      <w:color w:val="auto"/>
                      <w:szCs w:val="21"/>
                    </w:rPr>
                    <w:t>顶</w:t>
                  </w:r>
                  <w:r>
                    <w:rPr>
                      <w:rFonts w:hint="default" w:ascii="Times New Roman" w:hAnsi="Times New Roman" w:cs="Times New Roman"/>
                      <w:color w:val="auto"/>
                      <w:szCs w:val="21"/>
                    </w:rPr>
                    <w:t>罐</w:t>
                  </w:r>
                  <w:r>
                    <w:rPr>
                      <w:rFonts w:hint="default" w:ascii="Times New Roman" w:hAnsi="Times New Roman" w:eastAsia="宋体" w:cs="Times New Roman"/>
                      <w:color w:val="auto"/>
                      <w:szCs w:val="21"/>
                    </w:rPr>
                    <w:t>，2台1000m³内浮顶</w:t>
                  </w:r>
                  <w:r>
                    <w:rPr>
                      <w:rFonts w:hint="default" w:ascii="Times New Roman" w:hAnsi="Times New Roman" w:cs="Times New Roman"/>
                      <w:color w:val="auto"/>
                      <w:szCs w:val="21"/>
                    </w:rPr>
                    <w:t>罐</w:t>
                  </w:r>
                  <w:r>
                    <w:rPr>
                      <w:rFonts w:hint="default" w:ascii="Times New Roman" w:hAnsi="Times New Roman" w:eastAsia="宋体" w:cs="Times New Roman"/>
                      <w:color w:val="auto"/>
                      <w:szCs w:val="21"/>
                    </w:rPr>
                    <w:t>，8台1000m³</w:t>
                  </w:r>
                  <w:r>
                    <w:rPr>
                      <w:rFonts w:hint="default" w:ascii="Times New Roman" w:hAnsi="Times New Roman" w:cs="Times New Roman"/>
                      <w:color w:val="auto"/>
                      <w:szCs w:val="21"/>
                    </w:rPr>
                    <w:t>拱</w:t>
                  </w:r>
                  <w:r>
                    <w:rPr>
                      <w:rFonts w:hint="default" w:ascii="Times New Roman" w:hAnsi="Times New Roman" w:eastAsia="宋体" w:cs="Times New Roman"/>
                      <w:color w:val="auto"/>
                      <w:szCs w:val="21"/>
                    </w:rPr>
                    <w:t>顶</w:t>
                  </w:r>
                  <w:r>
                    <w:rPr>
                      <w:rFonts w:hint="default" w:ascii="Times New Roman" w:hAnsi="Times New Roman" w:cs="Times New Roman"/>
                      <w:color w:val="auto"/>
                      <w:szCs w:val="21"/>
                    </w:rPr>
                    <w:t>罐</w:t>
                  </w:r>
                  <w:r>
                    <w:rPr>
                      <w:rFonts w:hint="default" w:ascii="Times New Roman" w:hAnsi="Times New Roman" w:eastAsia="宋体" w:cs="Times New Roman"/>
                      <w:color w:val="auto"/>
                      <w:szCs w:val="21"/>
                    </w:rPr>
                    <w:t>，2台500m³</w:t>
                  </w:r>
                  <w:r>
                    <w:rPr>
                      <w:rFonts w:hint="default" w:ascii="Times New Roman" w:hAnsi="Times New Roman" w:cs="Times New Roman"/>
                      <w:color w:val="auto"/>
                      <w:szCs w:val="21"/>
                    </w:rPr>
                    <w:t>拱</w:t>
                  </w:r>
                  <w:r>
                    <w:rPr>
                      <w:rFonts w:hint="default" w:ascii="Times New Roman" w:hAnsi="Times New Roman" w:eastAsia="宋体" w:cs="Times New Roman"/>
                      <w:color w:val="auto"/>
                      <w:szCs w:val="21"/>
                    </w:rPr>
                    <w:t>顶</w:t>
                  </w:r>
                  <w:r>
                    <w:rPr>
                      <w:rFonts w:hint="default" w:ascii="Times New Roman" w:hAnsi="Times New Roman" w:cs="Times New Roman"/>
                      <w:color w:val="auto"/>
                      <w:szCs w:val="21"/>
                    </w:rPr>
                    <w:t>罐）</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3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辅助工程</w:t>
                  </w: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汽车装卸平台</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装卸鹤管至储罐的管道，装卸泵及装卸站台</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公用</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工程</w:t>
                  </w: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供电</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项目供电主电源采用园区/昌吉电网10kV电源进线供电</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供水</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本项目用水依托厂区内已布置环状供水管网</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供热</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本项目储罐区内不设置采暖设施，生活区使用电采暖</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环保</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工程</w:t>
                  </w: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废气防治</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内浮顶罐采用氮封装置，在储罐内压力降低时，开启阀门，向罐内充注氮气；当储罐内压力升高时，由储罐呼吸阀排出的气体为氮气，因此在储罐呼吸过程中可减少有机溶剂蒸汽外排。储罐采用氮封装置可减少无组织排放达 60%以上。在罐区设置1台油气回收装置，利用密闭管道将罐区拱顶罐产生的 VOC</w:t>
                  </w:r>
                  <w:r>
                    <w:rPr>
                      <w:rFonts w:hint="default" w:ascii="Times New Roman" w:hAnsi="Times New Roman" w:cs="Times New Roman"/>
                      <w:color w:val="auto"/>
                      <w:szCs w:val="21"/>
                      <w:vertAlign w:val="subscript"/>
                    </w:rPr>
                    <w:t>S</w:t>
                  </w:r>
                  <w:r>
                    <w:rPr>
                      <w:rFonts w:hint="default" w:ascii="Times New Roman" w:hAnsi="Times New Roman" w:cs="Times New Roman"/>
                      <w:color w:val="auto"/>
                      <w:szCs w:val="21"/>
                    </w:rPr>
                    <w:t>输送至该装置处理该装置处理，处理效率在90%以上(按90%计算)，处理后于无组织排放排放。油烟经油烟净化器处理后通过专用烟道引至食堂屋顶排放。</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油气回收装置新建、油烟净化器已建。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生活污水防治</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化粪池</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地下水预防</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罐区为地下水重点防渗区、罐区底部需要防渗，等效黏土防渗层Mb≧6m，渗透系数K≦1×10</w:t>
                  </w:r>
                  <w:r>
                    <w:rPr>
                      <w:rFonts w:hint="default" w:ascii="Times New Roman" w:hAnsi="Times New Roman" w:cs="Times New Roman"/>
                      <w:color w:val="auto"/>
                      <w:szCs w:val="21"/>
                      <w:vertAlign w:val="superscript"/>
                    </w:rPr>
                    <w:t>-7</w:t>
                  </w:r>
                  <w:r>
                    <w:rPr>
                      <w:rFonts w:hint="default" w:ascii="Times New Roman" w:hAnsi="Times New Roman" w:cs="Times New Roman"/>
                      <w:color w:val="auto"/>
                      <w:szCs w:val="21"/>
                    </w:rPr>
                    <w:t xml:space="preserve"> cm/s。</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噪声防治</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隔音、减振、合理布局</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固废防治</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设置生活</w:t>
                  </w:r>
                  <w:r>
                    <w:rPr>
                      <w:rFonts w:hint="default" w:ascii="Times New Roman" w:hAnsi="Times New Roman" w:cs="Times New Roman"/>
                      <w:color w:val="auto"/>
                      <w:szCs w:val="21"/>
                      <w:lang w:val="zh-CN"/>
                    </w:rPr>
                    <w:t>垃圾桶</w:t>
                  </w:r>
                  <w:r>
                    <w:rPr>
                      <w:rFonts w:hint="default" w:ascii="Times New Roman" w:hAnsi="Times New Roman" w:cs="Times New Roman"/>
                      <w:color w:val="auto"/>
                      <w:szCs w:val="21"/>
                    </w:rPr>
                    <w:t>分类</w:t>
                  </w:r>
                  <w:r>
                    <w:rPr>
                      <w:rFonts w:hint="default" w:ascii="Times New Roman" w:hAnsi="Times New Roman" w:cs="Times New Roman"/>
                      <w:color w:val="auto"/>
                      <w:szCs w:val="21"/>
                      <w:lang w:val="zh-CN"/>
                    </w:rPr>
                    <w:t>收集生活垃圾，收集后交由环卫工人拉运至垃圾填埋场卫生填埋。</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环境风险防范</w:t>
                  </w: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应急事故池（2000m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vertAlign w:val="baseline"/>
                    </w:rPr>
                    <w:t>)</w:t>
                  </w:r>
                  <w:r>
                    <w:rPr>
                      <w:rFonts w:hint="default" w:ascii="Times New Roman" w:hAnsi="Times New Roman" w:cs="Times New Roman"/>
                      <w:color w:val="auto"/>
                      <w:szCs w:val="21"/>
                    </w:rPr>
                    <w:t>、围堰(罐区周围145.2m×48.2m×1m围堰）、在储罐区配置消防沙箱、消防器材箱等设施</w:t>
                  </w:r>
                  <w:r>
                    <w:rPr>
                      <w:rFonts w:hint="default" w:ascii="Times New Roman" w:hAnsi="Times New Roman" w:cs="Times New Roman"/>
                      <w:color w:val="auto"/>
                      <w:szCs w:val="21"/>
                      <w:lang w:val="zh-CN"/>
                    </w:rPr>
                    <w:t>。</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已建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13" w:type="pct"/>
                  <w:vMerge w:val="continue"/>
                  <w:vAlign w:val="center"/>
                </w:tcPr>
                <w:p>
                  <w:pPr>
                    <w:adjustRightInd w:val="0"/>
                    <w:snapToGrid w:val="0"/>
                    <w:jc w:val="center"/>
                    <w:rPr>
                      <w:rFonts w:hint="default" w:ascii="Times New Roman" w:hAnsi="Times New Roman" w:cs="Times New Roman"/>
                      <w:color w:val="auto"/>
                      <w:szCs w:val="21"/>
                    </w:rPr>
                  </w:pPr>
                </w:p>
              </w:tc>
              <w:tc>
                <w:tcPr>
                  <w:tcW w:w="379" w:type="pct"/>
                  <w:vMerge w:val="continue"/>
                  <w:vAlign w:val="center"/>
                </w:tcPr>
                <w:p>
                  <w:pPr>
                    <w:adjustRightInd w:val="0"/>
                    <w:snapToGrid w:val="0"/>
                    <w:jc w:val="center"/>
                    <w:rPr>
                      <w:rFonts w:hint="default" w:ascii="Times New Roman" w:hAnsi="Times New Roman" w:cs="Times New Roman"/>
                      <w:color w:val="auto"/>
                      <w:szCs w:val="21"/>
                    </w:rPr>
                  </w:pPr>
                </w:p>
              </w:tc>
              <w:tc>
                <w:tcPr>
                  <w:tcW w:w="3670"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DCS控制系统一套、紧急切断阀16个、可燃气体检测报警装置一套。</w:t>
                  </w:r>
                </w:p>
              </w:tc>
              <w:tc>
                <w:tcPr>
                  <w:tcW w:w="63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新建</w:t>
                  </w:r>
                </w:p>
              </w:tc>
            </w:tr>
          </w:tbl>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本项目主要经济技术指标见表2。</w:t>
            </w:r>
          </w:p>
          <w:p>
            <w:pPr>
              <w:adjustRightInd w:val="0"/>
              <w:snapToGrid w:val="0"/>
              <w:spacing w:line="360" w:lineRule="auto"/>
              <w:jc w:val="center"/>
              <w:rPr>
                <w:rFonts w:hint="default" w:ascii="Times New Roman" w:hAnsi="Times New Roman" w:cs="Times New Roman"/>
                <w:color w:val="auto"/>
                <w:sz w:val="24"/>
              </w:rPr>
            </w:pPr>
            <w:r>
              <w:rPr>
                <w:rFonts w:hint="default" w:ascii="Times New Roman" w:hAnsi="Times New Roman" w:cs="Times New Roman"/>
                <w:b/>
                <w:bCs/>
                <w:color w:val="auto"/>
                <w:sz w:val="24"/>
              </w:rPr>
              <w:t>表2 主要经济技术指标一览表</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55"/>
              <w:gridCol w:w="2696"/>
              <w:gridCol w:w="1322"/>
              <w:gridCol w:w="1322"/>
              <w:gridCol w:w="24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序号</w:t>
                  </w:r>
                </w:p>
              </w:tc>
              <w:tc>
                <w:tcPr>
                  <w:tcW w:w="1585"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指标名称</w:t>
                  </w:r>
                </w:p>
              </w:tc>
              <w:tc>
                <w:tcPr>
                  <w:tcW w:w="777"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单位</w:t>
                  </w:r>
                </w:p>
              </w:tc>
              <w:tc>
                <w:tcPr>
                  <w:tcW w:w="777"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数量</w:t>
                  </w:r>
                </w:p>
              </w:tc>
              <w:tc>
                <w:tcPr>
                  <w:tcW w:w="1416" w:type="pct"/>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储存规模</w:t>
                  </w:r>
                </w:p>
              </w:tc>
              <w:tc>
                <w:tcPr>
                  <w:tcW w:w="777" w:type="pct"/>
                  <w:vAlign w:val="center"/>
                </w:tcPr>
                <w:p>
                  <w:pPr>
                    <w:adjustRightInd w:val="0"/>
                    <w:snapToGrid w:val="0"/>
                    <w:jc w:val="center"/>
                    <w:rPr>
                      <w:rFonts w:hint="default" w:ascii="Times New Roman" w:hAnsi="Times New Roman" w:cs="Times New Roman"/>
                      <w:color w:val="auto"/>
                      <w:szCs w:val="21"/>
                    </w:rPr>
                  </w:pPr>
                </w:p>
              </w:tc>
              <w:tc>
                <w:tcPr>
                  <w:tcW w:w="777" w:type="pct"/>
                  <w:vAlign w:val="center"/>
                </w:tcPr>
                <w:p>
                  <w:pPr>
                    <w:adjustRightInd w:val="0"/>
                    <w:snapToGrid w:val="0"/>
                    <w:jc w:val="center"/>
                    <w:rPr>
                      <w:rFonts w:hint="default" w:ascii="Times New Roman" w:hAnsi="Times New Roman" w:cs="Times New Roman"/>
                      <w:color w:val="auto"/>
                      <w:szCs w:val="21"/>
                    </w:rPr>
                  </w:pP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万吨/年</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41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外销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7" w:hRule="atLeast"/>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产品方案</w:t>
                  </w:r>
                </w:p>
              </w:tc>
              <w:tc>
                <w:tcPr>
                  <w:tcW w:w="777" w:type="pct"/>
                  <w:vAlign w:val="center"/>
                </w:tcPr>
                <w:p>
                  <w:pPr>
                    <w:adjustRightInd w:val="0"/>
                    <w:snapToGrid w:val="0"/>
                    <w:jc w:val="center"/>
                    <w:rPr>
                      <w:rFonts w:hint="default" w:ascii="Times New Roman" w:hAnsi="Times New Roman" w:cs="Times New Roman"/>
                      <w:color w:val="auto"/>
                      <w:szCs w:val="21"/>
                    </w:rPr>
                  </w:pPr>
                </w:p>
              </w:tc>
              <w:tc>
                <w:tcPr>
                  <w:tcW w:w="777" w:type="pct"/>
                  <w:vAlign w:val="center"/>
                </w:tcPr>
                <w:p>
                  <w:pPr>
                    <w:adjustRightInd w:val="0"/>
                    <w:snapToGrid w:val="0"/>
                    <w:jc w:val="center"/>
                    <w:rPr>
                      <w:rFonts w:hint="default" w:ascii="Times New Roman" w:hAnsi="Times New Roman" w:cs="Times New Roman"/>
                      <w:color w:val="auto"/>
                      <w:szCs w:val="21"/>
                    </w:rPr>
                  </w:pP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rPr>
                      <w:rFonts w:hint="default" w:ascii="Times New Roman" w:hAnsi="Times New Roman" w:cs="Times New Roman"/>
                      <w:color w:val="auto"/>
                      <w:szCs w:val="21"/>
                    </w:rPr>
                  </w:pP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万吨/年</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工作制度</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天</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280</w:t>
                  </w:r>
                </w:p>
              </w:tc>
              <w:tc>
                <w:tcPr>
                  <w:tcW w:w="141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每天8小时制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燃效、动力消耗</w:t>
                  </w:r>
                </w:p>
              </w:tc>
              <w:tc>
                <w:tcPr>
                  <w:tcW w:w="777" w:type="pct"/>
                  <w:vAlign w:val="center"/>
                </w:tcPr>
                <w:p>
                  <w:pPr>
                    <w:adjustRightInd w:val="0"/>
                    <w:snapToGrid w:val="0"/>
                    <w:jc w:val="center"/>
                    <w:rPr>
                      <w:rFonts w:hint="default" w:ascii="Times New Roman" w:hAnsi="Times New Roman" w:cs="Times New Roman"/>
                      <w:color w:val="auto"/>
                      <w:szCs w:val="21"/>
                    </w:rPr>
                  </w:pP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4.1</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电（380V/220V）</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万kWh/a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71.68</w:t>
                  </w:r>
                </w:p>
              </w:tc>
              <w:tc>
                <w:tcPr>
                  <w:tcW w:w="141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依托公司现有供电系统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4.2</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水</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M³/a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3716</w:t>
                  </w:r>
                </w:p>
              </w:tc>
              <w:tc>
                <w:tcPr>
                  <w:tcW w:w="141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依托公司现有供水系统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4.3</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热力</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GJ/a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2770</w:t>
                  </w:r>
                </w:p>
              </w:tc>
              <w:tc>
                <w:tcPr>
                  <w:tcW w:w="1416"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依托公司现有采暖系统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运输量</w:t>
                  </w:r>
                </w:p>
              </w:tc>
              <w:tc>
                <w:tcPr>
                  <w:tcW w:w="777" w:type="pct"/>
                  <w:vAlign w:val="center"/>
                </w:tcPr>
                <w:p>
                  <w:pPr>
                    <w:adjustRightInd w:val="0"/>
                    <w:snapToGrid w:val="0"/>
                    <w:jc w:val="center"/>
                    <w:rPr>
                      <w:rFonts w:hint="default" w:ascii="Times New Roman" w:hAnsi="Times New Roman" w:cs="Times New Roman"/>
                      <w:color w:val="auto"/>
                      <w:szCs w:val="21"/>
                    </w:rPr>
                  </w:pPr>
                </w:p>
              </w:tc>
              <w:tc>
                <w:tcPr>
                  <w:tcW w:w="777" w:type="pct"/>
                  <w:vAlign w:val="center"/>
                </w:tcPr>
                <w:p>
                  <w:pPr>
                    <w:adjustRightInd w:val="0"/>
                    <w:snapToGrid w:val="0"/>
                    <w:jc w:val="center"/>
                    <w:rPr>
                      <w:rFonts w:hint="default" w:ascii="Times New Roman" w:hAnsi="Times New Roman" w:cs="Times New Roman"/>
                      <w:color w:val="auto"/>
                      <w:szCs w:val="21"/>
                    </w:rPr>
                  </w:pP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5.1</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运入量</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万t/a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5.2</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运出量</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万t/a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5.3</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总运输量</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万t/a</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劳动定员</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6.1</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生产人员</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15</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6.2</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管理及技术人员</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项目总投资</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2050</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7.1</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建设投资</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1728.51</w:t>
                  </w:r>
                </w:p>
              </w:tc>
              <w:tc>
                <w:tcPr>
                  <w:tcW w:w="1416" w:type="pct"/>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44"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7.2</w:t>
                  </w:r>
                </w:p>
              </w:tc>
              <w:tc>
                <w:tcPr>
                  <w:tcW w:w="1585"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流动资金</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万元</w:t>
                  </w:r>
                </w:p>
              </w:tc>
              <w:tc>
                <w:tcPr>
                  <w:tcW w:w="77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224.71</w:t>
                  </w:r>
                </w:p>
              </w:tc>
              <w:tc>
                <w:tcPr>
                  <w:tcW w:w="1416" w:type="pct"/>
                  <w:vAlign w:val="center"/>
                </w:tcPr>
                <w:p>
                  <w:pPr>
                    <w:adjustRightInd w:val="0"/>
                    <w:snapToGrid w:val="0"/>
                    <w:jc w:val="center"/>
                    <w:rPr>
                      <w:rFonts w:hint="default" w:ascii="Times New Roman" w:hAnsi="Times New Roman" w:cs="Times New Roman"/>
                      <w:color w:val="auto"/>
                      <w:szCs w:val="21"/>
                    </w:rPr>
                  </w:pPr>
                </w:p>
              </w:tc>
            </w:tr>
          </w:tbl>
          <w:p>
            <w:pPr>
              <w:adjustRightInd w:val="0"/>
              <w:snapToGrid w:val="0"/>
              <w:spacing w:line="360" w:lineRule="auto"/>
              <w:ind w:firstLine="480" w:firstLineChars="200"/>
              <w:rPr>
                <w:rFonts w:hint="default" w:ascii="Times New Roman" w:hAnsi="Times New Roman" w:eastAsia="仿宋" w:cs="Times New Roman"/>
                <w:color w:val="auto"/>
              </w:rPr>
            </w:pPr>
            <w:r>
              <w:rPr>
                <w:rFonts w:hint="default" w:ascii="Times New Roman" w:hAnsi="Times New Roman" w:cs="Times New Roman"/>
                <w:color w:val="auto"/>
                <w:sz w:val="24"/>
              </w:rPr>
              <w:t>本项目主要设备见表3。</w:t>
            </w:r>
          </w:p>
          <w:p>
            <w:pPr>
              <w:adjustRightInd w:val="0"/>
              <w:snapToGrid w:val="0"/>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表3   主要设备一览表</w:t>
            </w:r>
          </w:p>
          <w:tbl>
            <w:tblPr>
              <w:tblStyle w:val="33"/>
              <w:tblW w:w="851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67"/>
              <w:gridCol w:w="1256"/>
              <w:gridCol w:w="1768"/>
              <w:gridCol w:w="724"/>
              <w:gridCol w:w="1764"/>
              <w:gridCol w:w="960"/>
              <w:gridCol w:w="14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7" w:hRule="exact"/>
                <w:tblHeader/>
                <w:jc w:val="center"/>
              </w:trPr>
              <w:tc>
                <w:tcPr>
                  <w:tcW w:w="575"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序号</w:t>
                  </w:r>
                </w:p>
              </w:tc>
              <w:tc>
                <w:tcPr>
                  <w:tcW w:w="1290"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设备名称</w:t>
                  </w:r>
                </w:p>
              </w:tc>
              <w:tc>
                <w:tcPr>
                  <w:tcW w:w="1640"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型号规格</w:t>
                  </w:r>
                </w:p>
              </w:tc>
              <w:tc>
                <w:tcPr>
                  <w:tcW w:w="726"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数量</w:t>
                  </w:r>
                </w:p>
              </w:tc>
              <w:tc>
                <w:tcPr>
                  <w:tcW w:w="1808"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设计条件</w:t>
                  </w:r>
                </w:p>
              </w:tc>
              <w:tc>
                <w:tcPr>
                  <w:tcW w:w="967"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材质</w:t>
                  </w:r>
                </w:p>
              </w:tc>
              <w:tc>
                <w:tcPr>
                  <w:tcW w:w="1510"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3"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Φ14m×13m ，2000m</w:t>
                  </w:r>
                  <w:r>
                    <w:rPr>
                      <w:rFonts w:hint="default" w:ascii="Times New Roman" w:hAnsi="Times New Roman" w:cs="Times New Roman"/>
                      <w:color w:val="auto"/>
                      <w:szCs w:val="21"/>
                      <w:vertAlign w:val="superscript"/>
                    </w:rPr>
                    <w:t>3</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设计温度50℃，常压</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Q235B</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内浮顶（原储存石脑油），利旧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7"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Φ14m×13m ，2000m</w:t>
                  </w:r>
                  <w:r>
                    <w:rPr>
                      <w:rFonts w:hint="default" w:ascii="Times New Roman" w:hAnsi="Times New Roman" w:cs="Times New Roman"/>
                      <w:color w:val="auto"/>
                      <w:szCs w:val="21"/>
                      <w:vertAlign w:val="superscript"/>
                    </w:rPr>
                    <w:t>3</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设计温度50℃，常压</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Q235B</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拱顶（原储存抽余油），利旧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3"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Φ12m×8.86m ，1000m</w:t>
                  </w:r>
                  <w:r>
                    <w:rPr>
                      <w:rFonts w:hint="default" w:ascii="Times New Roman" w:hAnsi="Times New Roman" w:cs="Times New Roman"/>
                      <w:color w:val="auto"/>
                      <w:szCs w:val="21"/>
                      <w:vertAlign w:val="superscript"/>
                    </w:rPr>
                    <w:t>3</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设计温度50℃，常压</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Q235B</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内浮顶（原储存6#溶剂油），利旧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20"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Φ12m×8.86m ，1000m</w:t>
                  </w:r>
                  <w:r>
                    <w:rPr>
                      <w:rFonts w:hint="default" w:ascii="Times New Roman" w:hAnsi="Times New Roman" w:cs="Times New Roman"/>
                      <w:color w:val="auto"/>
                      <w:szCs w:val="21"/>
                      <w:vertAlign w:val="superscript"/>
                    </w:rPr>
                    <w:t>3</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设计温度50℃，常压</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Q235B</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拱顶（原储存200#溶剂油、120#溶剂油、260#溶剂油、液态轻烃），利旧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0"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Φ9m×7.87m ，500m</w:t>
                  </w:r>
                  <w:r>
                    <w:rPr>
                      <w:rFonts w:hint="default" w:ascii="Times New Roman" w:hAnsi="Times New Roman" w:cs="Times New Roman"/>
                      <w:color w:val="auto"/>
                      <w:szCs w:val="21"/>
                      <w:vertAlign w:val="superscript"/>
                    </w:rPr>
                    <w:t>3</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设计温度50℃，常压</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Q235B</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拱顶（原储存重稀释剂），利旧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03"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粗白油输送泵</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扬程：75m，流量：72m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/h，功率：22kW</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8台</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碳钢管</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Φ57×3.5</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60m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设计温度250℃，设计压力0.8MPa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29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碳钢管</w:t>
                  </w:r>
                </w:p>
              </w:tc>
              <w:tc>
                <w:tcPr>
                  <w:tcW w:w="164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Φ89×4.0</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40m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设计温度50℃，设计压力0.8MPa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Merge w:val="continue"/>
                  <w:vAlign w:val="center"/>
                </w:tcPr>
                <w:p>
                  <w:pPr>
                    <w:adjustRightInd w:val="0"/>
                    <w:snapToGrid w:val="0"/>
                    <w:jc w:val="center"/>
                    <w:rPr>
                      <w:rFonts w:hint="default" w:ascii="Times New Roman" w:hAnsi="Times New Roman" w:cs="Times New Roman"/>
                      <w:color w:val="auto"/>
                      <w:szCs w:val="21"/>
                    </w:rPr>
                  </w:pPr>
                </w:p>
              </w:tc>
              <w:tc>
                <w:tcPr>
                  <w:tcW w:w="1290" w:type="dxa"/>
                  <w:vMerge w:val="continue"/>
                  <w:vAlign w:val="center"/>
                </w:tcPr>
                <w:p>
                  <w:pPr>
                    <w:adjustRightInd w:val="0"/>
                    <w:snapToGrid w:val="0"/>
                    <w:jc w:val="center"/>
                    <w:rPr>
                      <w:rFonts w:hint="default" w:ascii="Times New Roman" w:hAnsi="Times New Roman" w:cs="Times New Roman"/>
                      <w:color w:val="auto"/>
                      <w:szCs w:val="21"/>
                    </w:rPr>
                  </w:pPr>
                </w:p>
              </w:tc>
              <w:tc>
                <w:tcPr>
                  <w:tcW w:w="1640" w:type="dxa"/>
                  <w:vMerge w:val="continue"/>
                  <w:vAlign w:val="center"/>
                </w:tcPr>
                <w:p>
                  <w:pPr>
                    <w:adjustRightInd w:val="0"/>
                    <w:snapToGrid w:val="0"/>
                    <w:jc w:val="center"/>
                    <w:rPr>
                      <w:rFonts w:hint="default" w:ascii="Times New Roman" w:hAnsi="Times New Roman" w:cs="Times New Roman"/>
                      <w:color w:val="auto"/>
                      <w:szCs w:val="21"/>
                    </w:rPr>
                  </w:pP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40m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设计温度50℃，设计压力0.1MPa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71" w:hRule="exact"/>
                <w:jc w:val="center"/>
              </w:trPr>
              <w:tc>
                <w:tcPr>
                  <w:tcW w:w="575"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129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碳钢管</w:t>
                  </w:r>
                </w:p>
              </w:tc>
              <w:tc>
                <w:tcPr>
                  <w:tcW w:w="164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Φ108×4.0</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353m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设计温度50℃，设计压力0.8MPa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Merge w:val="continue"/>
                  <w:vAlign w:val="center"/>
                </w:tcPr>
                <w:p>
                  <w:pPr>
                    <w:adjustRightInd w:val="0"/>
                    <w:snapToGrid w:val="0"/>
                    <w:jc w:val="center"/>
                    <w:rPr>
                      <w:rFonts w:hint="default" w:ascii="Times New Roman" w:hAnsi="Times New Roman" w:cs="Times New Roman"/>
                      <w:color w:val="auto"/>
                      <w:szCs w:val="21"/>
                    </w:rPr>
                  </w:pPr>
                </w:p>
              </w:tc>
              <w:tc>
                <w:tcPr>
                  <w:tcW w:w="1290" w:type="dxa"/>
                  <w:vMerge w:val="continue"/>
                  <w:vAlign w:val="center"/>
                </w:tcPr>
                <w:p>
                  <w:pPr>
                    <w:adjustRightInd w:val="0"/>
                    <w:snapToGrid w:val="0"/>
                    <w:jc w:val="center"/>
                    <w:rPr>
                      <w:rFonts w:hint="default" w:ascii="Times New Roman" w:hAnsi="Times New Roman" w:cs="Times New Roman"/>
                      <w:color w:val="auto"/>
                      <w:szCs w:val="21"/>
                    </w:rPr>
                  </w:pPr>
                </w:p>
              </w:tc>
              <w:tc>
                <w:tcPr>
                  <w:tcW w:w="1640" w:type="dxa"/>
                  <w:vMerge w:val="continue"/>
                  <w:vAlign w:val="center"/>
                </w:tcPr>
                <w:p>
                  <w:pPr>
                    <w:adjustRightInd w:val="0"/>
                    <w:snapToGrid w:val="0"/>
                    <w:jc w:val="center"/>
                    <w:rPr>
                      <w:rFonts w:hint="default" w:ascii="Times New Roman" w:hAnsi="Times New Roman" w:cs="Times New Roman"/>
                      <w:color w:val="auto"/>
                      <w:szCs w:val="21"/>
                    </w:rPr>
                  </w:pP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353m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设计温度50℃，设计压力0.1MPa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129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碳钢管</w:t>
                  </w:r>
                </w:p>
              </w:tc>
              <w:tc>
                <w:tcPr>
                  <w:tcW w:w="1640"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Φ133×4.0</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712m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设计温度50℃，设计压力0.8MPa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Merge w:val="continue"/>
                  <w:vAlign w:val="center"/>
                </w:tcPr>
                <w:p>
                  <w:pPr>
                    <w:adjustRightInd w:val="0"/>
                    <w:snapToGrid w:val="0"/>
                    <w:jc w:val="center"/>
                    <w:rPr>
                      <w:rFonts w:hint="default" w:ascii="Times New Roman" w:hAnsi="Times New Roman" w:cs="Times New Roman"/>
                      <w:color w:val="auto"/>
                      <w:szCs w:val="21"/>
                    </w:rPr>
                  </w:pPr>
                </w:p>
              </w:tc>
              <w:tc>
                <w:tcPr>
                  <w:tcW w:w="1290" w:type="dxa"/>
                  <w:vMerge w:val="continue"/>
                  <w:vAlign w:val="center"/>
                </w:tcPr>
                <w:p>
                  <w:pPr>
                    <w:adjustRightInd w:val="0"/>
                    <w:snapToGrid w:val="0"/>
                    <w:jc w:val="center"/>
                    <w:rPr>
                      <w:rFonts w:hint="default" w:ascii="Times New Roman" w:hAnsi="Times New Roman" w:cs="Times New Roman"/>
                      <w:color w:val="auto"/>
                      <w:szCs w:val="21"/>
                    </w:rPr>
                  </w:pPr>
                </w:p>
              </w:tc>
              <w:tc>
                <w:tcPr>
                  <w:tcW w:w="1640" w:type="dxa"/>
                  <w:vMerge w:val="continue"/>
                  <w:vAlign w:val="center"/>
                </w:tcPr>
                <w:p>
                  <w:pPr>
                    <w:adjustRightInd w:val="0"/>
                    <w:snapToGrid w:val="0"/>
                    <w:jc w:val="center"/>
                    <w:rPr>
                      <w:rFonts w:hint="default" w:ascii="Times New Roman" w:hAnsi="Times New Roman" w:cs="Times New Roman"/>
                      <w:color w:val="auto"/>
                      <w:szCs w:val="21"/>
                    </w:rPr>
                  </w:pP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60m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设计温度250℃，设计压力0.8MPa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碳钢管</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Φ219×5.0</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40m</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设计温度150℃，设计压力0.1MPa</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20#钢</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液位计</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HHDR型</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16个</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13</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质量流量计</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YS-MFU-GN-100</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2个</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14</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装卸站</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鹤管</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2个</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1"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15</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紧急切</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断阀</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16个</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2"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16</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可燃气体检测报警装置</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1套</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2"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17</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DCS控制系统</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1套</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2" w:hRule="exact"/>
                <w:jc w:val="center"/>
              </w:trPr>
              <w:tc>
                <w:tcPr>
                  <w:tcW w:w="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18</w:t>
                  </w:r>
                </w:p>
              </w:tc>
              <w:tc>
                <w:tcPr>
                  <w:tcW w:w="129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油气回收装置</w:t>
                  </w:r>
                </w:p>
              </w:tc>
              <w:tc>
                <w:tcPr>
                  <w:tcW w:w="164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2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1套</w:t>
                  </w:r>
                </w:p>
              </w:tc>
              <w:tc>
                <w:tcPr>
                  <w:tcW w:w="180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6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组合件</w:t>
                  </w:r>
                </w:p>
              </w:tc>
              <w:tc>
                <w:tcPr>
                  <w:tcW w:w="151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新增</w:t>
                  </w:r>
                </w:p>
              </w:tc>
            </w:tr>
          </w:tbl>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2.4 原料性质</w:t>
            </w:r>
          </w:p>
          <w:p>
            <w:pPr>
              <w:adjustRightInd w:val="0"/>
              <w:snapToGrid w:val="0"/>
              <w:spacing w:line="360" w:lineRule="auto"/>
              <w:ind w:firstLine="480" w:firstLineChars="200"/>
              <w:rPr>
                <w:rFonts w:hint="default" w:ascii="Times New Roman" w:hAnsi="Times New Roman" w:eastAsia="仿宋" w:cs="Times New Roman"/>
                <w:color w:val="auto"/>
                <w:sz w:val="24"/>
              </w:rPr>
            </w:pPr>
            <w:r>
              <w:rPr>
                <w:rFonts w:hint="default" w:ascii="Times New Roman" w:hAnsi="Times New Roman" w:cs="Times New Roman"/>
                <w:color w:val="auto"/>
                <w:sz w:val="24"/>
              </w:rPr>
              <w:t>本项目仓储原料主要为粗白油，为无色无味、透明油状液体。室温下无嗅无味，加热后略有石油臭。不溶于水、甘油、冷乙醇。溶于苯、乙醚、氯仿、二硫化碳、热乙醇。与除蓖麻油外大多数脂肪油能任意混合，樟脑、薄荷脑及大多数天然或人造麝香均能被溶解，为液体类烃类的混合物，主要成分为C16～C31的正异构烷烃的混合物，是自石油分馏的高沸馏分（即润滑油馏分）中经脱蜡、碳化、中和、活性白土精制等处理后而成，闪点142℃。粗白油性质详见表4。</w:t>
            </w:r>
          </w:p>
          <w:p>
            <w:pPr>
              <w:adjustRightInd w:val="0"/>
              <w:snapToGrid w:val="0"/>
              <w:spacing w:line="360" w:lineRule="auto"/>
              <w:jc w:val="center"/>
              <w:rPr>
                <w:rFonts w:hint="default" w:ascii="Times New Roman" w:hAnsi="Times New Roman" w:cs="Times New Roman"/>
                <w:color w:val="auto"/>
                <w:sz w:val="24"/>
              </w:rPr>
            </w:pPr>
            <w:r>
              <w:rPr>
                <w:rFonts w:hint="default" w:ascii="Times New Roman" w:hAnsi="Times New Roman" w:cs="Times New Roman"/>
                <w:b/>
                <w:bCs/>
                <w:color w:val="auto"/>
                <w:sz w:val="24"/>
              </w:rPr>
              <w:t>表4  粗白油性质一览表</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912"/>
              <w:gridCol w:w="2480"/>
              <w:gridCol w:w="2901"/>
              <w:gridCol w:w="22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序号</w:t>
                  </w:r>
                </w:p>
              </w:tc>
              <w:tc>
                <w:tcPr>
                  <w:tcW w:w="2397"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项目</w:t>
                  </w:r>
                </w:p>
              </w:tc>
              <w:tc>
                <w:tcPr>
                  <w:tcW w:w="2803"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单位</w:t>
                  </w:r>
                </w:p>
              </w:tc>
              <w:tc>
                <w:tcPr>
                  <w:tcW w:w="2137"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外观</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清澈透明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运动粘度</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mm2/s 40℃</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16.22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Merge w:val="continue"/>
                  <w:vAlign w:val="center"/>
                </w:tcPr>
                <w:p>
                  <w:pPr>
                    <w:adjustRightInd w:val="0"/>
                    <w:snapToGrid w:val="0"/>
                    <w:jc w:val="center"/>
                    <w:rPr>
                      <w:rFonts w:hint="default" w:ascii="Times New Roman" w:hAnsi="Times New Roman" w:cs="Times New Roman"/>
                      <w:color w:val="auto"/>
                      <w:szCs w:val="21"/>
                    </w:rPr>
                  </w:pP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运动粘度</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mm2/s 100℃</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3.082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颜色</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赛氏号</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苯胺点</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闪点（开口）</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倾点</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密度（20℃）</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g/cm3</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0.8937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机械杂质</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无</w:t>
                  </w:r>
                </w:p>
              </w:tc>
            </w:tr>
            <w:tr>
              <w:tblPrEx>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水分</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痕迹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硫含量</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mg/kg</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1.76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氮含量</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mg/kg</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铜片腐蚀</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级</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88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13</w:t>
                  </w:r>
                </w:p>
              </w:tc>
              <w:tc>
                <w:tcPr>
                  <w:tcW w:w="239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酸值</w:t>
                  </w:r>
                </w:p>
              </w:tc>
              <w:tc>
                <w:tcPr>
                  <w:tcW w:w="280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MgKOH/g</w:t>
                  </w:r>
                </w:p>
              </w:tc>
              <w:tc>
                <w:tcPr>
                  <w:tcW w:w="213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0.019</w:t>
                  </w:r>
                </w:p>
              </w:tc>
            </w:tr>
          </w:tbl>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3.公用工程</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3.1供配电系统</w:t>
            </w:r>
          </w:p>
          <w:p>
            <w:pPr>
              <w:wordWrap w:val="0"/>
              <w:topLinePunct/>
              <w:autoSpaceDN w:val="0"/>
              <w:snapToGrid w:val="0"/>
              <w:spacing w:line="360" w:lineRule="auto"/>
              <w:ind w:right="-29" w:rightChars="-14" w:firstLine="470" w:firstLineChars="196"/>
              <w:rPr>
                <w:rFonts w:hint="default" w:ascii="Times New Roman" w:hAnsi="Times New Roman" w:cs="Times New Roman"/>
                <w:color w:val="auto"/>
                <w:sz w:val="24"/>
              </w:rPr>
            </w:pPr>
            <w:r>
              <w:rPr>
                <w:rFonts w:hint="default" w:ascii="Times New Roman" w:hAnsi="Times New Roman" w:cs="Times New Roman"/>
                <w:color w:val="auto"/>
                <w:sz w:val="24"/>
              </w:rPr>
              <w:t>本项目供电负荷为三级负荷；火灾报警系统、视频监控、可燃气体检测报警系统、应急照明为一级负荷。</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供电主电源采用园区/昌吉电网10kV电源进线供电。主10kV电源进线进入厂区变配电室，本工程设备用电、辅助设施用电、生活设施用电全部为低压380/220V等级，各用电单位均由配电室引出的380V/220V架空线路或直埋电缆配电线路供电。</w:t>
            </w:r>
          </w:p>
          <w:p>
            <w:pPr>
              <w:adjustRightInd w:val="0"/>
              <w:snapToGrid w:val="0"/>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3.2防雷及接地</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本项目储罐区按第二类防雷建（构）筑物设防，其余建（构）筑物按第三类防雷建（构）筑物设防。防雷设计遵照《建筑物防雷设计规范》（GB 50057-2010），输送管道按《化工企业静电接地设计规程》（HG/T20675-1990）进行接地；接地系统利用建筑物基础内敷设-40×4镀锌扁钢与钢立柱可靠连接作为接地装置。所有正常情况下可导电电气设备金属外壳均与接地装置连为一体。储罐等设备壁厚均大于4mm，不设避雷针，设有防雷防静电接地，引下线不少于两根并沿储罐均匀布置，每根引下线的接地电阻不大于4Ω。为了防止触电事故，电气设备的外露导电部分均按系统的接地形式通过保护线（PE线）接地，电气设备设置漏电保护设施。</w:t>
            </w:r>
          </w:p>
          <w:p>
            <w:pPr>
              <w:adjustRightInd w:val="0"/>
              <w:snapToGrid w:val="0"/>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3.3通信</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依托厂区内已设置的固定电话与外界联络，通讯设备24小时处于开通状态，供生产通讯联系和事故时对外报警之用。</w:t>
            </w:r>
          </w:p>
          <w:p>
            <w:pPr>
              <w:adjustRightInd w:val="0"/>
              <w:snapToGrid w:val="0"/>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3.4供排水系统</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（1）给水</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本项目用水主要为生活用水。本项目用水依托厂区内已布置环状供水管网，厂区供水水源为园区内供水管网，最大供水量为128 m3/h，供水能够满足本项目需要。本项目拟定员工20人，根据《建筑及排水设计规范》中的相关用水参考值，员工按每人每班用水按50L计算，项目区生活用水量1m3/d（280m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/a）。本项目运营期总用水量为280m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（2）排水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本项目排水主要为生活污水，无生产废水。生活污水量按生活用水量的85% 计，生活污水量为0.85m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/d(238m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/a)，经厂区化粪池预处理达标后排入工业园区排水管网，最终进入呼图壁县工业园污水处理厂处理。</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3.5供热</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本项目储罐区内不设置供热设施，生活区使用电锅炉进行冬季供暖，可满足供暖需求。</w:t>
            </w:r>
          </w:p>
          <w:p>
            <w:pPr>
              <w:pStyle w:val="124"/>
              <w:tabs>
                <w:tab w:val="clear" w:pos="567"/>
              </w:tabs>
              <w:wordWrap w:val="0"/>
              <w:topLinePunct/>
              <w:autoSpaceDN w:val="0"/>
              <w:rPr>
                <w:rFonts w:hint="default" w:ascii="Times New Roman" w:hAnsi="Times New Roman" w:eastAsia="宋体" w:cs="Times New Roman"/>
                <w:b/>
                <w:bCs/>
                <w:color w:val="auto"/>
                <w:szCs w:val="24"/>
              </w:rPr>
            </w:pPr>
            <w:r>
              <w:rPr>
                <w:rFonts w:hint="default" w:ascii="Times New Roman" w:hAnsi="Times New Roman" w:eastAsia="宋体" w:cs="Times New Roman"/>
                <w:b/>
                <w:bCs/>
                <w:color w:val="auto"/>
                <w:szCs w:val="24"/>
              </w:rPr>
              <w:t>3.6消防</w:t>
            </w:r>
          </w:p>
          <w:p>
            <w:pPr>
              <w:spacing w:line="360" w:lineRule="auto"/>
              <w:ind w:right="-29" w:rightChars="-14"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根据《消防给水及消火栓系统技术规范》（GB50974-2014）的有关规定，根据工艺提供相关条件，厂区内最大消防用水量为罐区。拱顶粗白油罐的直径为14m，高度为13m，罐壁表面积为571.48m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罐区用水量为消防冷却水量及泡沫液用水量之和，其同时发生火灾的次数为一次，火灾的延续时间为4h，着火罐消防冷却水量342.88m³/次，邻近罐消防冷却水量514.33m³/次，消防冷却水供给量约857.21m³/次，配制泡沫混合液需水量48.1m³/次，总消防用水量约905m³。</w:t>
            </w:r>
          </w:p>
          <w:p>
            <w:pPr>
              <w:spacing w:line="360" w:lineRule="auto"/>
              <w:ind w:right="-29" w:rightChars="-14"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根据《泡沫灭火系统设计规范》的有关规定，本项目储罐区泡沫灭火采用低倍数泡沫灭火系统，厂区建有独立的临时高压消防给水系统，罐区周围设有独立的泡沫灭火系统。泡沫混合液供给强度取18 L/（min• 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），连续供给时间取30min。泡沫混合液用量为51.17m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（其中泡沫液用量为3.07m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，配置泡沫液用水量为48.1 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spacing w:line="360" w:lineRule="auto"/>
              <w:ind w:right="-29" w:rightChars="-14"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为满足厂区消防用水要求，在水泵房内设专用消防水泵（1用1备，流量40L/s、功率45kW），泡沫泵房内设置泡沫泵（1用1备，流量20L/s、功率45kW），能够保证本项目装置消防用水要求。室外按现行《建筑设计防火规范》GB50016-2014（2018年版）要求设有消火栓及灭火器，室外设地下式消火栓，消火栓沿保护半径不大于120m。</w:t>
            </w:r>
          </w:p>
          <w:p>
            <w:pPr>
              <w:pStyle w:val="4"/>
              <w:spacing w:before="0" w:after="0" w:line="360" w:lineRule="auto"/>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本项目按《建筑灭火器配置设计规范》（GB50140-2005）要求拟配置相应数量的磷酸铵盐干粉灭火器。储罐区配置手提式及推车式干粉灭火器。在新增的装卸台、装卸泵处设置手提式干粉灭火器。</w:t>
            </w:r>
          </w:p>
          <w:p>
            <w:pPr>
              <w:pStyle w:val="31"/>
              <w:spacing w:line="360" w:lineRule="auto"/>
              <w:ind w:firstLine="0" w:firstLineChars="0"/>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rPr>
              <w:t>4. 产业政策符合性分析</w:t>
            </w:r>
          </w:p>
          <w:p>
            <w:pPr>
              <w:pStyle w:val="2"/>
              <w:adjustRightInd w:val="0"/>
              <w:snapToGrid w:val="0"/>
              <w:spacing w:after="0" w:line="360" w:lineRule="auto"/>
              <w:ind w:firstLine="480" w:firstLineChars="200"/>
              <w:rPr>
                <w:rFonts w:hint="default" w:ascii="Times New Roman" w:hAnsi="Times New Roman" w:eastAsia="仿宋" w:cs="Times New Roman"/>
                <w:color w:val="auto"/>
                <w:sz w:val="24"/>
              </w:rPr>
            </w:pPr>
            <w:r>
              <w:rPr>
                <w:rFonts w:hint="default" w:ascii="Times New Roman" w:hAnsi="Times New Roman" w:cs="Times New Roman"/>
                <w:color w:val="auto"/>
                <w:sz w:val="24"/>
              </w:rPr>
              <w:t>根据《产业结构调整指导目录（2019年本）》的有关条款。该项目既不属于鼓励类也不属于限制类；第三章产业结构调整指导目录第十三条“不属于鼓励类、限制类和淘汰类，且符合国家有关法律、法规和政策规定的，为允许类”。本项目为允许类建设项目，符合国家产业政策。</w:t>
            </w:r>
          </w:p>
          <w:p>
            <w:pPr>
              <w:pStyle w:val="2"/>
              <w:adjustRightInd w:val="0"/>
              <w:snapToGrid w:val="0"/>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 规划符合性分析</w:t>
            </w:r>
          </w:p>
          <w:p>
            <w:pPr>
              <w:pStyle w:val="32"/>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根据《呼图壁工业园区总体规划(2017-2035)》，呼图壁工业园区规划为“一园三区，分为东区、中区和西区，东区位于呼图壁县二十里店镇、中区位于呼图壁河两侧，五工台西侧、西区位于呼图壁县城西侧28公里处，总面积34.4平方公里。规划期限为2017-2035年，近期2017年-2025年，远期2026年-2035年。园区规划总体目标：结合周边产业友展，依据呼图壁资源、区位、交通优势，发展以服务新疆本地兼顾外向型市场为核心目标的产业体系，将园区打造成为“新疆新型工业化发展示范区”。西区重点产业规划为结合现状向有色金属加工和新材料产业两大方向发展；根据规划环评对西区现状企业的整治方案，新疆鲁兴化工有限公司整治方案为：近期保留，限期内完成技术改造（提标改造）；规划远期内完成园区内搬迁和产业转型，或搬迁出园区。</w:t>
            </w:r>
          </w:p>
          <w:p>
            <w:pPr>
              <w:pStyle w:val="32"/>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本项目位于呼图壁工业园区西区，本项目为新疆鲁兴化工有限公司化工仓储物流改造项目</w:t>
            </w:r>
            <w:r>
              <w:rPr>
                <w:rFonts w:hint="default" w:ascii="Times New Roman" w:hAnsi="Times New Roman" w:eastAsia="宋体" w:cs="Times New Roman"/>
                <w:bCs/>
                <w:color w:val="auto"/>
                <w:sz w:val="24"/>
                <w:szCs w:val="24"/>
              </w:rPr>
              <w:t>，属于项目的技术提标改造，符合园区规划对项目的整治方案。</w:t>
            </w:r>
            <w:r>
              <w:rPr>
                <w:rFonts w:hint="default" w:ascii="Times New Roman" w:hAnsi="Times New Roman" w:eastAsia="宋体" w:cs="Times New Roman"/>
                <w:color w:val="auto"/>
                <w:sz w:val="24"/>
                <w:szCs w:val="24"/>
              </w:rPr>
              <w:t>项目用地性质为工业用地（见附图4），位于西区已建区，不属于禁止建设区和限建区（见附图5），不属于“四线”控制范围内（见附图6），属于新材料与有色金属加工组团（见附图7）。</w:t>
            </w:r>
          </w:p>
          <w:p>
            <w:pPr>
              <w:pStyle w:val="31"/>
              <w:spacing w:after="0" w:line="360" w:lineRule="auto"/>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6.选址合理性分析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厂址位于呼图壁大丰镇工业园煤化工产业区内。本项目北隔横二路为新疆锦弘镁合金有限公司，南与新疆瑞成气体有限公司相邻，东隔规划路为新疆天玑钢构钢结构加工厂，西与新疆鑫邦石化有限公司相邻。项目区周围1km范围内无居民区、重要公共建筑物，项目区内建（构）筑物与周边建（构）筑物的防火间距符合《建筑设计防火规范》GB50016-2014（2018年版）与《石油化工企业设计防火标准》GB50160-2008（2018年版）规定的要求。项目区地势平坦、开阔，具有可靠的供水、供电条件，交通方便，方便运输管理。综上所述，本项目选址合理。</w:t>
            </w:r>
          </w:p>
          <w:p>
            <w:pPr>
              <w:pStyle w:val="31"/>
              <w:spacing w:after="0" w:line="360" w:lineRule="auto"/>
              <w:ind w:firstLine="0" w:firstLineChars="0"/>
              <w:rPr>
                <w:rFonts w:hint="default" w:ascii="Times New Roman" w:hAnsi="Times New Roman" w:eastAsia="仿宋" w:cs="Times New Roman"/>
                <w:b/>
                <w:bCs/>
                <w:color w:val="auto"/>
                <w:sz w:val="24"/>
                <w:szCs w:val="24"/>
              </w:rPr>
            </w:pPr>
            <w:r>
              <w:rPr>
                <w:rFonts w:hint="default" w:ascii="Times New Roman" w:hAnsi="Times New Roman" w:cs="Times New Roman"/>
                <w:b/>
                <w:bCs/>
                <w:color w:val="auto"/>
                <w:sz w:val="24"/>
                <w:szCs w:val="24"/>
              </w:rPr>
              <w:t>7.三线一单符合性分析</w:t>
            </w:r>
          </w:p>
          <w:p>
            <w:pPr>
              <w:pStyle w:val="108"/>
              <w:spacing w:line="240" w:lineRule="auto"/>
              <w:ind w:firstLine="482"/>
              <w:jc w:val="center"/>
              <w:rPr>
                <w:rFonts w:hint="default" w:ascii="Times New Roman" w:hAnsi="Times New Roman" w:eastAsia="仿宋" w:cs="Times New Roman"/>
                <w:b/>
                <w:bCs/>
                <w:color w:val="auto"/>
                <w:szCs w:val="24"/>
              </w:rPr>
            </w:pPr>
            <w:r>
              <w:rPr>
                <w:rFonts w:hint="default" w:ascii="Times New Roman" w:hAnsi="Times New Roman" w:cs="Times New Roman"/>
                <w:b/>
                <w:bCs/>
                <w:color w:val="auto"/>
                <w:szCs w:val="24"/>
              </w:rPr>
              <w:t>表5 “三线一单”符合性分析</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37"/>
              <w:gridCol w:w="427"/>
              <w:gridCol w:w="4379"/>
              <w:gridCol w:w="26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8" w:hRule="atLeast"/>
                <w:jc w:val="center"/>
              </w:trPr>
              <w:tc>
                <w:tcPr>
                  <w:tcW w:w="1078"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内容</w:t>
                  </w:r>
                </w:p>
              </w:tc>
              <w:tc>
                <w:tcPr>
                  <w:tcW w:w="4931" w:type="dxa"/>
                  <w:gridSpan w:val="2"/>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划定情况</w:t>
                  </w:r>
                </w:p>
              </w:tc>
              <w:tc>
                <w:tcPr>
                  <w:tcW w:w="2780"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符合性分析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10" w:hRule="atLeast"/>
                <w:jc w:val="center"/>
              </w:trPr>
              <w:tc>
                <w:tcPr>
                  <w:tcW w:w="107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生态保护</w:t>
                  </w:r>
                  <w:r>
                    <w:rPr>
                      <w:rFonts w:hint="eastAsia" w:cs="Times New Roman"/>
                      <w:color w:val="auto"/>
                      <w:szCs w:val="21"/>
                      <w:lang w:val="en-US" w:eastAsia="zh-CN"/>
                    </w:rPr>
                    <w:t>红</w:t>
                  </w:r>
                  <w:r>
                    <w:rPr>
                      <w:rFonts w:hint="default" w:ascii="Times New Roman" w:hAnsi="Times New Roman" w:cs="Times New Roman"/>
                      <w:color w:val="auto"/>
                      <w:szCs w:val="21"/>
                    </w:rPr>
                    <w:t>线</w:t>
                  </w:r>
                </w:p>
              </w:tc>
              <w:tc>
                <w:tcPr>
                  <w:tcW w:w="4931" w:type="dxa"/>
                  <w:gridSpan w:val="2"/>
                  <w:vAlign w:val="center"/>
                </w:tcPr>
                <w:p>
                  <w:pPr>
                    <w:adjustRightInd w:val="0"/>
                    <w:snapToGrid w:val="0"/>
                    <w:jc w:val="left"/>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rPr>
                    <w:t>根据</w:t>
                  </w:r>
                  <w:r>
                    <w:rPr>
                      <w:rFonts w:hint="default" w:ascii="Times New Roman" w:hAnsi="Times New Roman" w:cs="Times New Roman"/>
                      <w:color w:val="auto"/>
                      <w:szCs w:val="21"/>
                      <w:lang w:eastAsia="zh-CN"/>
                    </w:rPr>
                    <w:t>自治区及昌吉州划定区域生态保护红线</w:t>
                  </w:r>
                </w:p>
                <w:p>
                  <w:pPr>
                    <w:adjustRightInd w:val="0"/>
                    <w:snapToGrid w:val="0"/>
                    <w:jc w:val="left"/>
                    <w:rPr>
                      <w:rFonts w:hint="default" w:ascii="Times New Roman" w:hAnsi="Times New Roman" w:cs="Times New Roman"/>
                      <w:color w:val="auto"/>
                      <w:szCs w:val="21"/>
                    </w:rPr>
                  </w:pPr>
                </w:p>
              </w:tc>
              <w:tc>
                <w:tcPr>
                  <w:tcW w:w="2780" w:type="dxa"/>
                  <w:vAlign w:val="center"/>
                </w:tcPr>
                <w:p>
                  <w:pPr>
                    <w:adjustRightInd w:val="0"/>
                    <w:snapToGrid w:val="0"/>
                    <w:jc w:val="left"/>
                    <w:rPr>
                      <w:rFonts w:hint="default" w:ascii="Times New Roman" w:hAnsi="Times New Roman" w:cs="Times New Roman"/>
                      <w:color w:val="auto"/>
                      <w:szCs w:val="21"/>
                    </w:rPr>
                  </w:pPr>
                  <w:r>
                    <w:rPr>
                      <w:rFonts w:hint="default" w:ascii="Times New Roman" w:hAnsi="Times New Roman" w:cs="Times New Roman"/>
                      <w:color w:val="auto"/>
                      <w:szCs w:val="21"/>
                    </w:rPr>
                    <w:t>本项目位于呼图壁工业园区西区，</w:t>
                  </w:r>
                  <w:r>
                    <w:rPr>
                      <w:rFonts w:hint="default" w:ascii="Times New Roman" w:hAnsi="Times New Roman" w:cs="Times New Roman"/>
                      <w:color w:val="auto"/>
                      <w:szCs w:val="21"/>
                      <w:lang w:eastAsia="zh-CN"/>
                    </w:rPr>
                    <w:t>不在生态保护红线范围</w:t>
                  </w:r>
                  <w:r>
                    <w:rPr>
                      <w:rFonts w:hint="default" w:ascii="Times New Roman" w:hAnsi="Times New Roman" w:cs="Times New Roman"/>
                      <w:color w:val="auto"/>
                      <w:szCs w:val="21"/>
                    </w:rPr>
                    <w:t>，故项目符合生态保护红线控制要求。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07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资源利用上线</w:t>
                  </w:r>
                </w:p>
              </w:tc>
              <w:tc>
                <w:tcPr>
                  <w:tcW w:w="4931" w:type="dxa"/>
                  <w:gridSpan w:val="2"/>
                  <w:vAlign w:val="center"/>
                </w:tcPr>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结合区域资源利用上线，严格入园产业和项目的环境准入。结合区域发展定位、开发布局、生态环境保护目标，坚持实行入园企业环保准入审核，严禁“三高’’项目或不符合产业政策、行业准入条件、国家和自治区环境准入条件的项目进园区。按照“以水定产’’原则，引导生产力要素合理布局。严格控制用水总量、提高中水回用率，工业用水重复利用率不低于90%，严格限制高耗水产业和项目的准入；强化园区工业企业环境管理，严格落实环境保护“三同时’’制度，实现所有工业企业污染物达标排放。</w:t>
                  </w:r>
                </w:p>
              </w:tc>
              <w:tc>
                <w:tcPr>
                  <w:tcW w:w="2780" w:type="dxa"/>
                  <w:vAlign w:val="center"/>
                </w:tcPr>
                <w:p>
                  <w:pPr>
                    <w:adjustRightInd w:val="0"/>
                    <w:snapToGrid w:val="0"/>
                    <w:jc w:val="left"/>
                    <w:rPr>
                      <w:rFonts w:hint="default" w:ascii="Times New Roman" w:hAnsi="Times New Roman" w:cs="Times New Roman"/>
                      <w:color w:val="auto"/>
                      <w:szCs w:val="21"/>
                    </w:rPr>
                  </w:pPr>
                  <w:r>
                    <w:rPr>
                      <w:rFonts w:hint="default" w:ascii="Times New Roman" w:hAnsi="Times New Roman" w:cs="Times New Roman"/>
                      <w:color w:val="auto"/>
                      <w:szCs w:val="21"/>
                    </w:rPr>
                    <w:t>本项目不属于“三高’’项目或不符合产业政策、行业准入条件、国家和自治区环境准入条件的项目，本项目生产工序无需用水，用水仅为员工生活用水，用水由园区供水管网供给，符合资源利用上线要求。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78"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环境质量底线</w:t>
                  </w:r>
                </w:p>
              </w:tc>
              <w:tc>
                <w:tcPr>
                  <w:tcW w:w="4931" w:type="dxa"/>
                  <w:gridSpan w:val="2"/>
                  <w:vAlign w:val="center"/>
                </w:tcPr>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坚守环境质量底线，严格污染物总量管控。根据规划区域及周边环境质量现状和目标，确定区域污染物排放总量上限。落实园区现有企业环境问题整改，落实园区现有企业煤炭及其他颗粒状物料储运全封闭防尘措施，采取有效措施减少二氧化硫、氮氧化物、挥发性有机物、颗粒物、化学需氧量、氨氮等污染物的排放量，确保实现区域环境质量改善目标。推进工艺技术和污染治理技术改造，各类大气污染物排放须满足国家和自治区最新污染物排放标准要求。根据国家和自治医下达的主要污染物总量控制指标，在确保完成昌吉州地区和呼图壁县总量减排目标任务的前提下，对园区内新建项目核定总量排放指标，实现区域“增产减污”。在呼图壁县PM2.5年平均浓度不达标的情况下，园区禁止新（改、扩）建未落实SO</w:t>
                  </w:r>
                  <w:r>
                    <w:rPr>
                      <w:rFonts w:hint="default" w:ascii="Times New Roman" w:hAnsi="Times New Roman" w:cs="Times New Roman"/>
                      <w:color w:val="auto"/>
                      <w:szCs w:val="21"/>
                      <w:vertAlign w:val="subscript"/>
                    </w:rPr>
                    <w:t>2</w:t>
                  </w:r>
                  <w:r>
                    <w:rPr>
                      <w:rFonts w:hint="default" w:ascii="Times New Roman" w:hAnsi="Times New Roman" w:cs="Times New Roman"/>
                      <w:color w:val="auto"/>
                      <w:szCs w:val="21"/>
                    </w:rPr>
                    <w:t>、NOx、烟粉尘、挥发性有机污染物(VOCs)等四项大气污染物总量指标倍量替代的项目。西区企业优先利用自产余热，供热锅炉采用清洁能源；禁止新建、扩建燃煤锅炉。</w:t>
                  </w:r>
                </w:p>
              </w:tc>
              <w:tc>
                <w:tcPr>
                  <w:tcW w:w="2780" w:type="dxa"/>
                  <w:vAlign w:val="center"/>
                </w:tcPr>
                <w:p>
                  <w:pPr>
                    <w:adjustRightInd w:val="0"/>
                    <w:snapToGrid w:val="0"/>
                    <w:jc w:val="left"/>
                    <w:rPr>
                      <w:rFonts w:hint="default" w:ascii="Times New Roman" w:hAnsi="Times New Roman" w:cs="Times New Roman"/>
                      <w:color w:val="auto"/>
                      <w:szCs w:val="21"/>
                    </w:rPr>
                  </w:pPr>
                  <w:r>
                    <w:rPr>
                      <w:rFonts w:hint="default" w:ascii="Times New Roman" w:hAnsi="Times New Roman" w:cs="Times New Roman"/>
                      <w:color w:val="auto"/>
                      <w:szCs w:val="21"/>
                    </w:rPr>
                    <w:t>本项目不产生SO</w:t>
                  </w:r>
                  <w:r>
                    <w:rPr>
                      <w:rFonts w:hint="default" w:ascii="Times New Roman" w:hAnsi="Times New Roman" w:cs="Times New Roman"/>
                      <w:color w:val="auto"/>
                      <w:szCs w:val="21"/>
                      <w:vertAlign w:val="subscript"/>
                    </w:rPr>
                    <w:t>2</w:t>
                  </w:r>
                  <w:r>
                    <w:rPr>
                      <w:rFonts w:hint="default" w:ascii="Times New Roman" w:hAnsi="Times New Roman" w:cs="Times New Roman"/>
                      <w:color w:val="auto"/>
                      <w:szCs w:val="21"/>
                    </w:rPr>
                    <w:t>、NOx、烟粉尘、挥发性有机污染物(VOCs)等污染物，不设置总量控制指标；项目冬季供暖采用电锅炉，属于清洁能源，不新建扩建燃煤锅炉；项目大气、水环境、声环境质量均能够满足相应的标准要求。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8" w:hRule="atLeast"/>
                <w:jc w:val="center"/>
              </w:trPr>
              <w:tc>
                <w:tcPr>
                  <w:tcW w:w="1078"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负面清单</w:t>
                  </w:r>
                </w:p>
              </w:tc>
              <w:tc>
                <w:tcPr>
                  <w:tcW w:w="372" w:type="dxa"/>
                  <w:vAlign w:val="center"/>
                </w:tcPr>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环境准入负面清单</w:t>
                  </w:r>
                </w:p>
              </w:tc>
              <w:tc>
                <w:tcPr>
                  <w:tcW w:w="4559" w:type="dxa"/>
                  <w:vAlign w:val="center"/>
                </w:tcPr>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根据《呼图壁工业园区总体规划(2017-2035)》，已建区负面清单为：</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——禁止不符合园区产业发展方向的项目扩建产能。</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——禁止过剩行业扩建产能。</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——禁止用地类型属于三类工业用地的项目扩建产能。</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现状煤化工、石油化工、黑色金属铸造等三类工业用地项目近期保留，采取环境整治、环保措施提标改造的措施，逐步减少污染物排放；规划远期逐步实现产业转型或搬迁措施，转变现状企业产业发展方向。具体详见现有企业整治方案。</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——2018年3月起，立即停止棉纺产业在建项目建设，立即停止棉纺产业所有拟建项目前期工作。后续按自治区新出台政策执行。</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——现有“三高”项目改造达标或关停退出。</w:t>
                  </w:r>
                </w:p>
              </w:tc>
              <w:tc>
                <w:tcPr>
                  <w:tcW w:w="278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本项目属于现有化工物流项目提标改造项目，近期保留，限期内完成技术改造（提标改造）；规划远期内完成园区内搬迁和产业转型，或搬迁出园区。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1078" w:type="dxa"/>
                  <w:vMerge w:val="continue"/>
                  <w:vAlign w:val="center"/>
                </w:tcPr>
                <w:p>
                  <w:pPr>
                    <w:adjustRightInd w:val="0"/>
                    <w:snapToGrid w:val="0"/>
                    <w:jc w:val="center"/>
                    <w:rPr>
                      <w:rFonts w:hint="default" w:ascii="Times New Roman" w:hAnsi="Times New Roman" w:cs="Times New Roman"/>
                      <w:color w:val="auto"/>
                      <w:szCs w:val="21"/>
                    </w:rPr>
                  </w:pPr>
                </w:p>
              </w:tc>
              <w:tc>
                <w:tcPr>
                  <w:tcW w:w="372" w:type="dxa"/>
                  <w:vAlign w:val="center"/>
                </w:tcPr>
                <w:p>
                  <w:pPr>
                    <w:adjustRightInd w:val="0"/>
                    <w:snapToGrid w:val="0"/>
                    <w:rPr>
                      <w:rFonts w:hint="default" w:ascii="Times New Roman" w:hAnsi="Times New Roman" w:cs="Times New Roman"/>
                      <w:color w:val="auto"/>
                      <w:szCs w:val="21"/>
                    </w:rPr>
                  </w:pPr>
                  <w:r>
                    <w:rPr>
                      <w:rFonts w:hint="default" w:ascii="Times New Roman" w:hAnsi="Times New Roman" w:cs="Times New Roman"/>
                      <w:b/>
                      <w:color w:val="auto"/>
                      <w:szCs w:val="21"/>
                      <w:lang w:val="de-DE"/>
                    </w:rPr>
                    <w:t>主导产业准入负面清单</w:t>
                  </w:r>
                </w:p>
              </w:tc>
              <w:tc>
                <w:tcPr>
                  <w:tcW w:w="4559" w:type="dxa"/>
                  <w:vAlign w:val="center"/>
                </w:tcPr>
                <w:p>
                  <w:pPr>
                    <w:adjustRightInd w:val="0"/>
                    <w:snapToGrid w:val="0"/>
                    <w:rPr>
                      <w:rFonts w:hint="default" w:ascii="Times New Roman" w:hAnsi="Times New Roman" w:cs="Times New Roman"/>
                      <w:b/>
                      <w:bCs/>
                      <w:color w:val="auto"/>
                      <w:szCs w:val="21"/>
                    </w:rPr>
                  </w:pPr>
                  <w:r>
                    <w:rPr>
                      <w:rFonts w:hint="default" w:ascii="Times New Roman" w:hAnsi="Times New Roman" w:cs="Times New Roman"/>
                      <w:b/>
                      <w:bCs/>
                      <w:color w:val="auto"/>
                      <w:szCs w:val="21"/>
                    </w:rPr>
                    <w:t>金属新材料：</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——有色金属冶炼（含再生有色金属冶炼）、有色金属合金制造、有色金属铸造（年产10万吨及以上）</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——有电镀或喷漆工艺且年用油性漆量（含稀释剂）10吨及以上的金属制品加工制造。</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——有电镀工艺的；使用有机涂层的（喷粉、喷塑和电泳除外）；有钝化工艺的热镀锌的金属制品表面处理及热处理加工。</w:t>
                  </w:r>
                </w:p>
                <w:p>
                  <w:pPr>
                    <w:adjustRightInd w:val="0"/>
                    <w:snapToGrid w:val="0"/>
                    <w:rPr>
                      <w:rFonts w:hint="default" w:ascii="Times New Roman" w:hAnsi="Times New Roman" w:cs="Times New Roman"/>
                      <w:b/>
                      <w:bCs/>
                      <w:color w:val="auto"/>
                      <w:szCs w:val="21"/>
                    </w:rPr>
                  </w:pPr>
                  <w:r>
                    <w:rPr>
                      <w:rFonts w:hint="default" w:ascii="Times New Roman" w:hAnsi="Times New Roman" w:cs="Times New Roman"/>
                      <w:b/>
                      <w:bCs/>
                      <w:color w:val="auto"/>
                      <w:szCs w:val="21"/>
                    </w:rPr>
                    <w:t>先进高分子材料：</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——除单纯混合和分装外的化学原料和化学制品制造业。</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——人造革、发泡胶等涉及有毒原材料的；以再生塑料为原料的；有电镀或喷漆工艺且年用油性漆量 （含稀释剂）10 吨及以上的塑料制品制造。</w:t>
                  </w:r>
                </w:p>
                <w:p>
                  <w:pPr>
                    <w:adjustRightInd w:val="0"/>
                    <w:snapToGrid w:val="0"/>
                    <w:rPr>
                      <w:rFonts w:hint="default" w:ascii="Times New Roman" w:hAnsi="Times New Roman" w:cs="Times New Roman"/>
                      <w:b/>
                      <w:bCs/>
                      <w:color w:val="auto"/>
                      <w:szCs w:val="21"/>
                    </w:rPr>
                  </w:pPr>
                  <w:r>
                    <w:rPr>
                      <w:rFonts w:hint="default" w:ascii="Times New Roman" w:hAnsi="Times New Roman" w:cs="Times New Roman"/>
                      <w:b/>
                      <w:bCs/>
                      <w:color w:val="auto"/>
                      <w:szCs w:val="21"/>
                    </w:rPr>
                    <w:t>新型建筑材料、节能环保新材料</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——炼铁、球团、烧结；炼钢；年产10万吨及以上的黑色金属铸造黑色金属年产50万吨及以上的冷轧。</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——有炼化及硫化工艺的橡胶制造。</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——除单纯纺丝外的化学纤维制造。</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——平板玻璃制造。</w:t>
                  </w:r>
                </w:p>
                <w:p>
                  <w:pPr>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——半导体材料。保新材料</w:t>
                  </w:r>
                </w:p>
              </w:tc>
              <w:tc>
                <w:tcPr>
                  <w:tcW w:w="278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本项目不属于以上规定范畴项目。</w:t>
                  </w:r>
                </w:p>
              </w:tc>
            </w:tr>
          </w:tbl>
          <w:p>
            <w:pPr>
              <w:pStyle w:val="31"/>
              <w:spacing w:after="0" w:line="360" w:lineRule="auto"/>
              <w:ind w:firstLine="0" w:firstLineChars="0"/>
              <w:rPr>
                <w:rFonts w:hint="default" w:ascii="Times New Roman" w:hAnsi="Times New Roman" w:cs="Times New Roman"/>
                <w:color w:val="auto"/>
                <w:sz w:val="24"/>
                <w:szCs w:val="24"/>
              </w:rPr>
            </w:pPr>
            <w:r>
              <w:rPr>
                <w:rFonts w:hint="default" w:ascii="Times New Roman" w:hAnsi="Times New Roman" w:cs="Times New Roman"/>
                <w:b/>
                <w:bCs/>
                <w:color w:val="auto"/>
                <w:sz w:val="24"/>
                <w:szCs w:val="24"/>
              </w:rPr>
              <w:t>8.平面布局合理性分析</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根据功能区划分为办公生活区和储存区。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（1）办公生活区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新疆鲁兴化工有限公司办公生活区位于厂区东南角，布置有办公楼、宿舍、门卫室。项目区主导风向为西南风，办公生活区处于常年主导风向的侧风向，符合《工业企业总平面设计规范》GB50187-2012的要求。</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（2）储存区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储存区布置在厂区北侧，厂区东北区域由北向南布置有导热油炉房、水泵房、消防水池、循环水池、控制室、化验室及变配电室、生产装置区（甲类，停用）、生产办公室；导热油炉、原生产装置均不在本次评价范围内。</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储罐区位于厂区西侧，罐区西侧为事故池（原有）、泡沫泵房（原有）；罐区北侧为新建泵区、厂内道路、装卸站（在原有装卸站西侧9.5m处新建两个装卸台），装卸站由立柱、台面、斜梯、栏杆、鹤管组成，装卸站至装卸泵的管道架空敷设，装卸泵至储罐的管道采用低支架敷设。</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储罐区南侧及办公生活区北侧均为预留空地。</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厂区内道路呈环状布置，主干道宽12m，次要道路宽6m，转弯半径为12m，满足交通、消防的要求。厂区北侧设置有一个物流出入口，东南角设置有一个人流出入口。</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项目区布置在满足防火要求的前提下，平面布置紧凑合理，节约用地，功能分区明确，总体符合《工业企业总平面设计规范》（GB50187-2012）的要求。</w:t>
            </w:r>
          </w:p>
          <w:p>
            <w:pPr>
              <w:pStyle w:val="43"/>
              <w:jc w:val="both"/>
              <w:rPr>
                <w:rFonts w:hint="default" w:ascii="Times New Roman" w:hAnsi="Times New Roman" w:eastAsia="宋体" w:cs="Times New Roman"/>
                <w:b/>
                <w:color w:val="auto"/>
              </w:rPr>
            </w:pPr>
          </w:p>
          <w:p>
            <w:pPr>
              <w:pStyle w:val="43"/>
              <w:jc w:val="center"/>
              <w:rPr>
                <w:rFonts w:hint="default" w:ascii="Times New Roman" w:hAnsi="Times New Roman" w:eastAsia="宋体" w:cs="Times New Roman"/>
                <w:color w:val="auto"/>
              </w:rPr>
            </w:pPr>
            <w:r>
              <w:rPr>
                <w:rFonts w:hint="default" w:ascii="Times New Roman" w:hAnsi="Times New Roman" w:eastAsia="宋体" w:cs="Times New Roman"/>
                <w:b/>
                <w:color w:val="auto"/>
              </w:rPr>
              <w:t>表6  平面布置防火间距表</w:t>
            </w:r>
          </w:p>
          <w:tbl>
            <w:tblPr>
              <w:tblStyle w:val="33"/>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978"/>
              <w:gridCol w:w="637"/>
              <w:gridCol w:w="903"/>
              <w:gridCol w:w="905"/>
              <w:gridCol w:w="1943"/>
              <w:gridCol w:w="1039"/>
              <w:gridCol w:w="1076"/>
              <w:gridCol w:w="8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序号</w:t>
                  </w:r>
                </w:p>
              </w:tc>
              <w:tc>
                <w:tcPr>
                  <w:tcW w:w="569"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建筑或设施</w:t>
                  </w:r>
                </w:p>
              </w:tc>
              <w:tc>
                <w:tcPr>
                  <w:tcW w:w="376"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方位</w:t>
                  </w:r>
                </w:p>
              </w:tc>
              <w:tc>
                <w:tcPr>
                  <w:tcW w:w="1055" w:type="pct"/>
                  <w:gridSpan w:val="2"/>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相邻建筑或设施</w:t>
                  </w:r>
                </w:p>
              </w:tc>
              <w:tc>
                <w:tcPr>
                  <w:tcW w:w="980"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依据标准</w:t>
                  </w:r>
                </w:p>
              </w:tc>
              <w:tc>
                <w:tcPr>
                  <w:tcW w:w="603"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标准间距</w:t>
                  </w:r>
                </w:p>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（m）</w:t>
                  </w:r>
                </w:p>
              </w:tc>
              <w:tc>
                <w:tcPr>
                  <w:tcW w:w="624"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实际间距</w:t>
                  </w:r>
                </w:p>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（m）</w:t>
                  </w:r>
                </w:p>
              </w:tc>
              <w:tc>
                <w:tcPr>
                  <w:tcW w:w="472" w:type="pct"/>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符合性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569"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储罐区（丙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w:t>
                  </w: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厂内道路</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7.5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19.4</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装卸鹤管</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（GB50016-2014）</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42.7</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东</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厂内道路</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24.1</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527"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装置区（甲类）</w:t>
                  </w:r>
                </w:p>
              </w:tc>
              <w:tc>
                <w:tcPr>
                  <w:tcW w:w="527"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内浮顶</w:t>
                  </w:r>
                </w:p>
              </w:tc>
              <w:tc>
                <w:tcPr>
                  <w:tcW w:w="980" w:type="pct"/>
                  <w:vMerge w:val="restar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95</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527" w:type="pct"/>
                  <w:vMerge w:val="continue"/>
                  <w:vAlign w:val="center"/>
                </w:tcPr>
                <w:p>
                  <w:pPr>
                    <w:jc w:val="center"/>
                    <w:rPr>
                      <w:rFonts w:hint="default" w:ascii="Times New Roman" w:hAnsi="Times New Roman" w:cs="Times New Roman"/>
                      <w:color w:val="auto"/>
                      <w:szCs w:val="21"/>
                    </w:rPr>
                  </w:pPr>
                </w:p>
              </w:tc>
              <w:tc>
                <w:tcPr>
                  <w:tcW w:w="527"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拱顶</w:t>
                  </w:r>
                </w:p>
              </w:tc>
              <w:tc>
                <w:tcPr>
                  <w:tcW w:w="980" w:type="pct"/>
                  <w:vMerge w:val="continue"/>
                  <w:vAlign w:val="center"/>
                </w:tcPr>
                <w:p>
                  <w:pP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78</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527" w:type="pct"/>
                  <w:vMerge w:val="continue"/>
                  <w:vAlign w:val="center"/>
                </w:tcPr>
                <w:p>
                  <w:pPr>
                    <w:jc w:val="center"/>
                    <w:rPr>
                      <w:rFonts w:hint="default" w:ascii="Times New Roman" w:hAnsi="Times New Roman" w:cs="Times New Roman"/>
                      <w:color w:val="auto"/>
                      <w:szCs w:val="21"/>
                    </w:rPr>
                  </w:pPr>
                </w:p>
              </w:tc>
              <w:tc>
                <w:tcPr>
                  <w:tcW w:w="527"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内浮顶</w:t>
                  </w:r>
                </w:p>
              </w:tc>
              <w:tc>
                <w:tcPr>
                  <w:tcW w:w="980" w:type="pct"/>
                  <w:vMerge w:val="continue"/>
                  <w:vAlign w:val="center"/>
                </w:tcPr>
                <w:p>
                  <w:pP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63</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527" w:type="pct"/>
                  <w:vMerge w:val="continue"/>
                  <w:vAlign w:val="center"/>
                </w:tcPr>
                <w:p>
                  <w:pPr>
                    <w:jc w:val="center"/>
                    <w:rPr>
                      <w:rFonts w:hint="default" w:ascii="Times New Roman" w:hAnsi="Times New Roman" w:cs="Times New Roman"/>
                      <w:color w:val="auto"/>
                      <w:szCs w:val="21"/>
                    </w:rPr>
                  </w:pPr>
                </w:p>
              </w:tc>
              <w:tc>
                <w:tcPr>
                  <w:tcW w:w="527"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拱顶</w:t>
                  </w:r>
                </w:p>
              </w:tc>
              <w:tc>
                <w:tcPr>
                  <w:tcW w:w="980" w:type="pct"/>
                  <w:vMerge w:val="continue"/>
                  <w:vAlign w:val="center"/>
                </w:tcPr>
                <w:p>
                  <w:pP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22.5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40.7</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527" w:type="pct"/>
                  <w:vMerge w:val="continue"/>
                  <w:vAlign w:val="center"/>
                </w:tcPr>
                <w:p>
                  <w:pPr>
                    <w:jc w:val="center"/>
                    <w:rPr>
                      <w:rFonts w:hint="default" w:ascii="Times New Roman" w:hAnsi="Times New Roman" w:cs="Times New Roman"/>
                      <w:color w:val="auto"/>
                      <w:szCs w:val="21"/>
                    </w:rPr>
                  </w:pPr>
                </w:p>
              </w:tc>
              <w:tc>
                <w:tcPr>
                  <w:tcW w:w="527"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500m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拱顶</w:t>
                  </w:r>
                </w:p>
              </w:tc>
              <w:tc>
                <w:tcPr>
                  <w:tcW w:w="980" w:type="pct"/>
                  <w:vMerge w:val="continue"/>
                  <w:vAlign w:val="center"/>
                </w:tcPr>
                <w:p>
                  <w:pP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18.75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43</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东北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变配电室</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54</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化验室</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（GB50016-2014）</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75</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控制室</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66</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西</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泡沫泵房</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（GB50016-2014）</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30</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围墙</w:t>
                  </w:r>
                </w:p>
              </w:tc>
              <w:tc>
                <w:tcPr>
                  <w:tcW w:w="980" w:type="pc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26.25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47.1</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厂内道路</w:t>
                  </w:r>
                </w:p>
              </w:tc>
              <w:tc>
                <w:tcPr>
                  <w:tcW w:w="980" w:type="pct"/>
                  <w:vMerge w:val="restar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36.45</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围墙</w:t>
                  </w:r>
                </w:p>
              </w:tc>
              <w:tc>
                <w:tcPr>
                  <w:tcW w:w="980" w:type="pct"/>
                  <w:vMerge w:val="continue"/>
                  <w:vAlign w:val="center"/>
                </w:tcPr>
                <w:p>
                  <w:pPr>
                    <w:jc w:val="cente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26.25</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214</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东南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办公楼</w:t>
                  </w:r>
                </w:p>
              </w:tc>
              <w:tc>
                <w:tcPr>
                  <w:tcW w:w="980" w:type="pct"/>
                  <w:vMerge w:val="restar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（GB50160-2008）</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168</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Merge w:val="continue"/>
                  <w:vAlign w:val="center"/>
                </w:tcPr>
                <w:p>
                  <w:pPr>
                    <w:jc w:val="center"/>
                    <w:rPr>
                      <w:rFonts w:hint="default" w:ascii="Times New Roman" w:hAnsi="Times New Roman" w:cs="Times New Roman"/>
                      <w:color w:val="auto"/>
                      <w:szCs w:val="21"/>
                    </w:rPr>
                  </w:pP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宿舍</w:t>
                  </w:r>
                </w:p>
              </w:tc>
              <w:tc>
                <w:tcPr>
                  <w:tcW w:w="980" w:type="pct"/>
                  <w:vMerge w:val="continue"/>
                  <w:vAlign w:val="center"/>
                </w:tcPr>
                <w:p>
                  <w:pPr>
                    <w:jc w:val="cente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163</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569" w:type="pct"/>
                  <w:vMerge w:val="restar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装卸鹤管（丙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w:t>
                  </w:r>
                </w:p>
              </w:tc>
              <w:tc>
                <w:tcPr>
                  <w:tcW w:w="376"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生产办公室</w:t>
                  </w:r>
                </w:p>
              </w:tc>
              <w:tc>
                <w:tcPr>
                  <w:tcW w:w="980" w:type="pct"/>
                  <w:vMerge w:val="restart"/>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（GB50016-2014）</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2018年版</w:t>
                  </w: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40.6</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东</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化验室</w:t>
                  </w:r>
                </w:p>
              </w:tc>
              <w:tc>
                <w:tcPr>
                  <w:tcW w:w="980" w:type="pct"/>
                  <w:vMerge w:val="continue"/>
                  <w:vAlign w:val="center"/>
                </w:tcPr>
                <w:p>
                  <w:pPr>
                    <w:jc w:val="cente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84.5</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7" w:type="pct"/>
                  <w:vMerge w:val="continue"/>
                  <w:vAlign w:val="center"/>
                </w:tcPr>
                <w:p>
                  <w:pPr>
                    <w:jc w:val="center"/>
                    <w:rPr>
                      <w:rFonts w:hint="default" w:ascii="Times New Roman" w:hAnsi="Times New Roman" w:cs="Times New Roman"/>
                      <w:color w:val="auto"/>
                      <w:szCs w:val="21"/>
                    </w:rPr>
                  </w:pPr>
                </w:p>
              </w:tc>
              <w:tc>
                <w:tcPr>
                  <w:tcW w:w="569" w:type="pct"/>
                  <w:vMerge w:val="continue"/>
                  <w:vAlign w:val="center"/>
                </w:tcPr>
                <w:p>
                  <w:pPr>
                    <w:jc w:val="center"/>
                    <w:rPr>
                      <w:rFonts w:hint="default" w:ascii="Times New Roman" w:hAnsi="Times New Roman" w:cs="Times New Roman"/>
                      <w:color w:val="auto"/>
                      <w:szCs w:val="21"/>
                    </w:rPr>
                  </w:pPr>
                </w:p>
              </w:tc>
              <w:tc>
                <w:tcPr>
                  <w:tcW w:w="376"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南</w:t>
                  </w:r>
                </w:p>
              </w:tc>
              <w:tc>
                <w:tcPr>
                  <w:tcW w:w="1055" w:type="pct"/>
                  <w:gridSpan w:val="2"/>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泡沫泵房</w:t>
                  </w:r>
                </w:p>
              </w:tc>
              <w:tc>
                <w:tcPr>
                  <w:tcW w:w="980" w:type="pct"/>
                  <w:vMerge w:val="continue"/>
                  <w:vAlign w:val="center"/>
                </w:tcPr>
                <w:p>
                  <w:pPr>
                    <w:jc w:val="center"/>
                    <w:rPr>
                      <w:rFonts w:hint="default" w:ascii="Times New Roman" w:hAnsi="Times New Roman" w:cs="Times New Roman"/>
                      <w:color w:val="auto"/>
                      <w:szCs w:val="21"/>
                    </w:rPr>
                  </w:pPr>
                </w:p>
              </w:tc>
              <w:tc>
                <w:tcPr>
                  <w:tcW w:w="603"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624"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68</w:t>
                  </w:r>
                </w:p>
              </w:tc>
              <w:tc>
                <w:tcPr>
                  <w:tcW w:w="472" w:type="pct"/>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bl>
          <w:p>
            <w:pPr>
              <w:pStyle w:val="12"/>
              <w:snapToGrid w:val="0"/>
              <w:ind w:left="0" w:leftChars="0" w:firstLine="0" w:firstLineChars="0"/>
              <w:jc w:val="both"/>
              <w:rPr>
                <w:rFonts w:hint="default" w:ascii="Times New Roman" w:hAnsi="Times New Roman" w:cs="Times New Roman"/>
                <w:b/>
                <w:color w:val="auto"/>
                <w:sz w:val="24"/>
              </w:rPr>
            </w:pPr>
          </w:p>
          <w:p>
            <w:pPr>
              <w:pStyle w:val="12"/>
              <w:snapToGrid w:val="0"/>
              <w:ind w:firstLine="482"/>
              <w:jc w:val="center"/>
              <w:rPr>
                <w:rFonts w:hint="default" w:ascii="Times New Roman" w:hAnsi="Times New Roman" w:cs="Times New Roman"/>
                <w:color w:val="auto"/>
                <w:sz w:val="24"/>
              </w:rPr>
            </w:pPr>
            <w:r>
              <w:rPr>
                <w:rFonts w:hint="default" w:ascii="Times New Roman" w:hAnsi="Times New Roman" w:cs="Times New Roman"/>
                <w:b/>
                <w:color w:val="auto"/>
                <w:sz w:val="24"/>
              </w:rPr>
              <w:t>表7  储罐之间防火间距符合性一览表</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54"/>
              <w:gridCol w:w="2245"/>
              <w:gridCol w:w="1993"/>
              <w:gridCol w:w="1613"/>
              <w:gridCol w:w="7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基质沥青储罐区</w:t>
                  </w:r>
                </w:p>
              </w:tc>
              <w:tc>
                <w:tcPr>
                  <w:tcW w:w="2245" w:type="dxa"/>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相邻储罐名称</w:t>
                  </w:r>
                </w:p>
              </w:tc>
              <w:tc>
                <w:tcPr>
                  <w:tcW w:w="1993" w:type="dxa"/>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规范要求距离（m）</w:t>
                  </w:r>
                </w:p>
              </w:tc>
              <w:tc>
                <w:tcPr>
                  <w:tcW w:w="1613" w:type="dxa"/>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实际距离（m）</w:t>
                  </w:r>
                </w:p>
              </w:tc>
              <w:tc>
                <w:tcPr>
                  <w:tcW w:w="720" w:type="dxa"/>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符合性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6" w:hRule="atLeast"/>
              </w:trPr>
              <w:tc>
                <w:tcPr>
                  <w:tcW w:w="2254"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粗白油内浮顶储罐（单罐2000m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Φ14m×13m</w:t>
                  </w: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粗白油内浮顶储罐（单罐2000m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5.6（0.4D）</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5.6（0.4D）</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防火堤内堤脚线</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6.5（罐高13m）</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6.7</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Φ14m×13m</w:t>
                  </w: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粗白油拱顶储罐（单罐2000m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粗白油内浮顶储罐（单罐1000m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6.2</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防火堤内堤脚线</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6.5（罐高13m）</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6.7</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粗白油内浮顶储罐（单罐1000m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Φ12m×8.86m</w:t>
                  </w: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粗白油内浮顶储罐（单罐1000m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4.4（0.4D）</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4.4（0.4D）</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防火堤内堤脚线</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4.43（罐高8.86m）</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Φ12m×8.86m</w:t>
                  </w: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粗白油拱顶储罐（单罐1000m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粗白油拱顶储罐（单罐500m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防火堤内堤脚线</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4.43（罐高8.86m）</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粗白油拱顶储罐（单罐500m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Φ9m×7.87m</w:t>
                  </w: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粗白油拱顶储罐（单罐500m</w:t>
                  </w:r>
                  <w:r>
                    <w:rPr>
                      <w:rFonts w:hint="default" w:ascii="Times New Roman" w:hAnsi="Times New Roman" w:cs="Times New Roman"/>
                      <w:color w:val="auto"/>
                      <w:szCs w:val="21"/>
                      <w:vertAlign w:val="superscript"/>
                    </w:rPr>
                    <w:t>3</w:t>
                  </w:r>
                  <w:r>
                    <w:rPr>
                      <w:rFonts w:hint="default" w:ascii="Times New Roman" w:hAnsi="Times New Roman" w:cs="Times New Roman"/>
                      <w:color w:val="auto"/>
                      <w:szCs w:val="21"/>
                    </w:rPr>
                    <w:t>）丙</w:t>
                  </w:r>
                  <w:r>
                    <w:rPr>
                      <w:rFonts w:hint="default" w:ascii="Times New Roman" w:hAnsi="Times New Roman" w:cs="Times New Roman"/>
                      <w:color w:val="auto"/>
                      <w:szCs w:val="21"/>
                      <w:vertAlign w:val="subscript"/>
                    </w:rPr>
                    <w:t>B</w:t>
                  </w:r>
                  <w:r>
                    <w:rPr>
                      <w:rFonts w:hint="default" w:ascii="Times New Roman" w:hAnsi="Times New Roman" w:cs="Times New Roman"/>
                      <w:color w:val="auto"/>
                      <w:szCs w:val="21"/>
                    </w:rPr>
                    <w:t>类</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254" w:type="dxa"/>
                  <w:vMerge w:val="continue"/>
                  <w:vAlign w:val="center"/>
                </w:tcPr>
                <w:p>
                  <w:pPr>
                    <w:snapToGrid w:val="0"/>
                    <w:jc w:val="center"/>
                    <w:rPr>
                      <w:rFonts w:hint="default" w:ascii="Times New Roman" w:hAnsi="Times New Roman" w:cs="Times New Roman"/>
                      <w:color w:val="auto"/>
                      <w:szCs w:val="21"/>
                    </w:rPr>
                  </w:pPr>
                </w:p>
              </w:tc>
              <w:tc>
                <w:tcPr>
                  <w:tcW w:w="2245"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防火堤内堤脚线</w:t>
                  </w:r>
                </w:p>
              </w:tc>
              <w:tc>
                <w:tcPr>
                  <w:tcW w:w="199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3.98（罐高7.87m）</w:t>
                  </w:r>
                </w:p>
              </w:tc>
              <w:tc>
                <w:tcPr>
                  <w:tcW w:w="161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4.7</w:t>
                  </w:r>
                </w:p>
              </w:tc>
              <w:tc>
                <w:tcPr>
                  <w:tcW w:w="7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符合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825" w:type="dxa"/>
                  <w:gridSpan w:val="5"/>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依据</w:t>
                  </w:r>
                  <w:r>
                    <w:rPr>
                      <w:rFonts w:hint="default" w:ascii="Times New Roman" w:hAnsi="Times New Roman" w:cs="Times New Roman"/>
                      <w:bCs/>
                      <w:color w:val="auto"/>
                      <w:szCs w:val="21"/>
                    </w:rPr>
                    <w:t>《石油化工企业设计防火标准》GB50160-2008（2018年版）</w:t>
                  </w:r>
                  <w:r>
                    <w:rPr>
                      <w:rFonts w:hint="default" w:ascii="Times New Roman" w:hAnsi="Times New Roman" w:cs="Times New Roman"/>
                      <w:color w:val="auto"/>
                      <w:szCs w:val="21"/>
                    </w:rPr>
                    <w:t>表6.2.8编制</w:t>
                  </w:r>
                </w:p>
              </w:tc>
            </w:tr>
          </w:tbl>
          <w:p>
            <w:pPr>
              <w:snapToGrid w:val="0"/>
              <w:spacing w:line="360" w:lineRule="auto"/>
              <w:rPr>
                <w:rFonts w:hint="default" w:ascii="Times New Roman" w:hAnsi="Times New Roman" w:eastAsia="仿宋"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8515" w:type="dxa"/>
            <w:gridSpan w:val="7"/>
          </w:tcPr>
          <w:p>
            <w:pPr>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与本项目有关的原有污染情况及主要环境问题：</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于2011年根据国家和自治区、自治州的发展战略和产业政策以及呼图壁工业园总体规划，位于呼图壁工业园化工区横二路南侧投资建设年加工20万吨溶剂分离项目，并取得了立项批复，逐年进行分期建设。</w:t>
            </w:r>
          </w:p>
          <w:p>
            <w:pPr>
              <w:adjustRightInd w:val="0"/>
              <w:snapToGrid w:val="0"/>
              <w:spacing w:line="360" w:lineRule="auto"/>
              <w:ind w:firstLine="482" w:firstLineChars="200"/>
              <w:rPr>
                <w:rFonts w:hint="default" w:ascii="Times New Roman" w:hAnsi="Times New Roman" w:cs="Times New Roman"/>
                <w:b/>
                <w:bCs/>
                <w:color w:val="auto"/>
                <w:sz w:val="24"/>
              </w:rPr>
            </w:pPr>
            <w:r>
              <w:rPr>
                <w:rFonts w:hint="default" w:ascii="Times New Roman" w:hAnsi="Times New Roman" w:cs="Times New Roman"/>
                <w:b/>
                <w:bCs/>
                <w:color w:val="auto"/>
                <w:sz w:val="24"/>
              </w:rPr>
              <w:t>1、原有项目概况</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新疆维吾尔自治区环境保护厅《关于新疆鲁兴化工有限公司年加工20万吨溶剂分离一期工程项目环境影响报告书的批复》（新环评函2012）242号）新疆鲁兴化工有限公司年加工20万吨溶剂分离一期工程位于呼图壁天山工业园煤化工产业区内，项目生产原料为石脑油，年用量为70007吨，通过5个塔系包括再沸器、分馏塔、冷却器、回流罐）组成的连续分馏系统，年产轻烃1400吨、6#溶剂油21000吨、120#溶剂油24500吨、200#溶剂油21000吨、260#溶剂油1400吨。项目配套工程：循环冷却系统、供配电系统、供排水管网、导热油循环系统及16个储罐等，项目总投资5000万元，其中环保投资424万元。</w:t>
            </w:r>
          </w:p>
          <w:p>
            <w:pPr>
              <w:numPr>
                <w:ilvl w:val="0"/>
                <w:numId w:val="2"/>
              </w:num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环评报告原有污染情况及其环保措施</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（1）废气</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加强运行管理，做好各类废气治理工作。热媒炉废气须经陶瓷多管除尘及双碱法脱硫处理，满足《锅炉大气污染物排放标准》（CB13271-2001）中二类区Ⅱ时段标准后通过45m高烟囱排放。</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精馏塔顶不凝气导入热媒炉进行焚烧处理，采用内浮顶罐储存原料油及产品，减少大小呼吸；油品卸装采用全自动装车鹤管，带有密封帽和回收管，并设静电接地报警器和溢车报警器，保证装车时的安全、避免无组织废气散逸。采用封闭煤场储煤，并配套洒水装置，减少无组织煤尘产生。项目须设置150米卫生防护距离。</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（2）废水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厂区排水系统须“清污分流”，生产设备、地坪清洗排污水与生话污水一同排入一体化污水处理设施，经处理达到《污水综合排放标准》（GB8978-1996）中二级标准后用于厂区绿化；待园区污水处理厂建成后排入园区下水管网。冷却系统排水，余热锅炉供暖系统排水经沉淀池处理后，用于煤场降尘。</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做好厂区地面硬化及生产车间、围堰、事故池等防渗工作；项目建设的所有罐区须做防渗处理，并建设围堰，防止生产事故引发环境污染。</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（3）固废</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产生的废弃物应按有关标准和分析方法检测检定，属危险废物的须专人管理，按有关控制标准贮存和运输，定期交有危险废物处置资质的机构安全处置，不得擅自处理。更换下来的导热油经精馏塔重新加工后继续使用。设置有防尘、防渗等污染防治措施的专用贮存场地堆存一般工业固体废物，定期外售或送市政生活垃圾填埋场处置。</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（4）噪声</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确保厂界噪声满足《工业企业厂界环境噪声排放标准( CB12348-2008)中3类要求。</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（5）环境风险防范措施</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加强项目环境风险防范、制定事故状态下环境风险应急预案和污染防治措施，避免生产事故引发环境污染．建立与地方政府突发环境事故应急预案对接及联动具体实施方案，确保风险事故得到有效控制，避免发生污染事件。</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（6）总量控制指标</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经测算，本项目主要污染物排放总量分别为：二氧化硫40.09吨/年、氮氧化物：56. 79吨/年，分别从呼图壁县新华夏煤焦化有限公司减排项目和新疆艾斯米尔焦煤有限公司减排项目腾出的污染物排放总量控制指标中解决。</w:t>
            </w:r>
          </w:p>
          <w:p>
            <w:pPr>
              <w:numPr>
                <w:ilvl w:val="0"/>
                <w:numId w:val="2"/>
              </w:num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原有项目主要环境问题</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2014 年项目一期7万吨/年溶剂油分离项目建设完成，并达到试生产条件，各项措施达到国家相关法律法规要求，同年8月份对项目进行安全验收。</w:t>
            </w:r>
          </w:p>
          <w:p>
            <w:pPr>
              <w:adjustRightInd w:val="0"/>
              <w:snapToGrid w:val="0"/>
              <w:spacing w:line="360" w:lineRule="auto"/>
              <w:ind w:firstLine="480" w:firstLineChars="200"/>
              <w:rPr>
                <w:rFonts w:hint="default" w:ascii="Times New Roman" w:hAnsi="Times New Roman" w:eastAsia="仿宋" w:cs="Times New Roman"/>
                <w:color w:val="auto"/>
                <w:sz w:val="24"/>
              </w:rPr>
            </w:pPr>
            <w:r>
              <w:rPr>
                <w:rFonts w:hint="default" w:ascii="Times New Roman" w:hAnsi="Times New Roman" w:cs="Times New Roman"/>
                <w:color w:val="auto"/>
                <w:sz w:val="24"/>
              </w:rPr>
              <w:t>本项目为改建项目，由于企业内部人员、资金结构调整等原因，原有项目自建成后停运至今，故不存在原有环境污染情况及环境问题。</w:t>
            </w:r>
          </w:p>
          <w:p>
            <w:pPr>
              <w:pStyle w:val="43"/>
              <w:rPr>
                <w:rFonts w:hint="default" w:ascii="Times New Roman" w:hAnsi="Times New Roman" w:eastAsia="仿宋" w:cs="Times New Roman"/>
                <w:color w:val="auto"/>
              </w:rPr>
            </w:pPr>
          </w:p>
          <w:p>
            <w:pPr>
              <w:rPr>
                <w:rFonts w:hint="default" w:ascii="Times New Roman" w:hAnsi="Times New Roman" w:eastAsia="仿宋" w:cs="Times New Roman"/>
                <w:color w:val="auto"/>
                <w:sz w:val="24"/>
              </w:rPr>
            </w:pPr>
          </w:p>
          <w:p>
            <w:pPr>
              <w:pStyle w:val="43"/>
              <w:rPr>
                <w:rFonts w:hint="default" w:ascii="Times New Roman" w:hAnsi="Times New Roman" w:eastAsia="仿宋" w:cs="Times New Roman"/>
                <w:color w:val="auto"/>
              </w:rPr>
            </w:pPr>
          </w:p>
          <w:p>
            <w:pPr>
              <w:pStyle w:val="43"/>
              <w:rPr>
                <w:rFonts w:hint="default" w:ascii="Times New Roman" w:hAnsi="Times New Roman" w:eastAsia="仿宋" w:cs="Times New Roman"/>
                <w:color w:val="auto"/>
              </w:rPr>
            </w:pPr>
          </w:p>
          <w:p>
            <w:pPr>
              <w:rPr>
                <w:rFonts w:hint="default" w:ascii="Times New Roman" w:hAnsi="Times New Roman" w:eastAsia="仿宋" w:cs="Times New Roman"/>
                <w:color w:val="auto"/>
              </w:rPr>
            </w:pPr>
          </w:p>
          <w:p>
            <w:pPr>
              <w:pStyle w:val="43"/>
              <w:rPr>
                <w:rFonts w:hint="default" w:ascii="Times New Roman" w:hAnsi="Times New Roman" w:eastAsia="仿宋" w:cs="Times New Roman"/>
                <w:color w:val="auto"/>
              </w:rPr>
            </w:pPr>
          </w:p>
          <w:p>
            <w:pPr>
              <w:rPr>
                <w:rFonts w:hint="default" w:ascii="Times New Roman" w:hAnsi="Times New Roman" w:eastAsia="仿宋" w:cs="Times New Roman"/>
                <w:color w:val="auto"/>
              </w:rPr>
            </w:pPr>
          </w:p>
          <w:p>
            <w:pPr>
              <w:pStyle w:val="43"/>
              <w:rPr>
                <w:rFonts w:hint="default" w:ascii="Times New Roman" w:hAnsi="Times New Roman" w:eastAsia="仿宋" w:cs="Times New Roman"/>
                <w:color w:val="auto"/>
              </w:rPr>
            </w:pPr>
          </w:p>
          <w:p>
            <w:pPr>
              <w:rPr>
                <w:rFonts w:hint="default" w:ascii="Times New Roman" w:hAnsi="Times New Roman" w:eastAsia="仿宋" w:cs="Times New Roman"/>
                <w:color w:val="auto"/>
              </w:rPr>
            </w:pPr>
          </w:p>
          <w:p>
            <w:pPr>
              <w:pStyle w:val="43"/>
              <w:rPr>
                <w:rFonts w:hint="default" w:ascii="Times New Roman" w:hAnsi="Times New Roman" w:eastAsia="仿宋" w:cs="Times New Roman"/>
                <w:color w:val="auto"/>
              </w:rPr>
            </w:pPr>
          </w:p>
          <w:p>
            <w:pPr>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12"/>
              <w:rPr>
                <w:rFonts w:hint="default" w:ascii="Times New Roman" w:hAnsi="Times New Roman" w:eastAsia="仿宋" w:cs="Times New Roman"/>
                <w:color w:val="auto"/>
              </w:rPr>
            </w:pPr>
          </w:p>
          <w:p>
            <w:pPr>
              <w:pStyle w:val="43"/>
              <w:rPr>
                <w:rFonts w:hint="default" w:ascii="Times New Roman" w:hAnsi="Times New Roman" w:eastAsia="仿宋" w:cs="Times New Roman"/>
                <w:color w:val="auto"/>
              </w:rPr>
            </w:pPr>
          </w:p>
        </w:tc>
      </w:tr>
    </w:tbl>
    <w:p>
      <w:pP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建设项目所在地自然环境简况</w:t>
      </w:r>
    </w:p>
    <w:tbl>
      <w:tblPr>
        <w:tblStyle w:val="33"/>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6" w:hRule="atLeast"/>
          <w:jc w:val="center"/>
        </w:trPr>
        <w:tc>
          <w:tcPr>
            <w:tcW w:w="9071" w:type="dxa"/>
          </w:tcPr>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自然环境简况（地形、地貌、地质、气候、气象、水文、植被、生物多样性等）：</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1.地理位置</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呼图壁县位于天山北坡中段，准噶尔盆地南缘，地处北纬43°16′～45°20′之间，东经86°05′～87°07′26″。素有“西出隘口，东进咽喉”之称，是古丝绸路新北道上的重要驿站。县人民政府驻地呼图壁镇，东距新疆维吾尔自治区首府乌鲁木齐市76公里，距昌吉回族自治州首府昌吉市41公里，东与昌吉市接壤，西与呼图壁县毗邻，南以天山分水线与巴音郭楞蒙古自治州和静县为界，北同塔城地区和布克赛尔蒙古自治县相连。南北长227公里，东西最大宽度48公里。总面积9517平方公里。</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项目位于新疆昌吉州呼图壁县工业园区新疆鲁兴化工有限公司院内，项目地理坐标为N44°15′57″，E86°34′53″。</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2.地形、地貌</w:t>
            </w:r>
          </w:p>
          <w:p>
            <w:pPr>
              <w:spacing w:line="360" w:lineRule="auto"/>
              <w:ind w:firstLine="480" w:firstLineChars="200"/>
              <w:rPr>
                <w:rFonts w:hint="default" w:ascii="Times New Roman" w:hAnsi="Times New Roman" w:cs="Times New Roman"/>
                <w:color w:val="auto"/>
                <w:sz w:val="24"/>
                <w:lang w:val="zh-CN"/>
              </w:rPr>
            </w:pPr>
            <w:r>
              <w:rPr>
                <w:rFonts w:hint="default" w:ascii="Times New Roman" w:hAnsi="Times New Roman" w:cs="Times New Roman"/>
                <w:color w:val="auto"/>
                <w:sz w:val="24"/>
                <w:lang w:val="zh-CN"/>
              </w:rPr>
              <w:t>呼图壁县地势南高北低，自东南向西北倾斜。呼图壁县位于天山北麓山前冲积洪平原，准格尔盆地南缘的冲洪积扇的下部，地形南高北低，坡降约2‰，自东南向西北倾斜。境内地形大致可分为三部分:南部为</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"https://baike.so.com/doc/2012332-2129491.html"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高山</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"https://baike.so.com/doc/6411632-6625300.html"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丘陵</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"https://baike.so.com/doc/2947627-3109872.html"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平均海拔</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2400余米，占总面积的31.6%；中部为</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"https://baike.so.com/doc/6456104-6669791.html"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冲积平原</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"https://baike.so.com/doc/5723859-5936592.html"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海拔</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在460-700米之间，北部为</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"https://baike.so.com/doc/2182260-2309079.html"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沙漠</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地，</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"https://baike.so.com/doc/5723859-5936592.html" \t "_blank"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lang w:val="zh-CN"/>
              </w:rPr>
              <w:t>海拔</w:t>
            </w:r>
            <w:r>
              <w:rPr>
                <w:rFonts w:hint="default" w:ascii="Times New Roman" w:hAnsi="Times New Roman" w:cs="Times New Roman"/>
                <w:color w:val="auto"/>
                <w:sz w:val="24"/>
                <w:lang w:val="zh-CN"/>
              </w:rPr>
              <w:fldChar w:fldCharType="end"/>
            </w:r>
            <w:r>
              <w:rPr>
                <w:rFonts w:hint="default" w:ascii="Times New Roman" w:hAnsi="Times New Roman" w:cs="Times New Roman"/>
                <w:color w:val="auto"/>
                <w:sz w:val="24"/>
                <w:lang w:val="zh-CN"/>
              </w:rPr>
              <w:t>在360-460米之间，占总面积的25.2%。</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3.气候气象</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呼图壁县境内海拔高度相差较大，南北地区的气候有明显差异。县境内的低山、平原和沙漠地区属中温带，南部中山和高山地区属寒温带。中温带即海拔1500米以下的低山、平原和沙漠地区。中温带有明显的四季之分。由于南北高差和下垫面的不同，气象要素有明显的差异。温度由北向南逐渐降低，年均气温为2.9℃～7.1℃，年最高温度为36.0℃～43.1℃，无霜期129～176天，日照时数2900小时，生理辐射59千卡／平方厘米，年降水量110～400毫米，蒸发量2300毫米，年均风速3.1米／秒，有干旱、干热风、冻害、霜冻、大风和冰雹等灾害。寒温带即海拔大于1500米的中、高山地区。寒温带四季不明显，几乎无夏季。年均气温2.9℃～5.2℃，年最高气温为17.7℃～36℃，无霜期少于120天，降水量500毫米左右。</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4.水文条件</w:t>
            </w:r>
          </w:p>
          <w:p>
            <w:pPr>
              <w:pStyle w:val="2"/>
              <w:spacing w:after="0" w:line="360" w:lineRule="auto"/>
              <w:rPr>
                <w:rFonts w:hint="default" w:ascii="Times New Roman" w:hAnsi="Times New Roman" w:cs="Times New Roman"/>
                <w:color w:val="auto"/>
                <w:sz w:val="24"/>
              </w:rPr>
            </w:pPr>
            <w:r>
              <w:rPr>
                <w:rFonts w:hint="default" w:ascii="Times New Roman" w:hAnsi="Times New Roman" w:cs="Times New Roman"/>
                <w:color w:val="auto"/>
                <w:sz w:val="24"/>
              </w:rPr>
              <w:t>　　（1）地表水</w:t>
            </w:r>
          </w:p>
          <w:p>
            <w:pPr>
              <w:pStyle w:val="2"/>
              <w:spacing w:after="0"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呼图壁县内有两条自然河流，呼图壁河、雀尔沟河，呼图壁河年径流量为4.57亿m3，雀尔沟河年径流量为3.31万m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。全县拥有地表水资源3.08亿m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，地下水动储量为2.64亿m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呼图壁河是该县最大的河流，发源于巴州的哈台厄肯大坂地区的群山冰峰中，汇有白杨沟、哈熊沟、石梯子沟等六大支流，从南到北经呼图壁县东部、北部，消失于大漠之中，全长258km。水源由冰川、季节性积雪融水、降水和泉水补给。由于流域面积大，流量季节性变化大，年变化小，5-6月为汛期，平均流量14.5m3/s，多年平均径流量4.562亿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是全县用水的主要水源。呼图壁河在呼图壁县城西北4.5km处分为两条支流，分别为呼图壁东河和呼图壁西河。呼图壁河上游河床坡度较大，一般在3%以上，河水汹涌澎湃，在石门子一带穿过侏罗系岩层构成的单斜山，河流坡度降低，直至前山低丘。河水大量下渗，变成地下径流，成为山前倾斜平原的地下水补给带。雀儿沟河发源于中山地带，由泉水及山间溪流汇集而成，该河多年平均径流为0.327亿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，是大丰镇和干河子林场主要灌溉水源。</w:t>
            </w:r>
          </w:p>
          <w:p>
            <w:pPr>
              <w:pStyle w:val="31"/>
              <w:spacing w:after="0"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（2）地下水</w:t>
            </w:r>
          </w:p>
          <w:p>
            <w:pPr>
              <w:pStyle w:val="115"/>
              <w:ind w:firstLine="0" w:firstLineChars="0"/>
              <w:rPr>
                <w:rFonts w:hint="default" w:ascii="Times New Roman" w:hAnsi="Times New Roman" w:cs="Times New Roman"/>
                <w:color w:val="auto"/>
                <w:szCs w:val="24"/>
              </w:rPr>
            </w:pPr>
            <w:r>
              <w:rPr>
                <w:rFonts w:hint="default" w:ascii="Times New Roman" w:hAnsi="Times New Roman" w:cs="Times New Roman"/>
                <w:color w:val="auto"/>
                <w:szCs w:val="24"/>
              </w:rPr>
              <w:t>　　呼图壁县境内地下水资源较为丰富，地下水与地面水关系较为紧密，二者相互转化，互相依存，呼图壁县城的南部，西部分布着砂卵石层，县城的北部、东部均匀分布着亚砂土、亚粘土互层及砂砾石层，是典型的二元结构。由于透水性良好，河水大量渗漏，成为平原地区主要的地下水补给来源。地下水由西南向东流，南部水位深，一般为20-40m，北部水位线4-10m不等，部分地区水位则更深，为30-100m不等，承压水埋深180-260m。</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5.植被及生物多样性</w:t>
            </w:r>
          </w:p>
          <w:p>
            <w:pPr>
              <w:pStyle w:val="2"/>
              <w:spacing w:after="0"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呼图壁县</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"https://baike.so.com/doc/5802552-6015350.html"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森林资源</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由南部山区</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"https://baike.so.com/doc/6238124-6451491.html"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天然林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、中部平原</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"https://baike.so.com/doc/684482-724466.html"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人工林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、北部沙漠</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"https://baike.so.com/doc/6028595-6241596.html"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灌木林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三部分组成。南部山区自然分布以天山云杉为主的</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"https://baike.so.com/doc/5674085-5886754.html"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针叶林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，另有少量的</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"https://baike.so.com/doc/1485655-1570964.html"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落叶松</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"https://baike.so.com/doc/1821369-1926372.html"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密叶杨</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"https://baike.so.com/doc/806985-853600.html"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桦树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、天山桦楸。灌木有</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"https://baike.so.com/doc/6677754-6891629.html"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山柳</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、忍冬、水荀、锦鸡儿、</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"https://baike.so.com/doc/5579148-5792518.html"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野蔷薇</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等。南部山区林业地总面积202088公顷，其中，林地面积48165.6公顷，有林地面积30286.46公顷，占林地面积62.9%，疏林地面积5106.6公顷，占</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"https://baike.so.com/doc/5986346-6199313.html"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林地</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面积10.6%，</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"https://baike.so.com/doc/6028595-6241596.html"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灌木林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地面积9036.40公顷，占林地面积18.8%，灌丛地2165.20公顷，占林地面积4.5%，未成林造林面积56.60公顷，占林地面积0.1%，宜林地面积1509.20公顷，占林地面积3.1%，</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"https://baike.so.com/doc/7893072-8167167.html"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苗圃地</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面积5公顷;森林总蓄积65万立方米。中部平原人工林地带林业用地面积31427.18公顷，其中有林地5538.94公顷，宜林地21225.15公顷，未成林造林地4096.09公顷，苗圃产地67公顷，活立木蓄积744759立方米。北部沙漠主要分布梭梭、柽柳、</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"https://baike.so.com/doc/5375360-5611438.html"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沙拐枣</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"https://baike.so.com/doc/7533037-7807130.html"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琵琶柴</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等</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"https://baike.so.com/doc/6028595-6241596.html"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灌木林</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，有少量的</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"https://baike.so.com/doc/5404191-5641894.html"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胡杨</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，总面积为95376.1公顷。</w:t>
            </w:r>
          </w:p>
          <w:p>
            <w:pPr>
              <w:spacing w:line="360" w:lineRule="auto"/>
              <w:ind w:firstLine="488"/>
              <w:rPr>
                <w:rFonts w:hint="default" w:ascii="Times New Roman" w:hAnsi="Times New Roman" w:cs="Times New Roman"/>
                <w:color w:val="auto"/>
                <w:sz w:val="24"/>
              </w:rPr>
            </w:pPr>
            <w:r>
              <w:rPr>
                <w:rFonts w:hint="default" w:ascii="Times New Roman" w:hAnsi="Times New Roman" w:cs="Times New Roman"/>
                <w:color w:val="auto"/>
                <w:sz w:val="24"/>
              </w:rPr>
              <w:t>呼图壁县境内野生动植物种类繁多，主要植物有</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"https://baike.so.com/doc/2340036-2474767.html"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云杉</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、西伯利亚</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"https://baike.so.com/doc/1485655-1570964.html"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落叶松</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"https://baike.so.com/doc/806985-853600.html"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桦树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"https://baike.so.com/doc/1821369-1926372.html"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密叶杨</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"https://baike.so.com/doc/6677682-6891557.html"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山杨</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"https://baike.so.com/doc/5404191-5641894.html"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胡杨</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"https://baike.so.com/doc/699369-740181.html"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准噶尔柳</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、天山桦楸、白梭梭、柽柳、</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"https://baike.so.com/doc/4995761-5219891.html"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沙枣</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"https://baike.so.com/doc/5391736-5628483.html"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柳树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、白腊、</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"https://baike.so.com/doc/5021386-5247234.html"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榆树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"https://baike.so.com/doc/2618499-2764881.html"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黄花苜蓿</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"https://baike.so.com/doc/5887254-6100139.html"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珠芽蓼</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、狐茅、</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"https://baike.so.com/doc/5646075-5858711.html"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野葱</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、水芹菜、</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"https://baike.so.com/doc/5397820-5635174.html"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乌头</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"https://baike.so.com/doc/5396849-5634105.html"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狼毒</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"https://baike.so.com/doc/5380871-5617159.html"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大戟</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"https://baike.so.com/doc/5828095-6040914.html"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荨麻</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"https://baike.so.com/doc/5380807-5617091.html"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独活</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"https://baike.so.com/doc/1484301-1569542.html"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薄荷</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、雀麦、</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"https://baike.so.com/doc/6171384-6384624.html"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骆驼刺</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等。此外，还生长着雪莲、</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"https://baike.so.com/doc/5376130-5612244.html"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贝母</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"https://baike.so.com/doc/5080990-5308844.html"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防风</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"https://baike.so.com/doc/2728733-2880359.html"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麻黄</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"https://baike.so.com/doc/4696127-4910233.html"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元胡</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、冬花、</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"https://baike.so.com/doc/5349338-5584794.html"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甘草</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"https://baike.so.com/doc/1152741-1219421.html"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锁阳</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"https://baike.so.com/doc/5351387-5586845.html"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枸杞</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"https://baike.so.com/doc/5327192-5562364.html"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苦豆子</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"https://baike.so.com/doc/5422359-5660554.html"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大芸</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、大黄、</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"https://baike.so.com/doc/4489751-4699000.html"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党参</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、阿魏等上百种野生中药材。主要动物有马鹿、</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"https://baike.so.com/doc/5644952-5857586.html"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野山羊</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"https://baike.so.com/doc/5574101-5788518.html"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北山羊</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"https://baike.so.com/doc/5596950-5809551.html"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棕熊</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"https://baike.so.com/doc/5585056-5797650.html"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鹅喉羚</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"https://baike.so.com/doc/1525712-1612991.html"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野猪</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"https://baike.so.com/doc/5174167-5404986.html"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狍子</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"https://baike.so.com/doc/4394849-4601626.html"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雪豹</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"https://baike.so.com/doc/5572596-5787792.html"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草兔</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"https://baike.so.com/doc/2839197-2996273.html"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旱獭</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"https://baike.so.com/doc/5394777-5631913.html"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云雀</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"https://baike.so.com/doc/5351152-5586609.html"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燕子</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"https://baike.so.com/doc/1867178-1974865.html"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绿头鸭</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"https://baike.so.com/doc/5585111-5797705.html"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灰雁</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、高山雪鸡、</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"https://baike.so.com/doc/878517-928708.html"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隼</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"https://baike.so.com/doc/753173-797177.html"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苍鹰</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"https://baike.so.com/doc/5378936-10455664.html"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麻雀</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"https://baike.so.com/doc/5374083-5610099.html"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乌鸦</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等</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"https://baike.so.com/doc/2879842-3039050.html"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野生动物</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呼图壁县的矿藏主要分布在县境南山一带。截止2012年，已查明的矿藏有</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"https://baike.so.com/doc/2188994-2316072.html"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煤</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"https://baike.so.com/doc/1093015-1156548.html"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石油</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"https://baike.so.com/doc/3821816-4013425.html"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沙金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"https://baike.so.com/doc/5223718-5456193.html"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石灰岩</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"https://baike.so.com/doc/5330938-5566113.html"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玉石</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"https://baike.so.com/doc/592683-627419.html"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蛇纹岩</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"https://baike.so.com/doc/1138162-1204073.html"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白金</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"https://baike.so.com/doc/2076306-2196353.html"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黄铁矿</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"https://baike.so.com/doc/533796-565189.html"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冰洲石</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、水晶石、</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"https://baike.so.com/doc/5824258-6037076.html" \t "https://baike.so.com/doc/_blank" </w:instrText>
            </w:r>
            <w:r>
              <w:rPr>
                <w:rFonts w:hint="default" w:ascii="Times New Roman" w:hAnsi="Times New Roman" w:cs="Times New Roman"/>
                <w:color w:val="auto"/>
              </w:rPr>
              <w:fldChar w:fldCharType="separate"/>
            </w:r>
            <w:r>
              <w:rPr>
                <w:rFonts w:hint="default" w:ascii="Times New Roman" w:hAnsi="Times New Roman" w:cs="Times New Roman"/>
                <w:color w:val="auto"/>
                <w:sz w:val="24"/>
              </w:rPr>
              <w:t>方铅矿</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等。全县煤的总储量为10亿立方米，13亿吨。其主要矿点分布情况是：白杨沟至呼图壁河干沟矿区，东西长28公里，煤储量为7.25亿吨；呼图壁河干沟西侧煤礁点，此矿分三层，总厚度为11.6米。煤储量为1.16亿吨;希勒木布尔克东南煤磷点，储量为2.4亿吨；塔尔店煤矿点，储量为165.24万吨。石油矿藏位于县城南60公里处齐古一带。区域构造是一长轴背斜，轴向北璃西，轴长8800米，宽1200米，闭合面为830公顷。</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6.地震</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根据《中国地震动参数区划图》（GB18306-2015），呼图壁县属新疆西部地震区之北天山地震带，依据《建筑抗震设计规范》(GB50011-2010)，抗震设防烈度Ⅷ度。</w:t>
            </w:r>
          </w:p>
          <w:p>
            <w:pPr>
              <w:spacing w:line="360" w:lineRule="auto"/>
              <w:ind w:firstLine="488"/>
              <w:rPr>
                <w:rFonts w:hint="default" w:ascii="Times New Roman" w:hAnsi="Times New Roman" w:cs="Times New Roman"/>
                <w:color w:val="auto"/>
              </w:rPr>
            </w:pPr>
          </w:p>
          <w:p>
            <w:pPr>
              <w:pStyle w:val="43"/>
              <w:rPr>
                <w:rFonts w:hint="default" w:ascii="Times New Roman" w:hAnsi="Times New Roman" w:cs="Times New Roman"/>
                <w:color w:val="auto"/>
              </w:rPr>
            </w:pPr>
          </w:p>
          <w:p>
            <w:pPr>
              <w:rPr>
                <w:rFonts w:hint="default" w:ascii="Times New Roman" w:hAnsi="Times New Roman" w:cs="Times New Roman"/>
                <w:color w:val="auto"/>
              </w:rPr>
            </w:pPr>
          </w:p>
          <w:p>
            <w:pPr>
              <w:pStyle w:val="43"/>
              <w:rPr>
                <w:rFonts w:hint="default" w:ascii="Times New Roman" w:hAnsi="Times New Roman" w:cs="Times New Roman"/>
                <w:color w:val="auto"/>
              </w:rPr>
            </w:pPr>
          </w:p>
          <w:p>
            <w:pPr>
              <w:pStyle w:val="20"/>
              <w:rPr>
                <w:rFonts w:hint="default" w:ascii="Times New Roman" w:hAnsi="Times New Roman" w:cs="Times New Roman"/>
                <w:color w:val="auto"/>
              </w:rPr>
            </w:pPr>
          </w:p>
          <w:p>
            <w:pPr>
              <w:rPr>
                <w:rFonts w:hint="default" w:ascii="Times New Roman" w:hAnsi="Times New Roman" w:cs="Times New Roman"/>
                <w:color w:val="auto"/>
              </w:rPr>
            </w:pPr>
          </w:p>
          <w:p>
            <w:pPr>
              <w:pStyle w:val="20"/>
              <w:rPr>
                <w:rFonts w:hint="default" w:ascii="Times New Roman" w:hAnsi="Times New Roman" w:cs="Times New Roman"/>
                <w:color w:val="auto"/>
              </w:rPr>
            </w:pPr>
          </w:p>
          <w:p>
            <w:pPr>
              <w:rPr>
                <w:rFonts w:hint="default" w:ascii="Times New Roman" w:hAnsi="Times New Roman" w:cs="Times New Roman"/>
                <w:color w:val="auto"/>
              </w:rPr>
            </w:pPr>
          </w:p>
          <w:p>
            <w:pPr>
              <w:pStyle w:val="20"/>
              <w:rPr>
                <w:rFonts w:hint="default" w:ascii="Times New Roman" w:hAnsi="Times New Roman" w:cs="Times New Roman"/>
                <w:color w:val="auto"/>
              </w:rPr>
            </w:pPr>
          </w:p>
        </w:tc>
      </w:tr>
    </w:tbl>
    <w:p>
      <w:pPr>
        <w:spacing w:line="360" w:lineRule="auto"/>
        <w:rPr>
          <w:rFonts w:hint="default" w:ascii="Times New Roman" w:hAnsi="Times New Roman" w:cs="Times New Roman"/>
          <w:b/>
          <w:color w:val="auto"/>
          <w:sz w:val="28"/>
          <w:szCs w:val="28"/>
        </w:rPr>
      </w:pPr>
    </w:p>
    <w:p>
      <w:pPr>
        <w:spacing w:line="360" w:lineRule="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环境质量状况</w:t>
      </w:r>
    </w:p>
    <w:tbl>
      <w:tblPr>
        <w:tblStyle w:val="33"/>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3" w:hRule="atLeast"/>
        </w:trPr>
        <w:tc>
          <w:tcPr>
            <w:tcW w:w="8846" w:type="dxa"/>
          </w:tcPr>
          <w:p>
            <w:pPr>
              <w:spacing w:line="360" w:lineRule="auto"/>
              <w:rPr>
                <w:rFonts w:hint="default" w:ascii="Times New Roman" w:hAnsi="Times New Roman" w:eastAsia="黑体" w:cs="Times New Roman"/>
                <w:b/>
                <w:color w:val="auto"/>
                <w:sz w:val="24"/>
              </w:rPr>
            </w:pPr>
            <w:r>
              <w:rPr>
                <w:rFonts w:hint="default" w:ascii="Times New Roman" w:hAnsi="Times New Roman" w:cs="Times New Roman"/>
                <w:b/>
                <w:bCs/>
                <w:color w:val="auto"/>
                <w:sz w:val="24"/>
              </w:rPr>
              <w:t>建设项目所在地区域环境质量现状及主要环境问题(环境空气、地表水、地下水、声环境、生态环境等)：</w:t>
            </w:r>
            <w:r>
              <w:rPr>
                <w:rFonts w:hint="default" w:ascii="Times New Roman" w:hAnsi="Times New Roman" w:eastAsia="黑体" w:cs="Times New Roman"/>
                <w:b/>
                <w:color w:val="auto"/>
                <w:sz w:val="24"/>
              </w:rPr>
              <w:t xml:space="preserve"> </w:t>
            </w:r>
          </w:p>
          <w:p>
            <w:pPr>
              <w:spacing w:line="360" w:lineRule="auto"/>
              <w:ind w:firstLine="480" w:firstLineChars="200"/>
              <w:rPr>
                <w:rFonts w:hint="default" w:ascii="Times New Roman" w:hAnsi="Times New Roman" w:cs="Times New Roman"/>
                <w:color w:val="auto"/>
                <w:kern w:val="0"/>
                <w:sz w:val="24"/>
              </w:rPr>
            </w:pPr>
            <w:r>
              <w:rPr>
                <w:rFonts w:hint="default" w:ascii="Times New Roman" w:hAnsi="Times New Roman" w:cs="Times New Roman"/>
                <w:color w:val="auto"/>
                <w:kern w:val="0"/>
                <w:sz w:val="24"/>
              </w:rPr>
              <w:t>根据本项目的建设规模、地理位置及功能性质，对大气环境、水环境、声环境质量现状进行调查和评价。</w:t>
            </w:r>
          </w:p>
          <w:p>
            <w:pPr>
              <w:pStyle w:val="20"/>
              <w:tabs>
                <w:tab w:val="left" w:pos="0"/>
              </w:tabs>
              <w:adjustRightInd w:val="0"/>
              <w:snapToGrid w:val="0"/>
              <w:spacing w:after="0" w:line="360" w:lineRule="auto"/>
              <w:ind w:left="0" w:leftChars="0"/>
              <w:rPr>
                <w:rFonts w:hint="default" w:ascii="Times New Roman" w:hAnsi="Times New Roman" w:cs="Times New Roman"/>
                <w:b/>
                <w:bCs/>
                <w:color w:val="auto"/>
                <w:sz w:val="24"/>
              </w:rPr>
            </w:pPr>
            <w:r>
              <w:rPr>
                <w:rFonts w:hint="default" w:ascii="Times New Roman" w:hAnsi="Times New Roman" w:cs="Times New Roman"/>
                <w:b/>
                <w:bCs/>
                <w:color w:val="auto"/>
                <w:sz w:val="24"/>
              </w:rPr>
              <w:t>1.环境空气质量现状调查及评价</w:t>
            </w:r>
          </w:p>
          <w:p>
            <w:pPr>
              <w:spacing w:line="360" w:lineRule="auto"/>
              <w:outlineLvl w:val="0"/>
              <w:rPr>
                <w:rFonts w:hint="default" w:ascii="Times New Roman" w:hAnsi="Times New Roman" w:cs="Times New Roman"/>
                <w:b/>
                <w:bCs/>
                <w:color w:val="auto"/>
                <w:sz w:val="24"/>
              </w:rPr>
            </w:pPr>
            <w:r>
              <w:rPr>
                <w:rFonts w:hint="default" w:ascii="Times New Roman" w:hAnsi="Times New Roman" w:cs="Times New Roman"/>
                <w:b/>
                <w:bCs/>
                <w:color w:val="auto"/>
                <w:sz w:val="24"/>
              </w:rPr>
              <w:t>1.1基本污染物环境质量现状</w:t>
            </w:r>
          </w:p>
          <w:p>
            <w:pPr>
              <w:spacing w:line="360" w:lineRule="auto"/>
              <w:ind w:firstLine="496" w:firstLineChars="207"/>
              <w:rPr>
                <w:rFonts w:hint="default" w:ascii="Times New Roman" w:hAnsi="Times New Roman" w:cs="Times New Roman"/>
                <w:color w:val="auto"/>
                <w:sz w:val="24"/>
              </w:rPr>
            </w:pPr>
            <w:r>
              <w:rPr>
                <w:rFonts w:hint="default" w:ascii="Times New Roman" w:hAnsi="Times New Roman" w:cs="Times New Roman"/>
                <w:color w:val="auto"/>
                <w:sz w:val="24"/>
              </w:rPr>
              <w:t>根据《环境影响评价技术导则 大气环境（HJ2.2-2018）》，本次大气评价引用新疆维吾尔自治区生态环境厅中“乌-昌-石”、“奎-独-乌”区域各县（市 区）环境空气质量状况及排名的2019年的监测数据判定项目所在区呼图壁县环境质量达标情况。作为本项目环境空气现状评价基本污染物SO</w:t>
            </w:r>
            <w:r>
              <w:rPr>
                <w:rFonts w:hint="default" w:ascii="Times New Roman" w:hAnsi="Times New Roman" w:cs="Times New Roman"/>
                <w:color w:val="auto"/>
                <w:sz w:val="24"/>
                <w:vertAlign w:val="subscript"/>
              </w:rPr>
              <w:t>2</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2</w:t>
            </w:r>
            <w:r>
              <w:rPr>
                <w:rFonts w:hint="default" w:ascii="Times New Roman" w:hAnsi="Times New Roman" w:cs="Times New Roman"/>
                <w:color w:val="auto"/>
                <w:sz w:val="24"/>
              </w:rPr>
              <w:t>、PM</w:t>
            </w:r>
            <w:r>
              <w:rPr>
                <w:rFonts w:hint="default" w:ascii="Times New Roman" w:hAnsi="Times New Roman" w:cs="Times New Roman"/>
                <w:color w:val="auto"/>
                <w:sz w:val="24"/>
                <w:vertAlign w:val="subscript"/>
              </w:rPr>
              <w:t>10</w:t>
            </w:r>
            <w:r>
              <w:rPr>
                <w:rFonts w:hint="default" w:ascii="Times New Roman" w:hAnsi="Times New Roman" w:cs="Times New Roman"/>
                <w:color w:val="auto"/>
                <w:sz w:val="24"/>
              </w:rPr>
              <w:t>、PM</w:t>
            </w:r>
            <w:r>
              <w:rPr>
                <w:rFonts w:hint="default" w:ascii="Times New Roman" w:hAnsi="Times New Roman" w:cs="Times New Roman"/>
                <w:color w:val="auto"/>
                <w:sz w:val="24"/>
                <w:vertAlign w:val="subscript"/>
              </w:rPr>
              <w:t>2.5</w:t>
            </w:r>
            <w:r>
              <w:rPr>
                <w:rFonts w:hint="default" w:ascii="Times New Roman" w:hAnsi="Times New Roman" w:cs="Times New Roman"/>
                <w:color w:val="auto"/>
                <w:sz w:val="24"/>
              </w:rPr>
              <w:t>、CO和O</w:t>
            </w:r>
            <w:r>
              <w:rPr>
                <w:rFonts w:hint="default" w:ascii="Times New Roman" w:hAnsi="Times New Roman" w:cs="Times New Roman"/>
                <w:color w:val="auto"/>
                <w:sz w:val="24"/>
                <w:vertAlign w:val="subscript"/>
              </w:rPr>
              <w:t>3</w:t>
            </w:r>
            <w:r>
              <w:rPr>
                <w:rFonts w:hint="default" w:ascii="Times New Roman" w:hAnsi="Times New Roman" w:cs="Times New Roman"/>
                <w:color w:val="auto"/>
                <w:sz w:val="24"/>
              </w:rPr>
              <w:t>的数据来源。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（1）评价标准</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评价标准：SO</w:t>
            </w:r>
            <w:r>
              <w:rPr>
                <w:rFonts w:hint="default" w:ascii="Times New Roman" w:hAnsi="Times New Roman" w:cs="Times New Roman"/>
                <w:color w:val="auto"/>
                <w:sz w:val="24"/>
                <w:vertAlign w:val="subscript"/>
              </w:rPr>
              <w:t>2</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2</w:t>
            </w:r>
            <w:r>
              <w:rPr>
                <w:rFonts w:hint="default" w:ascii="Times New Roman" w:hAnsi="Times New Roman" w:cs="Times New Roman"/>
                <w:color w:val="auto"/>
                <w:sz w:val="24"/>
              </w:rPr>
              <w:t>、PM</w:t>
            </w:r>
            <w:r>
              <w:rPr>
                <w:rFonts w:hint="default" w:ascii="Times New Roman" w:hAnsi="Times New Roman" w:cs="Times New Roman"/>
                <w:color w:val="auto"/>
                <w:sz w:val="24"/>
                <w:vertAlign w:val="subscript"/>
              </w:rPr>
              <w:t>10</w:t>
            </w:r>
            <w:r>
              <w:rPr>
                <w:rFonts w:hint="default" w:ascii="Times New Roman" w:hAnsi="Times New Roman" w:cs="Times New Roman"/>
                <w:color w:val="auto"/>
                <w:sz w:val="24"/>
              </w:rPr>
              <w:t>、PM</w:t>
            </w:r>
            <w:r>
              <w:rPr>
                <w:rFonts w:hint="default" w:ascii="Times New Roman" w:hAnsi="Times New Roman" w:cs="Times New Roman"/>
                <w:color w:val="auto"/>
                <w:sz w:val="24"/>
                <w:vertAlign w:val="subscript"/>
              </w:rPr>
              <w:t>2.5</w:t>
            </w:r>
            <w:r>
              <w:rPr>
                <w:rFonts w:hint="default" w:ascii="Times New Roman" w:hAnsi="Times New Roman" w:cs="Times New Roman"/>
                <w:color w:val="auto"/>
                <w:sz w:val="24"/>
              </w:rPr>
              <w:t>、CO和O</w:t>
            </w:r>
            <w:r>
              <w:rPr>
                <w:rFonts w:hint="default" w:ascii="Times New Roman" w:hAnsi="Times New Roman" w:cs="Times New Roman"/>
                <w:color w:val="auto"/>
                <w:sz w:val="24"/>
                <w:vertAlign w:val="subscript"/>
              </w:rPr>
              <w:t>3</w:t>
            </w:r>
            <w:r>
              <w:rPr>
                <w:rFonts w:hint="default" w:ascii="Times New Roman" w:hAnsi="Times New Roman" w:cs="Times New Roman"/>
                <w:color w:val="auto"/>
                <w:sz w:val="24"/>
              </w:rPr>
              <w:t>执行《环境空气质量标准》（GB3095-2012）中二级标准。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（2）评价方法</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大气环境质量现状评价采用单因子污染指数法。</w:t>
            </w:r>
          </w:p>
          <w:p>
            <w:pPr>
              <w:overflowPunct w:val="0"/>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计算模式为：</w:t>
            </w:r>
          </w:p>
          <w:p>
            <w:pPr>
              <w:overflowPunct w:val="0"/>
              <w:spacing w:line="520" w:lineRule="exact"/>
              <w:ind w:firstLine="1920" w:firstLineChars="800"/>
              <w:rPr>
                <w:rFonts w:hint="default" w:ascii="Times New Roman" w:hAnsi="Times New Roman" w:cs="Times New Roman"/>
                <w:color w:val="auto"/>
                <w:sz w:val="24"/>
                <w:vertAlign w:val="subscript"/>
              </w:rPr>
            </w:pPr>
            <w:r>
              <w:rPr>
                <w:rFonts w:hint="default" w:ascii="Times New Roman" w:hAnsi="Times New Roman" w:cs="Times New Roman"/>
                <w:color w:val="auto"/>
                <w:sz w:val="24"/>
              </w:rPr>
              <w:t>P</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=C</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/C</w:t>
            </w:r>
            <w:r>
              <w:rPr>
                <w:rFonts w:hint="default" w:ascii="Times New Roman" w:hAnsi="Times New Roman" w:cs="Times New Roman"/>
                <w:color w:val="auto"/>
                <w:sz w:val="24"/>
                <w:vertAlign w:val="subscript"/>
              </w:rPr>
              <w:t>oi</w:t>
            </w:r>
          </w:p>
          <w:p>
            <w:pPr>
              <w:spacing w:line="520" w:lineRule="exact"/>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 xml:space="preserve"> 式中： P</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－i污染物的分指数；</w:t>
            </w:r>
          </w:p>
          <w:p>
            <w:pPr>
              <w:spacing w:line="520" w:lineRule="exact"/>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 xml:space="preserve"> C</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－i污染物的浓度，mg/m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spacing w:line="520" w:lineRule="exact"/>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       C</w:t>
            </w:r>
            <w:r>
              <w:rPr>
                <w:rFonts w:hint="default" w:ascii="Times New Roman" w:hAnsi="Times New Roman" w:cs="Times New Roman"/>
                <w:color w:val="auto"/>
                <w:sz w:val="24"/>
                <w:vertAlign w:val="subscript"/>
              </w:rPr>
              <w:t>oi</w:t>
            </w:r>
            <w:r>
              <w:rPr>
                <w:rFonts w:hint="default" w:ascii="Times New Roman" w:hAnsi="Times New Roman" w:cs="Times New Roman"/>
                <w:color w:val="auto"/>
                <w:sz w:val="24"/>
              </w:rPr>
              <w:t>－i污染物的评价标准，mg/m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（3）监测及评价结果</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根据新疆生态环境厅新疆维吾尔自治区生态环境厅中“乌-昌-石”、“奎-独-乌”区域各县（市 区）环境空气质量状况及排名，根据2019年1月~12月计算呼图壁县环境空气质量基本项目的年均值。</w:t>
            </w:r>
          </w:p>
          <w:p>
            <w:pPr>
              <w:pStyle w:val="20"/>
              <w:tabs>
                <w:tab w:val="left" w:pos="0"/>
              </w:tabs>
              <w:adjustRightInd w:val="0"/>
              <w:snapToGrid w:val="0"/>
              <w:spacing w:after="0" w:line="360" w:lineRule="auto"/>
              <w:ind w:left="0" w:leftChars="0"/>
              <w:rPr>
                <w:rFonts w:hint="default" w:ascii="Times New Roman" w:hAnsi="Times New Roman" w:cs="Times New Roman"/>
                <w:b/>
                <w:bCs/>
                <w:color w:val="auto"/>
                <w:sz w:val="24"/>
              </w:rPr>
            </w:pPr>
            <w:r>
              <w:rPr>
                <w:rFonts w:hint="default" w:ascii="Times New Roman" w:hAnsi="Times New Roman" w:cs="Times New Roman"/>
                <w:b/>
                <w:bCs/>
                <w:color w:val="auto"/>
                <w:sz w:val="24"/>
              </w:rPr>
              <w:t>2.水环境质量现状调查与评价</w:t>
            </w:r>
          </w:p>
          <w:p>
            <w:pPr>
              <w:jc w:val="center"/>
              <w:rPr>
                <w:rFonts w:hint="default" w:ascii="Times New Roman" w:hAnsi="Times New Roman" w:cs="Times New Roman"/>
                <w:b/>
                <w:bCs/>
                <w:color w:val="auto"/>
                <w:szCs w:val="21"/>
              </w:rPr>
            </w:pPr>
            <w:bookmarkStart w:id="0" w:name="_Toc20845"/>
            <w:bookmarkStart w:id="1" w:name="_Toc31442"/>
            <w:bookmarkStart w:id="2" w:name="_Toc377035661"/>
            <w:bookmarkStart w:id="3" w:name="_Toc384998736"/>
            <w:bookmarkStart w:id="4" w:name="_Toc4076"/>
            <w:bookmarkStart w:id="5" w:name="_Toc377572143"/>
            <w:bookmarkStart w:id="6" w:name="_Toc378173014"/>
          </w:p>
          <w:p>
            <w:pPr>
              <w:jc w:val="center"/>
              <w:rPr>
                <w:rFonts w:hint="default" w:ascii="Times New Roman" w:hAnsi="Times New Roman" w:cs="Times New Roman"/>
                <w:b/>
                <w:bCs/>
                <w:color w:val="auto"/>
                <w:szCs w:val="21"/>
              </w:rPr>
            </w:pPr>
          </w:p>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表8   呼图壁县环境空气质量基本项目浓度统计结果    单位：μg/m</w:t>
            </w:r>
            <w:r>
              <w:rPr>
                <w:rFonts w:hint="default" w:ascii="Times New Roman" w:hAnsi="Times New Roman" w:cs="Times New Roman"/>
                <w:b/>
                <w:bCs/>
                <w:color w:val="auto"/>
                <w:szCs w:val="21"/>
                <w:vertAlign w:val="superscript"/>
              </w:rPr>
              <w:t>3</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50"/>
              <w:gridCol w:w="1124"/>
              <w:gridCol w:w="1058"/>
              <w:gridCol w:w="1268"/>
              <w:gridCol w:w="1275"/>
              <w:gridCol w:w="1260"/>
              <w:gridCol w:w="12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月份</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PM</w:t>
                  </w:r>
                  <w:r>
                    <w:rPr>
                      <w:rFonts w:hint="default" w:ascii="Times New Roman" w:hAnsi="Times New Roman" w:cs="Times New Roman"/>
                      <w:snapToGrid w:val="0"/>
                      <w:color w:val="auto"/>
                      <w:szCs w:val="21"/>
                      <w:vertAlign w:val="subscript"/>
                    </w:rPr>
                    <w:t>10</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PM</w:t>
                  </w:r>
                  <w:r>
                    <w:rPr>
                      <w:rFonts w:hint="default" w:ascii="Times New Roman" w:hAnsi="Times New Roman" w:cs="Times New Roman"/>
                      <w:snapToGrid w:val="0"/>
                      <w:color w:val="auto"/>
                      <w:szCs w:val="21"/>
                      <w:vertAlign w:val="subscript"/>
                    </w:rPr>
                    <w:t>2.5</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SO</w:t>
                  </w:r>
                  <w:r>
                    <w:rPr>
                      <w:rFonts w:hint="default" w:ascii="Times New Roman" w:hAnsi="Times New Roman" w:cs="Times New Roman"/>
                      <w:snapToGrid w:val="0"/>
                      <w:color w:val="auto"/>
                      <w:szCs w:val="21"/>
                      <w:vertAlign w:val="subscript"/>
                    </w:rPr>
                    <w:t>2</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NO</w:t>
                  </w:r>
                  <w:r>
                    <w:rPr>
                      <w:rFonts w:hint="default" w:ascii="Times New Roman" w:hAnsi="Times New Roman" w:cs="Times New Roman"/>
                      <w:snapToGrid w:val="0"/>
                      <w:color w:val="auto"/>
                      <w:szCs w:val="21"/>
                      <w:vertAlign w:val="subscript"/>
                    </w:rPr>
                    <w:t>2</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CO-24h</w:t>
                  </w:r>
                </w:p>
                <w:p>
                  <w:pPr>
                    <w:pStyle w:val="68"/>
                    <w:adjustRightInd w:val="0"/>
                    <w:snapToGrid w:val="0"/>
                    <w:spacing w:line="240" w:lineRule="auto"/>
                    <w:ind w:firstLine="0" w:firstLine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（mg/m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O</w:t>
                  </w:r>
                  <w:r>
                    <w:rPr>
                      <w:rFonts w:hint="default" w:ascii="Times New Roman" w:hAnsi="Times New Roman" w:cs="Times New Roman"/>
                      <w:snapToGrid w:val="0"/>
                      <w:color w:val="auto"/>
                      <w:szCs w:val="21"/>
                      <w:vertAlign w:val="subscript"/>
                    </w:rPr>
                    <w:t>3</w:t>
                  </w:r>
                  <w:r>
                    <w:rPr>
                      <w:rFonts w:hint="default" w:ascii="Times New Roman" w:hAnsi="Times New Roman" w:cs="Times New Roman"/>
                      <w:snapToGrid w:val="0"/>
                      <w:color w:val="auto"/>
                      <w:szCs w:val="21"/>
                    </w:rPr>
                    <w:t>-8h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145</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112</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10</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53</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1.1</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106</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89</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21</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33</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1.9</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78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79</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59</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8</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28</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1.0</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88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37</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12</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21</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29</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1.0</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96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5月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34</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11</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20</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20</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0.8</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6月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15</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7</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14</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17</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0.6</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color w:val="auto"/>
                      <w:szCs w:val="21"/>
                    </w:rPr>
                    <w:t>113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7月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22</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10</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14</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19</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0.4</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122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8月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27</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15</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11</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25</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1.0</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177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9月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26</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12</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13</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19</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1.1</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74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10月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36</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15</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7</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32</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0.6</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11月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61</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35</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8</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32</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0.8</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12月</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118</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99</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6</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42</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0.7</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23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年均值</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58.83 </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39.67 </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12.75 </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29.08 </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0.92 </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 xml:space="preserve">84.08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标准值</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70</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35</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60</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40</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4</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160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251"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达标情况</w:t>
                  </w:r>
                </w:p>
              </w:tc>
              <w:tc>
                <w:tcPr>
                  <w:tcW w:w="1124"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w:t>
                  </w:r>
                </w:p>
              </w:tc>
              <w:tc>
                <w:tcPr>
                  <w:tcW w:w="105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超标</w:t>
                  </w:r>
                </w:p>
              </w:tc>
              <w:tc>
                <w:tcPr>
                  <w:tcW w:w="1268"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w:t>
                  </w:r>
                </w:p>
              </w:tc>
              <w:tc>
                <w:tcPr>
                  <w:tcW w:w="1275"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w:t>
                  </w:r>
                </w:p>
              </w:tc>
              <w:tc>
                <w:tcPr>
                  <w:tcW w:w="1260"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w:t>
                  </w:r>
                </w:p>
              </w:tc>
              <w:tc>
                <w:tcPr>
                  <w:tcW w:w="1269" w:type="dxa"/>
                  <w:vAlign w:val="center"/>
                </w:tcPr>
                <w:p>
                  <w:pPr>
                    <w:adjustRightInd w:val="0"/>
                    <w:snapToGrid w:val="0"/>
                    <w:jc w:val="center"/>
                    <w:rPr>
                      <w:rFonts w:hint="default" w:ascii="Times New Roman" w:hAnsi="Times New Roman" w:cs="Times New Roman"/>
                      <w:snapToGrid w:val="0"/>
                      <w:color w:val="auto"/>
                      <w:szCs w:val="21"/>
                    </w:rPr>
                  </w:pPr>
                  <w:r>
                    <w:rPr>
                      <w:rFonts w:hint="default" w:ascii="Times New Roman" w:hAnsi="Times New Roman" w:cs="Times New Roman"/>
                      <w:snapToGrid w:val="0"/>
                      <w:color w:val="auto"/>
                      <w:szCs w:val="21"/>
                    </w:rPr>
                    <w:t>达标</w:t>
                  </w:r>
                </w:p>
              </w:tc>
            </w:tr>
          </w:tbl>
          <w:p>
            <w:pPr>
              <w:spacing w:beforeLines="50"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snapToGrid w:val="0"/>
                <w:color w:val="auto"/>
                <w:kern w:val="0"/>
                <w:sz w:val="24"/>
              </w:rPr>
              <w:t>该地区PM</w:t>
            </w:r>
            <w:r>
              <w:rPr>
                <w:rFonts w:hint="default" w:ascii="Times New Roman" w:hAnsi="Times New Roman" w:cs="Times New Roman"/>
                <w:snapToGrid w:val="0"/>
                <w:color w:val="auto"/>
                <w:kern w:val="0"/>
                <w:sz w:val="24"/>
                <w:vertAlign w:val="subscript"/>
              </w:rPr>
              <w:t>2.5</w:t>
            </w:r>
            <w:r>
              <w:rPr>
                <w:rFonts w:hint="default" w:ascii="Times New Roman" w:hAnsi="Times New Roman" w:cs="Times New Roman"/>
                <w:snapToGrid w:val="0"/>
                <w:color w:val="auto"/>
                <w:kern w:val="0"/>
                <w:sz w:val="24"/>
              </w:rPr>
              <w:t>年均值无法满足《环境空气质量标准》（GB3095-2012）及修改单二级标准要求，故该区域为环境空气质量不达标区域，PM</w:t>
            </w:r>
            <w:r>
              <w:rPr>
                <w:rFonts w:hint="default" w:ascii="Times New Roman" w:hAnsi="Times New Roman" w:cs="Times New Roman"/>
                <w:snapToGrid w:val="0"/>
                <w:color w:val="auto"/>
                <w:kern w:val="0"/>
                <w:sz w:val="24"/>
                <w:vertAlign w:val="subscript"/>
              </w:rPr>
              <w:t>2.5</w:t>
            </w:r>
            <w:r>
              <w:rPr>
                <w:rFonts w:hint="default" w:ascii="Times New Roman" w:hAnsi="Times New Roman" w:cs="Times New Roman"/>
                <w:snapToGrid w:val="0"/>
                <w:color w:val="auto"/>
                <w:kern w:val="0"/>
                <w:sz w:val="24"/>
              </w:rPr>
              <w:t>为影响该区域环境空气质量的主要污染物。PM</w:t>
            </w:r>
            <w:r>
              <w:rPr>
                <w:rFonts w:hint="default" w:ascii="Times New Roman" w:hAnsi="Times New Roman" w:cs="Times New Roman"/>
                <w:snapToGrid w:val="0"/>
                <w:color w:val="auto"/>
                <w:kern w:val="0"/>
                <w:sz w:val="24"/>
                <w:vertAlign w:val="subscript"/>
              </w:rPr>
              <w:t>2.5</w:t>
            </w:r>
            <w:r>
              <w:rPr>
                <w:rFonts w:hint="default" w:ascii="Times New Roman" w:hAnsi="Times New Roman" w:cs="Times New Roman"/>
                <w:snapToGrid w:val="0"/>
                <w:color w:val="auto"/>
                <w:kern w:val="0"/>
                <w:sz w:val="24"/>
              </w:rPr>
              <w:t>超标原因主要与该区域气候干燥及多发浮尘天气有关。</w:t>
            </w:r>
          </w:p>
          <w:p>
            <w:pPr>
              <w:spacing w:line="360" w:lineRule="auto"/>
              <w:outlineLvl w:val="0"/>
              <w:rPr>
                <w:rFonts w:hint="default" w:ascii="Times New Roman" w:hAnsi="Times New Roman" w:cs="Times New Roman"/>
                <w:b/>
                <w:color w:val="auto"/>
                <w:sz w:val="24"/>
              </w:rPr>
            </w:pPr>
            <w:r>
              <w:rPr>
                <w:rFonts w:hint="default" w:ascii="Times New Roman" w:hAnsi="Times New Roman" w:cs="Times New Roman"/>
                <w:b/>
                <w:color w:val="auto"/>
                <w:sz w:val="24"/>
              </w:rPr>
              <w:t>2.1 地表水</w:t>
            </w:r>
            <w:bookmarkEnd w:id="0"/>
            <w:bookmarkEnd w:id="1"/>
            <w:bookmarkEnd w:id="2"/>
            <w:bookmarkEnd w:id="3"/>
            <w:bookmarkEnd w:id="4"/>
            <w:bookmarkEnd w:id="5"/>
            <w:bookmarkEnd w:id="6"/>
          </w:p>
          <w:p>
            <w:pPr>
              <w:pStyle w:val="18"/>
              <w:widowControl/>
              <w:spacing w:line="360" w:lineRule="auto"/>
              <w:ind w:firstLine="480" w:firstLineChars="200"/>
              <w:jc w:val="left"/>
              <w:rPr>
                <w:rFonts w:hint="default" w:ascii="Times New Roman" w:hAnsi="Times New Roman" w:eastAsia="宋体" w:cs="Times New Roman"/>
                <w:snapToGrid w:val="0"/>
                <w:color w:val="auto"/>
                <w:sz w:val="24"/>
                <w:szCs w:val="24"/>
              </w:rPr>
            </w:pPr>
            <w:r>
              <w:rPr>
                <w:rFonts w:hint="default" w:ascii="Times New Roman" w:hAnsi="Times New Roman" w:eastAsia="宋体" w:cs="Times New Roman"/>
                <w:snapToGrid w:val="0"/>
                <w:color w:val="auto"/>
                <w:sz w:val="24"/>
                <w:szCs w:val="24"/>
              </w:rPr>
              <w:t>根据现场调查，本工程所在区域评价范围内无地表水，在此不对地表水做水环境现状监测与评价。所以，本项目不对地表水环境现状进行监测与评价。</w:t>
            </w:r>
            <w:bookmarkStart w:id="7" w:name="_Toc378173015"/>
            <w:bookmarkStart w:id="8" w:name="_Toc8791"/>
            <w:bookmarkStart w:id="9" w:name="_Toc4936"/>
            <w:bookmarkStart w:id="10" w:name="_Toc377572144"/>
            <w:bookmarkStart w:id="11" w:name="_Toc377035662"/>
            <w:bookmarkStart w:id="12" w:name="_Toc384998737"/>
          </w:p>
          <w:p>
            <w:pPr>
              <w:pStyle w:val="18"/>
              <w:widowControl/>
              <w:spacing w:line="360" w:lineRule="auto"/>
              <w:jc w:val="left"/>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2.2 地下水</w:t>
            </w:r>
            <w:bookmarkEnd w:id="7"/>
            <w:bookmarkEnd w:id="8"/>
            <w:bookmarkEnd w:id="9"/>
            <w:bookmarkEnd w:id="10"/>
            <w:bookmarkEnd w:id="11"/>
            <w:bookmarkEnd w:id="12"/>
          </w:p>
          <w:p>
            <w:pPr>
              <w:spacing w:line="360" w:lineRule="auto"/>
              <w:ind w:firstLine="480"/>
              <w:rPr>
                <w:rFonts w:hint="default" w:ascii="Times New Roman" w:hAnsi="Times New Roman" w:cs="Times New Roman"/>
                <w:color w:val="auto"/>
                <w:sz w:val="28"/>
                <w:szCs w:val="28"/>
              </w:rPr>
            </w:pPr>
            <w:r>
              <w:rPr>
                <w:rFonts w:hint="default" w:ascii="Times New Roman" w:hAnsi="Times New Roman" w:cs="Times New Roman"/>
                <w:color w:val="auto"/>
                <w:sz w:val="24"/>
              </w:rPr>
              <w:t>本项目地下水环境监测数据引用原昌吉州环保局2017年9月对项目区周边1#永丰四队水井（位于项目区西北侧2.1km）、2#十八户村四组水井（位于项目区西南侧1.98km）和3#十八户村水井（位于项目区西南侧3.86km）的地下水环境监测数据。</w:t>
            </w:r>
          </w:p>
          <w:p>
            <w:pPr>
              <w:pStyle w:val="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2.2.1 监测项目</w:t>
            </w:r>
          </w:p>
          <w:p>
            <w:pPr>
              <w:spacing w:line="480" w:lineRule="exact"/>
              <w:ind w:firstLine="448" w:firstLineChars="200"/>
              <w:rPr>
                <w:rFonts w:hint="default" w:ascii="Times New Roman" w:hAnsi="Times New Roman" w:cs="Times New Roman"/>
                <w:color w:val="auto"/>
                <w:sz w:val="24"/>
              </w:rPr>
            </w:pPr>
            <w:r>
              <w:rPr>
                <w:rFonts w:hint="default" w:ascii="Times New Roman" w:hAnsi="Times New Roman" w:cs="Times New Roman"/>
                <w:color w:val="auto"/>
                <w:spacing w:val="-8"/>
                <w:sz w:val="24"/>
              </w:rPr>
              <w:t>pH、总硬度、溶解性总固体、氨氮、硝酸盐氮、氯化物、氟化物、硫酸盐、挥发酚、总氰化物、锌、铜、砷共13项</w:t>
            </w:r>
            <w:r>
              <w:rPr>
                <w:rFonts w:hint="default" w:ascii="Times New Roman" w:hAnsi="Times New Roman" w:cs="Times New Roman"/>
                <w:color w:val="auto"/>
                <w:sz w:val="24"/>
              </w:rPr>
              <w:t>。</w:t>
            </w:r>
          </w:p>
          <w:p>
            <w:pPr>
              <w:pStyle w:val="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2.2.2 评价标准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《地下水质量标准》（GB/T14848-2017）的Ⅲ类标准。</w:t>
            </w:r>
          </w:p>
          <w:p>
            <w:pPr>
              <w:pStyle w:val="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2.2.3 评价方法</w:t>
            </w:r>
          </w:p>
          <w:p>
            <w:pPr>
              <w:spacing w:line="360" w:lineRule="auto"/>
              <w:ind w:firstLine="464"/>
              <w:rPr>
                <w:rFonts w:hint="default" w:ascii="Times New Roman" w:hAnsi="Times New Roman" w:cs="Times New Roman"/>
                <w:color w:val="auto"/>
                <w:spacing w:val="-4"/>
                <w:sz w:val="24"/>
              </w:rPr>
            </w:pPr>
            <w:r>
              <w:rPr>
                <w:rFonts w:hint="default" w:ascii="Times New Roman" w:hAnsi="Times New Roman" w:cs="Times New Roman"/>
                <w:color w:val="auto"/>
                <w:spacing w:val="-4"/>
                <w:sz w:val="24"/>
              </w:rPr>
              <w:t>采用单项指标指数法，按《地下水质量标准》（GB/T14848-2017）中Ⅲ类标准进行评价。评价模型为：</w:t>
            </w:r>
          </w:p>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S</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＝C</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/C</w:t>
            </w:r>
            <w:r>
              <w:rPr>
                <w:rFonts w:hint="default" w:ascii="Times New Roman" w:hAnsi="Times New Roman" w:cs="Times New Roman"/>
                <w:color w:val="auto"/>
                <w:sz w:val="24"/>
                <w:vertAlign w:val="subscript"/>
              </w:rPr>
              <w:t>oi</w:t>
            </w:r>
          </w:p>
          <w:p>
            <w:pPr>
              <w:spacing w:line="360" w:lineRule="auto"/>
              <w:ind w:firstLine="464"/>
              <w:rPr>
                <w:rFonts w:hint="default" w:ascii="Times New Roman" w:hAnsi="Times New Roman" w:cs="Times New Roman"/>
                <w:color w:val="auto"/>
                <w:spacing w:val="-4"/>
                <w:sz w:val="24"/>
              </w:rPr>
            </w:pPr>
            <w:r>
              <w:rPr>
                <w:rFonts w:hint="default" w:ascii="Times New Roman" w:hAnsi="Times New Roman" w:cs="Times New Roman"/>
                <w:color w:val="auto"/>
                <w:spacing w:val="-4"/>
                <w:sz w:val="24"/>
              </w:rPr>
              <w:t>式中：S</w:t>
            </w:r>
            <w:r>
              <w:rPr>
                <w:rFonts w:hint="default" w:ascii="Times New Roman" w:hAnsi="Times New Roman" w:cs="Times New Roman"/>
                <w:color w:val="auto"/>
                <w:spacing w:val="-4"/>
                <w:sz w:val="24"/>
                <w:vertAlign w:val="subscript"/>
              </w:rPr>
              <w:t>i</w:t>
            </w:r>
            <w:r>
              <w:rPr>
                <w:rFonts w:hint="default" w:ascii="Times New Roman" w:hAnsi="Times New Roman" w:cs="Times New Roman"/>
                <w:color w:val="auto"/>
                <w:spacing w:val="-4"/>
                <w:sz w:val="24"/>
              </w:rPr>
              <w:t>—某污染物的标准指数；</w:t>
            </w:r>
          </w:p>
          <w:p>
            <w:pPr>
              <w:spacing w:line="360" w:lineRule="auto"/>
              <w:ind w:firstLine="1160" w:firstLineChars="500"/>
              <w:rPr>
                <w:rFonts w:hint="default" w:ascii="Times New Roman" w:hAnsi="Times New Roman" w:cs="Times New Roman"/>
                <w:color w:val="auto"/>
                <w:spacing w:val="-4"/>
                <w:sz w:val="24"/>
              </w:rPr>
            </w:pPr>
            <w:r>
              <w:rPr>
                <w:rFonts w:hint="default" w:ascii="Times New Roman" w:hAnsi="Times New Roman" w:cs="Times New Roman"/>
                <w:color w:val="auto"/>
                <w:spacing w:val="-4"/>
                <w:sz w:val="24"/>
              </w:rPr>
              <w:t>C</w:t>
            </w:r>
            <w:r>
              <w:rPr>
                <w:rFonts w:hint="default" w:ascii="Times New Roman" w:hAnsi="Times New Roman" w:cs="Times New Roman"/>
                <w:color w:val="auto"/>
                <w:spacing w:val="-4"/>
                <w:sz w:val="24"/>
                <w:vertAlign w:val="subscript"/>
              </w:rPr>
              <w:t>i</w:t>
            </w:r>
            <w:r>
              <w:rPr>
                <w:rFonts w:hint="default" w:ascii="Times New Roman" w:hAnsi="Times New Roman" w:cs="Times New Roman"/>
                <w:color w:val="auto"/>
                <w:spacing w:val="-4"/>
                <w:sz w:val="24"/>
              </w:rPr>
              <w:t>—某污染物的实测浓度，mg/L；</w:t>
            </w:r>
          </w:p>
          <w:p>
            <w:pPr>
              <w:spacing w:line="360" w:lineRule="auto"/>
              <w:ind w:firstLine="1160" w:firstLineChars="500"/>
              <w:rPr>
                <w:rFonts w:hint="default" w:ascii="Times New Roman" w:hAnsi="Times New Roman" w:cs="Times New Roman"/>
                <w:color w:val="auto"/>
                <w:spacing w:val="-4"/>
                <w:sz w:val="24"/>
              </w:rPr>
            </w:pPr>
            <w:r>
              <w:rPr>
                <w:rFonts w:hint="default" w:ascii="Times New Roman" w:hAnsi="Times New Roman" w:cs="Times New Roman"/>
                <w:color w:val="auto"/>
                <w:spacing w:val="-4"/>
                <w:sz w:val="24"/>
              </w:rPr>
              <w:t>C</w:t>
            </w:r>
            <w:r>
              <w:rPr>
                <w:rFonts w:hint="default" w:ascii="Times New Roman" w:hAnsi="Times New Roman" w:cs="Times New Roman"/>
                <w:color w:val="auto"/>
                <w:spacing w:val="-4"/>
                <w:sz w:val="24"/>
                <w:vertAlign w:val="subscript"/>
              </w:rPr>
              <w:t>oi</w:t>
            </w:r>
            <w:r>
              <w:rPr>
                <w:rFonts w:hint="default" w:ascii="Times New Roman" w:hAnsi="Times New Roman" w:cs="Times New Roman"/>
                <w:color w:val="auto"/>
                <w:spacing w:val="-4"/>
                <w:sz w:val="24"/>
              </w:rPr>
              <w:t>—某污染物的评价标准值，mg/L。</w:t>
            </w:r>
          </w:p>
          <w:p>
            <w:pPr>
              <w:spacing w:line="360" w:lineRule="auto"/>
              <w:ind w:firstLine="480" w:firstLineChars="200"/>
              <w:rPr>
                <w:rFonts w:hint="default" w:ascii="Times New Roman" w:hAnsi="Times New Roman" w:cs="Times New Roman"/>
                <w:color w:val="auto"/>
                <w:spacing w:val="-4"/>
                <w:sz w:val="24"/>
              </w:rPr>
            </w:pPr>
            <w:r>
              <w:rPr>
                <w:rFonts w:hint="default" w:ascii="Times New Roman" w:hAnsi="Times New Roman" w:cs="Times New Roman"/>
                <w:color w:val="auto"/>
                <w:sz w:val="24"/>
              </w:rPr>
              <w:t>pH的评价方法略有不同，其公式为：</w:t>
            </w:r>
          </w:p>
          <w:p>
            <w:pPr>
              <w:spacing w:line="360" w:lineRule="auto"/>
              <w:ind w:firstLine="1140" w:firstLineChars="475"/>
              <w:rPr>
                <w:rFonts w:hint="default" w:ascii="Times New Roman" w:hAnsi="Times New Roman" w:cs="Times New Roman"/>
                <w:color w:val="auto"/>
                <w:sz w:val="24"/>
              </w:rPr>
            </w:pPr>
            <w:r>
              <w:rPr>
                <w:rFonts w:hint="default" w:ascii="Times New Roman" w:hAnsi="Times New Roman" w:cs="Times New Roman"/>
                <w:color w:val="auto"/>
                <w:sz w:val="24"/>
              </w:rPr>
              <w:t>pH≤7.0时，S</w:t>
            </w:r>
            <w:r>
              <w:rPr>
                <w:rFonts w:hint="default" w:ascii="Times New Roman" w:hAnsi="Times New Roman" w:cs="Times New Roman"/>
                <w:color w:val="auto"/>
                <w:sz w:val="24"/>
                <w:vertAlign w:val="subscript"/>
              </w:rPr>
              <w:t>pH</w:t>
            </w:r>
            <w:r>
              <w:rPr>
                <w:rFonts w:hint="default" w:ascii="Times New Roman" w:hAnsi="Times New Roman" w:cs="Times New Roman"/>
                <w:color w:val="auto"/>
                <w:sz w:val="24"/>
              </w:rPr>
              <w:t>=（7.0- pH）/（7.0-pH</w:t>
            </w:r>
            <w:r>
              <w:rPr>
                <w:rFonts w:hint="default" w:ascii="Times New Roman" w:hAnsi="Times New Roman" w:cs="Times New Roman"/>
                <w:color w:val="auto"/>
                <w:sz w:val="24"/>
                <w:vertAlign w:val="subscript"/>
              </w:rPr>
              <w:t>sd</w:t>
            </w:r>
            <w:r>
              <w:rPr>
                <w:rFonts w:hint="default" w:ascii="Times New Roman" w:hAnsi="Times New Roman" w:cs="Times New Roman"/>
                <w:color w:val="auto"/>
                <w:sz w:val="24"/>
              </w:rPr>
              <w:t>）</w:t>
            </w:r>
          </w:p>
          <w:p>
            <w:pPr>
              <w:spacing w:line="360" w:lineRule="auto"/>
              <w:ind w:firstLine="1140" w:firstLineChars="475"/>
              <w:rPr>
                <w:rFonts w:hint="default" w:ascii="Times New Roman" w:hAnsi="Times New Roman" w:cs="Times New Roman"/>
                <w:color w:val="auto"/>
                <w:sz w:val="24"/>
              </w:rPr>
            </w:pPr>
            <w:r>
              <w:rPr>
                <w:rFonts w:hint="default" w:ascii="Times New Roman" w:hAnsi="Times New Roman" w:cs="Times New Roman"/>
                <w:color w:val="auto"/>
                <w:sz w:val="24"/>
              </w:rPr>
              <w:t>pH≥7.0时，S</w:t>
            </w:r>
            <w:r>
              <w:rPr>
                <w:rFonts w:hint="default" w:ascii="Times New Roman" w:hAnsi="Times New Roman" w:cs="Times New Roman"/>
                <w:color w:val="auto"/>
                <w:sz w:val="24"/>
                <w:vertAlign w:val="subscript"/>
              </w:rPr>
              <w:t>pH</w:t>
            </w:r>
            <w:r>
              <w:rPr>
                <w:rFonts w:hint="default" w:ascii="Times New Roman" w:hAnsi="Times New Roman" w:cs="Times New Roman"/>
                <w:color w:val="auto"/>
                <w:sz w:val="24"/>
              </w:rPr>
              <w:t>=（ pH-7.0）/（pH</w:t>
            </w:r>
            <w:r>
              <w:rPr>
                <w:rFonts w:hint="default" w:ascii="Times New Roman" w:hAnsi="Times New Roman" w:cs="Times New Roman"/>
                <w:color w:val="auto"/>
                <w:sz w:val="24"/>
                <w:vertAlign w:val="subscript"/>
              </w:rPr>
              <w:t>su</w:t>
            </w:r>
            <w:r>
              <w:rPr>
                <w:rFonts w:hint="default" w:ascii="Times New Roman" w:hAnsi="Times New Roman" w:cs="Times New Roman"/>
                <w:color w:val="auto"/>
                <w:sz w:val="24"/>
              </w:rPr>
              <w:t>-7.0）</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式中：S</w:t>
            </w:r>
            <w:r>
              <w:rPr>
                <w:rFonts w:hint="default" w:ascii="Times New Roman" w:hAnsi="Times New Roman" w:cs="Times New Roman"/>
                <w:color w:val="auto"/>
                <w:sz w:val="24"/>
                <w:vertAlign w:val="subscript"/>
              </w:rPr>
              <w:t>pH</w:t>
            </w:r>
            <w:r>
              <w:rPr>
                <w:rFonts w:hint="default" w:ascii="Times New Roman" w:hAnsi="Times New Roman" w:cs="Times New Roman"/>
                <w:color w:val="auto"/>
                <w:sz w:val="24"/>
              </w:rPr>
              <w:t>—pH的标准指数</w:t>
            </w:r>
          </w:p>
          <w:p>
            <w:pPr>
              <w:tabs>
                <w:tab w:val="left" w:pos="720"/>
                <w:tab w:val="left" w:pos="6090"/>
              </w:tabs>
              <w:spacing w:line="360" w:lineRule="auto"/>
              <w:ind w:firstLine="1140" w:firstLineChars="475"/>
              <w:rPr>
                <w:rFonts w:hint="default" w:ascii="Times New Roman" w:hAnsi="Times New Roman" w:cs="Times New Roman"/>
                <w:color w:val="auto"/>
                <w:sz w:val="24"/>
              </w:rPr>
            </w:pPr>
            <w:r>
              <w:rPr>
                <w:rFonts w:hint="default" w:ascii="Times New Roman" w:hAnsi="Times New Roman" w:cs="Times New Roman"/>
                <w:color w:val="auto"/>
                <w:sz w:val="24"/>
              </w:rPr>
              <w:t>pH</w:t>
            </w:r>
            <w:r>
              <w:rPr>
                <w:rFonts w:hint="default" w:ascii="Times New Roman" w:hAnsi="Times New Roman" w:cs="Times New Roman"/>
                <w:color w:val="auto"/>
                <w:sz w:val="24"/>
                <w:vertAlign w:val="subscript"/>
              </w:rPr>
              <w:t>sd</w:t>
            </w:r>
            <w:r>
              <w:rPr>
                <w:rFonts w:hint="default" w:ascii="Times New Roman" w:hAnsi="Times New Roman" w:cs="Times New Roman"/>
                <w:color w:val="auto"/>
                <w:sz w:val="24"/>
              </w:rPr>
              <w:t>—标准中的pH值的下限值（6.5）</w:t>
            </w:r>
          </w:p>
          <w:p>
            <w:pPr>
              <w:tabs>
                <w:tab w:val="left" w:pos="720"/>
                <w:tab w:val="left" w:pos="6090"/>
              </w:tabs>
              <w:spacing w:line="360" w:lineRule="auto"/>
              <w:ind w:firstLine="1140" w:firstLineChars="475"/>
              <w:rPr>
                <w:rFonts w:hint="default" w:ascii="Times New Roman" w:hAnsi="Times New Roman" w:cs="Times New Roman"/>
                <w:b/>
                <w:bCs/>
                <w:color w:val="auto"/>
                <w:sz w:val="24"/>
              </w:rPr>
            </w:pPr>
            <w:r>
              <w:rPr>
                <w:rFonts w:hint="default" w:ascii="Times New Roman" w:hAnsi="Times New Roman" w:cs="Times New Roman"/>
                <w:color w:val="auto"/>
                <w:sz w:val="24"/>
              </w:rPr>
              <w:t>pH</w:t>
            </w:r>
            <w:r>
              <w:rPr>
                <w:rFonts w:hint="default" w:ascii="Times New Roman" w:hAnsi="Times New Roman" w:cs="Times New Roman"/>
                <w:color w:val="auto"/>
                <w:sz w:val="24"/>
                <w:vertAlign w:val="subscript"/>
              </w:rPr>
              <w:t>su</w:t>
            </w:r>
            <w:r>
              <w:rPr>
                <w:rFonts w:hint="default" w:ascii="Times New Roman" w:hAnsi="Times New Roman" w:cs="Times New Roman"/>
                <w:color w:val="auto"/>
                <w:sz w:val="24"/>
              </w:rPr>
              <w:t>—标准中pH值的上限值（8.5）</w:t>
            </w:r>
          </w:p>
          <w:p>
            <w:pPr>
              <w:pStyle w:val="5"/>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2.2.4 评价结果及分析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地下水水质监测及评价结果见表9。</w:t>
            </w:r>
          </w:p>
          <w:p>
            <w:pPr>
              <w:pStyle w:val="121"/>
              <w:snapToGrid/>
              <w:rPr>
                <w:rFonts w:hint="default" w:ascii="Times New Roman" w:hAnsi="Times New Roman" w:cs="Times New Roman"/>
                <w:color w:val="auto"/>
              </w:rPr>
            </w:pPr>
            <w:bookmarkStart w:id="13" w:name="_Ref489462327"/>
            <w:r>
              <w:rPr>
                <w:rFonts w:hint="default" w:ascii="Times New Roman" w:hAnsi="Times New Roman" w:cs="Times New Roman"/>
                <w:color w:val="auto"/>
                <w:sz w:val="24"/>
              </w:rPr>
              <w:t>表</w:t>
            </w:r>
            <w:bookmarkEnd w:id="13"/>
            <w:r>
              <w:rPr>
                <w:rFonts w:hint="default" w:ascii="Times New Roman" w:hAnsi="Times New Roman" w:cs="Times New Roman"/>
                <w:color w:val="auto"/>
                <w:sz w:val="24"/>
              </w:rPr>
              <w:t>9      地下水水质监测及评价结果（单位：mg/L，pH值除外）</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31"/>
              <w:gridCol w:w="1662"/>
              <w:gridCol w:w="1575"/>
              <w:gridCol w:w="1700"/>
              <w:gridCol w:w="15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2031" w:type="dxa"/>
                </w:tcPr>
                <w:p>
                  <w:pPr>
                    <w:adjustRightInd w:val="0"/>
                    <w:snapToGrid w:val="0"/>
                    <w:rPr>
                      <w:rFonts w:hint="default" w:ascii="Times New Roman" w:hAnsi="Times New Roman" w:cs="Times New Roman"/>
                      <w:b/>
                      <w:color w:val="auto"/>
                      <w:szCs w:val="21"/>
                    </w:rPr>
                  </w:pPr>
                  <w:r>
                    <w:rPr>
                      <w:rFonts w:hint="default" w:ascii="Times New Roman" w:hAnsi="Times New Roman" w:cs="Times New Roman"/>
                      <w:b/>
                      <w:color w:val="auto"/>
                      <w:szCs w:val="21"/>
                    </w:rPr>
                    <w:t>采样地点</w:t>
                  </w:r>
                </w:p>
                <w:p>
                  <w:pPr>
                    <w:adjustRightInd w:val="0"/>
                    <w:snapToGrid w:val="0"/>
                    <w:rPr>
                      <w:rFonts w:hint="default" w:ascii="Times New Roman" w:hAnsi="Times New Roman" w:cs="Times New Roman"/>
                      <w:b/>
                      <w:color w:val="auto"/>
                      <w:szCs w:val="21"/>
                    </w:rPr>
                  </w:pPr>
                  <w:r>
                    <w:rPr>
                      <w:rFonts w:hint="default" w:ascii="Times New Roman" w:hAnsi="Times New Roman" w:cs="Times New Roman"/>
                      <w:b/>
                      <w:color w:val="auto"/>
                      <w:szCs w:val="21"/>
                    </w:rPr>
                    <w:t>分析项目</w:t>
                  </w:r>
                </w:p>
              </w:tc>
              <w:tc>
                <w:tcPr>
                  <w:tcW w:w="1662"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监测数据</w:t>
                  </w:r>
                </w:p>
              </w:tc>
              <w:tc>
                <w:tcPr>
                  <w:tcW w:w="1575"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标准限值</w:t>
                  </w:r>
                </w:p>
              </w:tc>
              <w:tc>
                <w:tcPr>
                  <w:tcW w:w="1700"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评价指数</w:t>
                  </w:r>
                </w:p>
              </w:tc>
              <w:tc>
                <w:tcPr>
                  <w:tcW w:w="1536"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达标情况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pH（1#）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8.13</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6.5~8.5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0.82</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pH（2#）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8.11</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6.5~8.5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0.81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pH（3#）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7.91</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6.5~8.5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0.71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2"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总硬度（1#）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143</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0.32</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总硬度（2#）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108</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总硬度（3#）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108</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溶解性总固体（1#）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386</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1000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0.39</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溶解性总固体（2#）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542</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1000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0.54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溶解性总固体（3#）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407</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1000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0.41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氨氮（1#）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0.025</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氨氮（2#）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氨氮（3#）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0.025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挥发酚（1#）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＜0.0003</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0.002</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挥发酚（2#）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＜0.0003</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0.002</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挥发酚（3#）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0.0008</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0.002</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氰化物（1#）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＜0.001</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氰化物（2#）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＜0.001</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氰化物（3#）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0.002</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0.05</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氯化物（1#）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35.8</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氯化物（2#）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16.8</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0.07</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氯化物（3#）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43.8</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0.18</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硫酸盐（1#）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67</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0.27</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硫酸盐（2#）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33.3</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0.13</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硫酸盐（3#）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28.4</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250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硝酸盐氮（1#）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5.03</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硝酸盐氮（2#）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4.84</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0.24</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硝酸盐氮（3#）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5.11</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20</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0.26</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6"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氟化物（1#）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0.06</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氟化物（2#）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eastAsia="宋体" w:cs="Times New Roman"/>
                      <w:color w:val="auto"/>
                      <w:kern w:val="2"/>
                      <w:sz w:val="21"/>
                      <w:szCs w:val="21"/>
                      <w:lang w:eastAsia="zh-CN" w:bidi="ar-SA"/>
                    </w:rPr>
                  </w:pPr>
                  <w:r>
                    <w:rPr>
                      <w:rFonts w:hint="default" w:ascii="Times New Roman" w:hAnsi="Times New Roman" w:cs="Times New Roman"/>
                      <w:color w:val="auto"/>
                      <w:szCs w:val="21"/>
                    </w:rPr>
                    <w:t>0.06</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氟化物（3#）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0.06</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砷（1#）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0.0001</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砷（2#）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0.0001</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4"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砷（3#）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0.0001</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0.01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0.01</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铜（1#）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铜（2#）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铜（3#）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锌（1#）</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锌（2#）</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2031"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锌（3#）</w:t>
                  </w:r>
                </w:p>
              </w:tc>
              <w:tc>
                <w:tcPr>
                  <w:tcW w:w="1662"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7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r>
                    <w:rPr>
                      <w:rFonts w:hint="default" w:ascii="Times New Roman" w:hAnsi="Times New Roman" w:cs="Times New Roman"/>
                      <w:bCs/>
                      <w:color w:val="auto"/>
                      <w:szCs w:val="21"/>
                    </w:rPr>
                    <w:t>1</w:t>
                  </w:r>
                </w:p>
              </w:tc>
              <w:tc>
                <w:tcPr>
                  <w:tcW w:w="170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0.05</w:t>
                  </w:r>
                </w:p>
              </w:tc>
              <w:tc>
                <w:tcPr>
                  <w:tcW w:w="1536"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bl>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由监测及评价结果可以看出，监测指标单因子指数均小于1，符合《地下水质量标准》（GB/T14848-2017）Ⅲ类标准要求。</w:t>
            </w:r>
          </w:p>
          <w:p>
            <w:pPr>
              <w:pStyle w:val="20"/>
              <w:tabs>
                <w:tab w:val="left" w:pos="0"/>
              </w:tabs>
              <w:adjustRightInd w:val="0"/>
              <w:snapToGrid w:val="0"/>
              <w:spacing w:after="0" w:line="360" w:lineRule="auto"/>
              <w:ind w:left="0" w:leftChars="0"/>
              <w:rPr>
                <w:rFonts w:hint="default" w:ascii="Times New Roman" w:hAnsi="Times New Roman" w:cs="Times New Roman"/>
                <w:b/>
                <w:bCs/>
                <w:color w:val="auto"/>
                <w:sz w:val="24"/>
              </w:rPr>
            </w:pPr>
            <w:r>
              <w:rPr>
                <w:rFonts w:hint="default" w:ascii="Times New Roman" w:hAnsi="Times New Roman" w:cs="Times New Roman"/>
                <w:b/>
                <w:bCs/>
                <w:color w:val="auto"/>
                <w:sz w:val="24"/>
              </w:rPr>
              <w:t>3.声环境质量现状调查与评价</w:t>
            </w:r>
          </w:p>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3.1监测时间</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2020年4月23日。</w:t>
            </w:r>
          </w:p>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3.2监测范围</w:t>
            </w:r>
          </w:p>
          <w:p>
            <w:pPr>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噪声环境现状监测范围为项目厂界外1m处。监测点位</w:t>
            </w:r>
            <w:r>
              <w:rPr>
                <w:rFonts w:hint="default" w:ascii="Times New Roman" w:hAnsi="Times New Roman" w:cs="Times New Roman"/>
                <w:color w:val="auto"/>
                <w:kern w:val="0"/>
                <w:sz w:val="24"/>
              </w:rPr>
              <w:t>详见附图8监测布点图。</w:t>
            </w:r>
          </w:p>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3.3监测方法</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监测方法按照《声环境质量标准》（GB3096-2008）规定执行。监测仪器为AWA5680多功能声级计，测量前后使用声校准器校准，测量仪器的示值偏差不得大于0.5dB（A），否则测量无效。测量时传声器距地面1.2m，测量时传声器应加防风罩，昼间和夜间分别测量。</w:t>
            </w:r>
          </w:p>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3.4评价标准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kern w:val="0"/>
                <w:sz w:val="24"/>
              </w:rPr>
              <w:t>本项目声环境质量评价</w:t>
            </w:r>
            <w:r>
              <w:rPr>
                <w:rFonts w:hint="default" w:ascii="Times New Roman" w:hAnsi="Times New Roman" w:cs="Times New Roman"/>
                <w:color w:val="auto"/>
                <w:sz w:val="24"/>
              </w:rPr>
              <w:t>标准执行《声环境质量标准》（GB3096-2008）中的3类标准，环境噪声限值，见表10。</w:t>
            </w:r>
          </w:p>
          <w:p>
            <w:pPr>
              <w:jc w:val="center"/>
              <w:rPr>
                <w:rFonts w:hint="default" w:ascii="Times New Roman" w:hAnsi="Times New Roman" w:eastAsia="黑体" w:cs="Times New Roman"/>
                <w:b/>
                <w:color w:val="auto"/>
                <w:kern w:val="0"/>
                <w:szCs w:val="21"/>
              </w:rPr>
            </w:pPr>
            <w:r>
              <w:rPr>
                <w:rFonts w:hint="default" w:ascii="Times New Roman" w:hAnsi="Times New Roman" w:cs="Times New Roman"/>
                <w:b/>
                <w:color w:val="auto"/>
                <w:kern w:val="0"/>
                <w:sz w:val="24"/>
              </w:rPr>
              <w:t xml:space="preserve">       表10   环境噪声标准      单位：dB（A）</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744"/>
              <w:gridCol w:w="1947"/>
              <w:gridCol w:w="18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6" w:hRule="atLeast"/>
                <w:jc w:val="center"/>
              </w:trPr>
              <w:tc>
                <w:tcPr>
                  <w:tcW w:w="4817" w:type="dxa"/>
                  <w:vMerge w:val="restart"/>
                  <w:vAlign w:val="center"/>
                </w:tcPr>
                <w:p>
                  <w:pPr>
                    <w:adjustRightInd w:val="0"/>
                    <w:snapToGrid w:val="0"/>
                    <w:jc w:val="center"/>
                    <w:rPr>
                      <w:rFonts w:hint="default" w:ascii="Times New Roman" w:hAnsi="Times New Roman" w:cs="Times New Roman"/>
                      <w:b/>
                      <w:color w:val="auto"/>
                      <w:kern w:val="0"/>
                      <w:szCs w:val="21"/>
                    </w:rPr>
                  </w:pPr>
                  <w:r>
                    <w:rPr>
                      <w:rFonts w:hint="default" w:ascii="Times New Roman" w:hAnsi="Times New Roman" w:cs="Times New Roman"/>
                      <w:b/>
                      <w:color w:val="auto"/>
                      <w:kern w:val="0"/>
                      <w:szCs w:val="21"/>
                    </w:rPr>
                    <w:t>声环境功能区类别</w:t>
                  </w:r>
                </w:p>
              </w:tc>
              <w:tc>
                <w:tcPr>
                  <w:tcW w:w="3813" w:type="dxa"/>
                  <w:gridSpan w:val="2"/>
                  <w:vAlign w:val="center"/>
                </w:tcPr>
                <w:p>
                  <w:pPr>
                    <w:adjustRightInd w:val="0"/>
                    <w:snapToGrid w:val="0"/>
                    <w:jc w:val="center"/>
                    <w:rPr>
                      <w:rFonts w:hint="default" w:ascii="Times New Roman" w:hAnsi="Times New Roman" w:cs="Times New Roman"/>
                      <w:b/>
                      <w:color w:val="auto"/>
                      <w:kern w:val="0"/>
                      <w:szCs w:val="21"/>
                    </w:rPr>
                  </w:pPr>
                  <w:r>
                    <w:rPr>
                      <w:rFonts w:hint="default" w:ascii="Times New Roman" w:hAnsi="Times New Roman" w:cs="Times New Roman"/>
                      <w:b/>
                      <w:color w:val="auto"/>
                      <w:kern w:val="0"/>
                      <w:szCs w:val="21"/>
                    </w:rPr>
                    <w:t>时段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6" w:hRule="atLeast"/>
                <w:jc w:val="center"/>
              </w:trPr>
              <w:tc>
                <w:tcPr>
                  <w:tcW w:w="4817" w:type="dxa"/>
                  <w:vMerge w:val="continue"/>
                  <w:vAlign w:val="center"/>
                </w:tcPr>
                <w:p>
                  <w:pPr>
                    <w:adjustRightInd w:val="0"/>
                    <w:snapToGrid w:val="0"/>
                    <w:jc w:val="center"/>
                    <w:rPr>
                      <w:rFonts w:hint="default" w:ascii="Times New Roman" w:hAnsi="Times New Roman" w:cs="Times New Roman"/>
                      <w:b/>
                      <w:color w:val="auto"/>
                      <w:kern w:val="0"/>
                      <w:szCs w:val="21"/>
                    </w:rPr>
                  </w:pPr>
                </w:p>
              </w:tc>
              <w:tc>
                <w:tcPr>
                  <w:tcW w:w="1975" w:type="dxa"/>
                  <w:vAlign w:val="center"/>
                </w:tcPr>
                <w:p>
                  <w:pPr>
                    <w:adjustRightInd w:val="0"/>
                    <w:snapToGrid w:val="0"/>
                    <w:jc w:val="center"/>
                    <w:rPr>
                      <w:rFonts w:hint="default" w:ascii="Times New Roman" w:hAnsi="Times New Roman" w:cs="Times New Roman"/>
                      <w:b/>
                      <w:color w:val="auto"/>
                      <w:kern w:val="0"/>
                      <w:szCs w:val="21"/>
                    </w:rPr>
                  </w:pPr>
                  <w:r>
                    <w:rPr>
                      <w:rFonts w:hint="default" w:ascii="Times New Roman" w:hAnsi="Times New Roman" w:cs="Times New Roman"/>
                      <w:b/>
                      <w:color w:val="auto"/>
                      <w:kern w:val="0"/>
                      <w:szCs w:val="21"/>
                    </w:rPr>
                    <w:t>昼 间</w:t>
                  </w:r>
                </w:p>
              </w:tc>
              <w:tc>
                <w:tcPr>
                  <w:tcW w:w="1838" w:type="dxa"/>
                  <w:vAlign w:val="center"/>
                </w:tcPr>
                <w:p>
                  <w:pPr>
                    <w:adjustRightInd w:val="0"/>
                    <w:snapToGrid w:val="0"/>
                    <w:jc w:val="center"/>
                    <w:rPr>
                      <w:rFonts w:hint="default" w:ascii="Times New Roman" w:hAnsi="Times New Roman" w:cs="Times New Roman"/>
                      <w:b/>
                      <w:color w:val="auto"/>
                      <w:kern w:val="0"/>
                      <w:szCs w:val="21"/>
                    </w:rPr>
                  </w:pPr>
                  <w:r>
                    <w:rPr>
                      <w:rFonts w:hint="default" w:ascii="Times New Roman" w:hAnsi="Times New Roman" w:cs="Times New Roman"/>
                      <w:b/>
                      <w:color w:val="auto"/>
                      <w:kern w:val="0"/>
                      <w:szCs w:val="21"/>
                    </w:rPr>
                    <w:t>夜 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1" w:hRule="atLeast"/>
                <w:jc w:val="center"/>
              </w:trPr>
              <w:tc>
                <w:tcPr>
                  <w:tcW w:w="4817" w:type="dxa"/>
                  <w:vAlign w:val="center"/>
                </w:tcPr>
                <w:p>
                  <w:pPr>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3类（工业生产、仓储物流为主要功能的区域）</w:t>
                  </w:r>
                </w:p>
              </w:tc>
              <w:tc>
                <w:tcPr>
                  <w:tcW w:w="1975" w:type="dxa"/>
                  <w:vAlign w:val="center"/>
                </w:tcPr>
                <w:p>
                  <w:pPr>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65</w:t>
                  </w:r>
                </w:p>
              </w:tc>
              <w:tc>
                <w:tcPr>
                  <w:tcW w:w="1838" w:type="dxa"/>
                  <w:vAlign w:val="center"/>
                </w:tcPr>
                <w:p>
                  <w:pPr>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55</w:t>
                  </w:r>
                </w:p>
              </w:tc>
            </w:tr>
          </w:tbl>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3.5监测点位布设</w:t>
            </w:r>
          </w:p>
          <w:p>
            <w:pPr>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本项目声</w:t>
            </w:r>
            <w:r>
              <w:rPr>
                <w:rFonts w:hint="default" w:ascii="Times New Roman" w:hAnsi="Times New Roman" w:cs="Times New Roman"/>
                <w:color w:val="auto"/>
                <w:sz w:val="24"/>
              </w:rPr>
              <w:t>环境质量现状监测</w:t>
            </w:r>
            <w:r>
              <w:rPr>
                <w:rFonts w:hint="default" w:ascii="Times New Roman" w:hAnsi="Times New Roman" w:cs="Times New Roman"/>
                <w:bCs/>
                <w:color w:val="auto"/>
                <w:sz w:val="24"/>
              </w:rPr>
              <w:t>委托</w:t>
            </w:r>
            <w:r>
              <w:rPr>
                <w:rFonts w:hint="default" w:ascii="Times New Roman" w:hAnsi="Times New Roman" w:cs="Times New Roman"/>
                <w:color w:val="auto"/>
                <w:sz w:val="24"/>
              </w:rPr>
              <w:t>新疆天辰环境技术有限公司</w:t>
            </w:r>
            <w:r>
              <w:rPr>
                <w:rFonts w:hint="default" w:ascii="Times New Roman" w:hAnsi="Times New Roman" w:cs="Times New Roman"/>
                <w:bCs/>
                <w:color w:val="auto"/>
                <w:sz w:val="24"/>
              </w:rPr>
              <w:t>监测，依照</w:t>
            </w:r>
            <w:r>
              <w:rPr>
                <w:rFonts w:hint="default" w:ascii="Times New Roman" w:hAnsi="Times New Roman" w:cs="Times New Roman"/>
                <w:color w:val="auto"/>
                <w:sz w:val="24"/>
              </w:rPr>
              <w:t>《声环境质量标准》（GB3096-2008）</w:t>
            </w:r>
            <w:r>
              <w:rPr>
                <w:rFonts w:hint="default" w:ascii="Times New Roman" w:hAnsi="Times New Roman" w:cs="Times New Roman"/>
                <w:bCs/>
                <w:color w:val="auto"/>
                <w:sz w:val="24"/>
              </w:rPr>
              <w:t>和《环境监测技术规范》进行噪声监测，</w:t>
            </w:r>
            <w:r>
              <w:rPr>
                <w:rFonts w:hint="default" w:ascii="Times New Roman" w:hAnsi="Times New Roman" w:cs="Times New Roman"/>
                <w:color w:val="auto"/>
                <w:sz w:val="24"/>
              </w:rPr>
              <w:t>共布设四个监测点，即</w:t>
            </w:r>
            <w:r>
              <w:rPr>
                <w:rFonts w:hint="default" w:ascii="Times New Roman" w:hAnsi="Times New Roman" w:cs="Times New Roman"/>
                <w:bCs/>
                <w:color w:val="auto"/>
                <w:sz w:val="24"/>
              </w:rPr>
              <w:t>项目区东、南、西和北侧各布设一个，</w:t>
            </w:r>
            <w:r>
              <w:rPr>
                <w:rFonts w:hint="default" w:ascii="Times New Roman" w:hAnsi="Times New Roman" w:cs="Times New Roman"/>
                <w:color w:val="auto"/>
                <w:sz w:val="24"/>
              </w:rPr>
              <w:t>1</w:t>
            </w:r>
            <w:r>
              <w:rPr>
                <w:rFonts w:hint="default" w:ascii="Times New Roman" w:hAnsi="Times New Roman" w:cs="Times New Roman"/>
                <w:b/>
                <w:color w:val="auto"/>
                <w:sz w:val="24"/>
              </w:rPr>
              <w:t>#</w:t>
            </w:r>
            <w:r>
              <w:rPr>
                <w:rFonts w:hint="default" w:ascii="Times New Roman" w:hAnsi="Times New Roman" w:cs="Times New Roman"/>
                <w:bCs/>
                <w:color w:val="auto"/>
                <w:sz w:val="24"/>
              </w:rPr>
              <w:t>、</w:t>
            </w:r>
            <w:r>
              <w:rPr>
                <w:rFonts w:hint="default" w:ascii="Times New Roman" w:hAnsi="Times New Roman" w:cs="Times New Roman"/>
                <w:color w:val="auto"/>
                <w:sz w:val="24"/>
              </w:rPr>
              <w:t>2</w:t>
            </w:r>
            <w:r>
              <w:rPr>
                <w:rFonts w:hint="default" w:ascii="Times New Roman" w:hAnsi="Times New Roman" w:cs="Times New Roman"/>
                <w:b/>
                <w:color w:val="auto"/>
                <w:sz w:val="24"/>
              </w:rPr>
              <w:t>#</w:t>
            </w:r>
            <w:r>
              <w:rPr>
                <w:rFonts w:hint="default" w:ascii="Times New Roman" w:hAnsi="Times New Roman" w:cs="Times New Roman"/>
                <w:bCs/>
                <w:color w:val="auto"/>
                <w:sz w:val="24"/>
              </w:rPr>
              <w:t>、</w:t>
            </w:r>
            <w:r>
              <w:rPr>
                <w:rFonts w:hint="default" w:ascii="Times New Roman" w:hAnsi="Times New Roman" w:cs="Times New Roman"/>
                <w:color w:val="auto"/>
                <w:sz w:val="24"/>
              </w:rPr>
              <w:t>3</w:t>
            </w:r>
            <w:r>
              <w:rPr>
                <w:rFonts w:hint="default" w:ascii="Times New Roman" w:hAnsi="Times New Roman" w:cs="Times New Roman"/>
                <w:b/>
                <w:color w:val="auto"/>
                <w:sz w:val="24"/>
              </w:rPr>
              <w:t>#</w:t>
            </w:r>
            <w:r>
              <w:rPr>
                <w:rFonts w:hint="default" w:ascii="Times New Roman" w:hAnsi="Times New Roman" w:cs="Times New Roman"/>
                <w:bCs/>
                <w:color w:val="auto"/>
                <w:sz w:val="24"/>
              </w:rPr>
              <w:t>和</w:t>
            </w:r>
            <w:r>
              <w:rPr>
                <w:rFonts w:hint="default" w:ascii="Times New Roman" w:hAnsi="Times New Roman" w:cs="Times New Roman"/>
                <w:color w:val="auto"/>
                <w:sz w:val="24"/>
              </w:rPr>
              <w:t>4</w:t>
            </w:r>
            <w:r>
              <w:rPr>
                <w:rFonts w:hint="default" w:ascii="Times New Roman" w:hAnsi="Times New Roman" w:cs="Times New Roman"/>
                <w:b/>
                <w:color w:val="auto"/>
                <w:sz w:val="24"/>
              </w:rPr>
              <w:t>#</w:t>
            </w:r>
            <w:r>
              <w:rPr>
                <w:rFonts w:hint="default" w:ascii="Times New Roman" w:hAnsi="Times New Roman" w:cs="Times New Roman"/>
                <w:bCs/>
                <w:color w:val="auto"/>
                <w:sz w:val="24"/>
              </w:rPr>
              <w:t>。</w:t>
            </w:r>
          </w:p>
          <w:p>
            <w:pPr>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3.6监测及评价结果</w:t>
            </w:r>
          </w:p>
          <w:p>
            <w:pPr>
              <w:autoSpaceDE w:val="0"/>
              <w:autoSpaceDN w:val="0"/>
              <w:adjustRightInd w:val="0"/>
              <w:spacing w:line="360" w:lineRule="auto"/>
              <w:ind w:firstLine="480" w:firstLineChars="200"/>
              <w:rPr>
                <w:rFonts w:hint="default" w:ascii="Times New Roman" w:hAnsi="Times New Roman" w:eastAsia="黑体" w:cs="Times New Roman"/>
                <w:b/>
                <w:color w:val="auto"/>
                <w:kern w:val="0"/>
                <w:szCs w:val="21"/>
              </w:rPr>
            </w:pPr>
            <w:r>
              <w:rPr>
                <w:rFonts w:hint="default" w:ascii="Times New Roman" w:hAnsi="Times New Roman" w:cs="Times New Roman"/>
                <w:color w:val="auto"/>
                <w:sz w:val="24"/>
              </w:rPr>
              <w:t>本项目声环境质量现状监测及评价结果见表11。</w:t>
            </w:r>
          </w:p>
          <w:p>
            <w:pPr>
              <w:autoSpaceDE w:val="0"/>
              <w:autoSpaceDN w:val="0"/>
              <w:adjustRightInd w:val="0"/>
              <w:jc w:val="center"/>
              <w:rPr>
                <w:rFonts w:hint="default" w:ascii="Times New Roman" w:hAnsi="Times New Roman" w:cs="Times New Roman"/>
                <w:b/>
                <w:color w:val="auto"/>
                <w:kern w:val="0"/>
                <w:sz w:val="24"/>
              </w:rPr>
            </w:pPr>
            <w:r>
              <w:rPr>
                <w:rFonts w:hint="default" w:ascii="Times New Roman" w:hAnsi="Times New Roman" w:cs="Times New Roman"/>
                <w:b/>
                <w:color w:val="auto"/>
                <w:kern w:val="0"/>
                <w:sz w:val="24"/>
              </w:rPr>
              <w:t xml:space="preserve">表11   声环境质量现状监测及评价结果      </w:t>
            </w:r>
            <w:r>
              <w:rPr>
                <w:rFonts w:hint="default" w:ascii="Times New Roman" w:hAnsi="Times New Roman" w:cs="Times New Roman"/>
                <w:b/>
                <w:color w:val="auto"/>
                <w:sz w:val="24"/>
              </w:rPr>
              <w:t>单位：dB（A）</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66"/>
              <w:gridCol w:w="1467"/>
              <w:gridCol w:w="1157"/>
              <w:gridCol w:w="916"/>
              <w:gridCol w:w="1226"/>
              <w:gridCol w:w="918"/>
              <w:gridCol w:w="13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0" w:hRule="exact"/>
                <w:jc w:val="center"/>
              </w:trPr>
              <w:tc>
                <w:tcPr>
                  <w:tcW w:w="1489" w:type="dxa"/>
                  <w:vMerge w:val="restart"/>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监测点编号</w:t>
                  </w:r>
                </w:p>
              </w:tc>
              <w:tc>
                <w:tcPr>
                  <w:tcW w:w="1490" w:type="dxa"/>
                  <w:vMerge w:val="restart"/>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监测点方位</w:t>
                  </w:r>
                </w:p>
              </w:tc>
              <w:tc>
                <w:tcPr>
                  <w:tcW w:w="5651" w:type="dxa"/>
                  <w:gridSpan w:val="5"/>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监测结果及评价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1489" w:type="dxa"/>
                  <w:vMerge w:val="continue"/>
                </w:tcPr>
                <w:p>
                  <w:pPr>
                    <w:adjustRightInd w:val="0"/>
                    <w:snapToGrid w:val="0"/>
                    <w:jc w:val="center"/>
                    <w:rPr>
                      <w:rFonts w:hint="default" w:ascii="Times New Roman" w:hAnsi="Times New Roman" w:cs="Times New Roman"/>
                      <w:color w:val="auto"/>
                      <w:szCs w:val="21"/>
                    </w:rPr>
                  </w:pPr>
                </w:p>
              </w:tc>
              <w:tc>
                <w:tcPr>
                  <w:tcW w:w="1490" w:type="dxa"/>
                  <w:vMerge w:val="continue"/>
                </w:tcPr>
                <w:p>
                  <w:pPr>
                    <w:adjustRightInd w:val="0"/>
                    <w:snapToGrid w:val="0"/>
                    <w:ind w:firstLine="420" w:firstLineChars="200"/>
                    <w:jc w:val="center"/>
                    <w:rPr>
                      <w:rFonts w:hint="default" w:ascii="Times New Roman" w:hAnsi="Times New Roman" w:cs="Times New Roman"/>
                      <w:color w:val="auto"/>
                      <w:szCs w:val="21"/>
                    </w:rPr>
                  </w:pPr>
                </w:p>
              </w:tc>
              <w:tc>
                <w:tcPr>
                  <w:tcW w:w="2103" w:type="dxa"/>
                  <w:gridSpan w:val="2"/>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昼间</w:t>
                  </w:r>
                </w:p>
              </w:tc>
              <w:tc>
                <w:tcPr>
                  <w:tcW w:w="2175" w:type="dxa"/>
                  <w:gridSpan w:val="2"/>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夜间</w:t>
                  </w:r>
                </w:p>
              </w:tc>
              <w:tc>
                <w:tcPr>
                  <w:tcW w:w="1373" w:type="dxa"/>
                  <w:vMerge w:val="restart"/>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是否超标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1489" w:type="dxa"/>
                  <w:vMerge w:val="continue"/>
                </w:tcPr>
                <w:p>
                  <w:pPr>
                    <w:adjustRightInd w:val="0"/>
                    <w:snapToGrid w:val="0"/>
                    <w:jc w:val="center"/>
                    <w:rPr>
                      <w:rFonts w:hint="default" w:ascii="Times New Roman" w:hAnsi="Times New Roman" w:cs="Times New Roman"/>
                      <w:color w:val="auto"/>
                      <w:szCs w:val="21"/>
                    </w:rPr>
                  </w:pPr>
                </w:p>
              </w:tc>
              <w:tc>
                <w:tcPr>
                  <w:tcW w:w="1490" w:type="dxa"/>
                  <w:vMerge w:val="continue"/>
                </w:tcPr>
                <w:p>
                  <w:pPr>
                    <w:adjustRightInd w:val="0"/>
                    <w:snapToGrid w:val="0"/>
                    <w:ind w:firstLine="420" w:firstLineChars="200"/>
                    <w:jc w:val="center"/>
                    <w:rPr>
                      <w:rFonts w:hint="default" w:ascii="Times New Roman" w:hAnsi="Times New Roman" w:cs="Times New Roman"/>
                      <w:color w:val="auto"/>
                      <w:szCs w:val="21"/>
                    </w:rPr>
                  </w:pPr>
                </w:p>
              </w:tc>
              <w:tc>
                <w:tcPr>
                  <w:tcW w:w="1174"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测量时间</w:t>
                  </w:r>
                </w:p>
              </w:tc>
              <w:tc>
                <w:tcPr>
                  <w:tcW w:w="929"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测量值</w:t>
                  </w:r>
                </w:p>
              </w:tc>
              <w:tc>
                <w:tcPr>
                  <w:tcW w:w="1244"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测量时间</w:t>
                  </w:r>
                </w:p>
              </w:tc>
              <w:tc>
                <w:tcPr>
                  <w:tcW w:w="931" w:type="dxa"/>
                  <w:vAlign w:val="center"/>
                </w:tcPr>
                <w:p>
                  <w:pPr>
                    <w:adjustRightInd w:val="0"/>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测量值</w:t>
                  </w:r>
                </w:p>
              </w:tc>
              <w:tc>
                <w:tcPr>
                  <w:tcW w:w="1373" w:type="dxa"/>
                  <w:vMerge w:val="continue"/>
                </w:tcPr>
                <w:p>
                  <w:pPr>
                    <w:adjustRightInd w:val="0"/>
                    <w:snapToGrid w:val="0"/>
                    <w:jc w:val="center"/>
                    <w:rPr>
                      <w:rFonts w:hint="default" w:ascii="Times New Roman" w:hAnsi="Times New Roman" w:cs="Times New Roman"/>
                      <w:b/>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exact"/>
                <w:jc w:val="center"/>
              </w:trPr>
              <w:tc>
                <w:tcPr>
                  <w:tcW w:w="148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490"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项目区北侧</w:t>
                  </w:r>
                </w:p>
                <w:p>
                  <w:pPr>
                    <w:adjustRightInd w:val="0"/>
                    <w:snapToGrid w:val="0"/>
                    <w:jc w:val="center"/>
                    <w:rPr>
                      <w:rFonts w:hint="default" w:ascii="Times New Roman" w:hAnsi="Times New Roman" w:cs="Times New Roman"/>
                      <w:color w:val="auto"/>
                      <w:szCs w:val="21"/>
                    </w:rPr>
                  </w:pPr>
                </w:p>
              </w:tc>
              <w:tc>
                <w:tcPr>
                  <w:tcW w:w="117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12:33</w:t>
                  </w:r>
                </w:p>
              </w:tc>
              <w:tc>
                <w:tcPr>
                  <w:tcW w:w="92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49.2</w:t>
                  </w:r>
                </w:p>
              </w:tc>
              <w:tc>
                <w:tcPr>
                  <w:tcW w:w="124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00:20</w:t>
                  </w:r>
                </w:p>
              </w:tc>
              <w:tc>
                <w:tcPr>
                  <w:tcW w:w="93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43.7</w:t>
                  </w:r>
                </w:p>
              </w:tc>
              <w:tc>
                <w:tcPr>
                  <w:tcW w:w="137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exact"/>
                <w:jc w:val="center"/>
              </w:trPr>
              <w:tc>
                <w:tcPr>
                  <w:tcW w:w="148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490"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项目区东侧</w:t>
                  </w:r>
                </w:p>
                <w:p>
                  <w:pPr>
                    <w:adjustRightInd w:val="0"/>
                    <w:snapToGrid w:val="0"/>
                    <w:jc w:val="center"/>
                    <w:rPr>
                      <w:rFonts w:hint="default" w:ascii="Times New Roman" w:hAnsi="Times New Roman" w:cs="Times New Roman"/>
                      <w:color w:val="auto"/>
                      <w:szCs w:val="21"/>
                    </w:rPr>
                  </w:pPr>
                </w:p>
              </w:tc>
              <w:tc>
                <w:tcPr>
                  <w:tcW w:w="117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12:53</w:t>
                  </w:r>
                </w:p>
              </w:tc>
              <w:tc>
                <w:tcPr>
                  <w:tcW w:w="92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52.2</w:t>
                  </w:r>
                </w:p>
              </w:tc>
              <w:tc>
                <w:tcPr>
                  <w:tcW w:w="124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00:36</w:t>
                  </w:r>
                </w:p>
              </w:tc>
              <w:tc>
                <w:tcPr>
                  <w:tcW w:w="93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45.4</w:t>
                  </w:r>
                </w:p>
              </w:tc>
              <w:tc>
                <w:tcPr>
                  <w:tcW w:w="137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exact"/>
                <w:jc w:val="center"/>
              </w:trPr>
              <w:tc>
                <w:tcPr>
                  <w:tcW w:w="148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490"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项目区南侧</w:t>
                  </w:r>
                </w:p>
                <w:p>
                  <w:pPr>
                    <w:adjustRightInd w:val="0"/>
                    <w:snapToGrid w:val="0"/>
                    <w:jc w:val="center"/>
                    <w:rPr>
                      <w:rFonts w:hint="default" w:ascii="Times New Roman" w:hAnsi="Times New Roman" w:cs="Times New Roman"/>
                      <w:color w:val="auto"/>
                      <w:szCs w:val="21"/>
                    </w:rPr>
                  </w:pPr>
                </w:p>
              </w:tc>
              <w:tc>
                <w:tcPr>
                  <w:tcW w:w="117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13:12</w:t>
                  </w:r>
                </w:p>
              </w:tc>
              <w:tc>
                <w:tcPr>
                  <w:tcW w:w="92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45.7</w:t>
                  </w:r>
                </w:p>
              </w:tc>
              <w:tc>
                <w:tcPr>
                  <w:tcW w:w="124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00:49</w:t>
                  </w:r>
                </w:p>
              </w:tc>
              <w:tc>
                <w:tcPr>
                  <w:tcW w:w="93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41.8</w:t>
                  </w:r>
                </w:p>
              </w:tc>
              <w:tc>
                <w:tcPr>
                  <w:tcW w:w="137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exact"/>
                <w:jc w:val="center"/>
              </w:trPr>
              <w:tc>
                <w:tcPr>
                  <w:tcW w:w="148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490" w:type="dxa"/>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项目区西侧</w:t>
                  </w:r>
                </w:p>
                <w:p>
                  <w:pPr>
                    <w:adjustRightInd w:val="0"/>
                    <w:snapToGrid w:val="0"/>
                    <w:jc w:val="center"/>
                    <w:rPr>
                      <w:rFonts w:hint="default" w:ascii="Times New Roman" w:hAnsi="Times New Roman" w:cs="Times New Roman"/>
                      <w:color w:val="auto"/>
                      <w:szCs w:val="21"/>
                    </w:rPr>
                  </w:pPr>
                </w:p>
              </w:tc>
              <w:tc>
                <w:tcPr>
                  <w:tcW w:w="117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13:29</w:t>
                  </w:r>
                </w:p>
              </w:tc>
              <w:tc>
                <w:tcPr>
                  <w:tcW w:w="929"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49.1</w:t>
                  </w:r>
                </w:p>
              </w:tc>
              <w:tc>
                <w:tcPr>
                  <w:tcW w:w="1244"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01:08</w:t>
                  </w:r>
                </w:p>
              </w:tc>
              <w:tc>
                <w:tcPr>
                  <w:tcW w:w="931"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43.1</w:t>
                  </w:r>
                </w:p>
              </w:tc>
              <w:tc>
                <w:tcPr>
                  <w:tcW w:w="137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exact"/>
                <w:jc w:val="center"/>
              </w:trPr>
              <w:tc>
                <w:tcPr>
                  <w:tcW w:w="2979" w:type="dxa"/>
                  <w:gridSpan w:val="2"/>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3类</w:t>
                  </w:r>
                  <w:r>
                    <w:rPr>
                      <w:rFonts w:hint="default" w:ascii="Times New Roman" w:hAnsi="Times New Roman" w:cs="Times New Roman"/>
                      <w:bCs/>
                      <w:color w:val="auto"/>
                      <w:szCs w:val="21"/>
                    </w:rPr>
                    <w:t>（环境噪声限值）</w:t>
                  </w:r>
                </w:p>
              </w:tc>
              <w:tc>
                <w:tcPr>
                  <w:tcW w:w="2103" w:type="dxa"/>
                  <w:gridSpan w:val="2"/>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65</w:t>
                  </w:r>
                </w:p>
              </w:tc>
              <w:tc>
                <w:tcPr>
                  <w:tcW w:w="2175" w:type="dxa"/>
                  <w:gridSpan w:val="2"/>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55</w:t>
                  </w:r>
                </w:p>
              </w:tc>
              <w:tc>
                <w:tcPr>
                  <w:tcW w:w="137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bl>
          <w:p>
            <w:pPr>
              <w:tabs>
                <w:tab w:val="left" w:pos="3534"/>
              </w:tabs>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由表11的监测及评价结果可以看出，评价区域各监测点昼、夜间噪声值均满足《声环境质量标准》（GB3096-2008）中的3类标准限值，由此可见，项目区周围声环境质量良好。</w:t>
            </w:r>
          </w:p>
          <w:p>
            <w:pPr>
              <w:pStyle w:val="31"/>
              <w:spacing w:line="360" w:lineRule="auto"/>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4.土壤环境质量现状调查与评价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为了解项目区土壤环境质量现状，委托新疆天辰环境技术有限公司对项目区土壤进行监测。</w:t>
            </w:r>
            <w:r>
              <w:rPr>
                <w:rFonts w:hint="default" w:ascii="Times New Roman" w:hAnsi="Times New Roman" w:cs="Times New Roman"/>
                <w:bCs/>
                <w:color w:val="auto"/>
                <w:sz w:val="24"/>
              </w:rPr>
              <w:t>监测点位</w:t>
            </w:r>
            <w:r>
              <w:rPr>
                <w:rFonts w:hint="default" w:ascii="Times New Roman" w:hAnsi="Times New Roman" w:cs="Times New Roman"/>
                <w:color w:val="auto"/>
                <w:kern w:val="0"/>
                <w:sz w:val="24"/>
              </w:rPr>
              <w:t>详见附图8监测布点图。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（1）监测点位：项目区（三个表层样）</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eastAsia="宋体"/>
                <w:bCs/>
                <w:color w:val="000000"/>
                <w:kern w:val="0"/>
                <w:sz w:val="24"/>
                <w:szCs w:val="24"/>
                <w:lang w:val="zh-TW" w:eastAsia="zh-CN"/>
              </w:rPr>
            </w:pPr>
            <w:r>
              <w:rPr>
                <w:rFonts w:hint="default" w:ascii="Times New Roman" w:hAnsi="Times New Roman" w:cs="Times New Roman"/>
                <w:color w:val="auto"/>
                <w:sz w:val="24"/>
              </w:rPr>
              <w:t>（2）监测项目：</w:t>
            </w:r>
            <w:r>
              <w:rPr>
                <w:bCs/>
                <w:color w:val="000000"/>
                <w:kern w:val="0"/>
                <w:sz w:val="24"/>
                <w:szCs w:val="24"/>
                <w:lang w:val="zh-TW"/>
              </w:rPr>
              <w:t>基本因子：pH、砷、镉、铜、铅、镍、四氯化碳、氯仿、氯甲烷、1,2-二氯乙烷、1,1-二氯乙烯、顺-1,2-二氯乙烯、反-1,2-二氯乙烯、二氯甲烷、1,2-二氯丙烷、1,1,1,2-四氯乙烷、1,1,2,2-四氯乙烷、四氯乙烯、1,1,1-三氯乙烷、1,1,2-三氯乙烷、三氯乙烯、1,2,3-三氯丙烷、苯、氯苯、1,2-二氯苯、1,4-二氯苯、乙苯、苯乙烯、甲苯、间二甲苯+对二甲苯、邻二甲苯、硝基苯、2-氯酚、苯并[a]蒽、苯并[a]芘、苯并[b]荧蒽、苯并[k]荧蒽、䓛、二苯并[a,h]蒽、茚并[1,2,3-cd]芘、萘。特征因子：</w:t>
            </w:r>
            <w:r>
              <w:rPr>
                <w:rFonts w:hint="eastAsia"/>
                <w:bCs/>
                <w:color w:val="000000"/>
                <w:kern w:val="0"/>
                <w:sz w:val="24"/>
                <w:szCs w:val="24"/>
                <w:lang w:val="en-US" w:eastAsia="zh-CN"/>
              </w:rPr>
              <w:t>石油烃</w:t>
            </w:r>
            <w:r>
              <w:rPr>
                <w:rFonts w:hint="eastAsia"/>
                <w:bCs/>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w:t>
            </w:r>
            <w:r>
              <w:rPr>
                <w:rFonts w:hint="eastAsia" w:cs="Times New Roman"/>
                <w:color w:val="auto"/>
                <w:sz w:val="24"/>
                <w:lang w:val="en-US" w:eastAsia="zh-CN"/>
              </w:rPr>
              <w:t>3</w:t>
            </w:r>
            <w:r>
              <w:rPr>
                <w:rFonts w:hint="default" w:ascii="Times New Roman" w:hAnsi="Times New Roman" w:cs="Times New Roman"/>
                <w:color w:val="auto"/>
                <w:sz w:val="24"/>
              </w:rPr>
              <w:t>）监测结果与评价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土壤监测与评价结果详见下表。</w:t>
            </w:r>
          </w:p>
          <w:p>
            <w:pPr>
              <w:spacing w:line="360" w:lineRule="auto"/>
              <w:ind w:firstLine="1544" w:firstLineChars="641"/>
              <w:rPr>
                <w:rFonts w:hint="default" w:ascii="Times New Roman" w:hAnsi="Times New Roman" w:cs="Times New Roman"/>
                <w:b/>
                <w:color w:val="auto"/>
                <w:sz w:val="24"/>
              </w:rPr>
            </w:pPr>
          </w:p>
          <w:p>
            <w:pPr>
              <w:spacing w:line="360" w:lineRule="auto"/>
              <w:ind w:firstLine="1544" w:firstLineChars="641"/>
              <w:rPr>
                <w:rFonts w:hint="default" w:ascii="Times New Roman" w:hAnsi="Times New Roman" w:cs="Times New Roman"/>
                <w:color w:val="auto"/>
                <w:sz w:val="24"/>
              </w:rPr>
            </w:pPr>
            <w:r>
              <w:rPr>
                <w:rFonts w:hint="default" w:ascii="Times New Roman" w:hAnsi="Times New Roman" w:cs="Times New Roman"/>
                <w:b/>
                <w:color w:val="auto"/>
                <w:sz w:val="24"/>
              </w:rPr>
              <w:t>表1</w:t>
            </w:r>
            <w:r>
              <w:rPr>
                <w:rFonts w:hint="eastAsia" w:cs="Times New Roman"/>
                <w:b/>
                <w:color w:val="auto"/>
                <w:sz w:val="24"/>
                <w:lang w:val="en-US" w:eastAsia="zh-CN"/>
              </w:rPr>
              <w:t>2</w:t>
            </w:r>
            <w:r>
              <w:rPr>
                <w:rFonts w:hint="default" w:ascii="Times New Roman" w:hAnsi="Times New Roman" w:cs="Times New Roman"/>
                <w:b/>
                <w:color w:val="auto"/>
                <w:sz w:val="24"/>
              </w:rPr>
              <w:t xml:space="preserve">   建设项目土壤现状监测及评价结果</w:t>
            </w:r>
          </w:p>
          <w:tbl>
            <w:tblPr>
              <w:tblStyle w:val="33"/>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4"/>
              <w:gridCol w:w="1972"/>
              <w:gridCol w:w="1007"/>
              <w:gridCol w:w="1007"/>
              <w:gridCol w:w="1018"/>
              <w:gridCol w:w="954"/>
              <w:gridCol w:w="1017"/>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9" w:hRule="atLeast"/>
                <w:jc w:val="center"/>
              </w:trPr>
              <w:tc>
                <w:tcPr>
                  <w:tcW w:w="784" w:type="dxa"/>
                  <w:vMerge w:val="restart"/>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序号</w:t>
                  </w:r>
                </w:p>
              </w:tc>
              <w:tc>
                <w:tcPr>
                  <w:tcW w:w="1972" w:type="dxa"/>
                  <w:vMerge w:val="restart"/>
                  <w:tcBorders>
                    <w:right w:val="single" w:color="auto" w:sz="4" w:space="0"/>
                  </w:tcBorders>
                </w:tcPr>
                <w:p>
                  <w:pPr>
                    <w:adjustRightInd w:val="0"/>
                    <w:snapToGrid w:val="0"/>
                    <w:jc w:val="both"/>
                    <w:rPr>
                      <w:rFonts w:hint="default" w:ascii="Times New Roman" w:hAnsi="Times New Roman" w:cs="Times New Roman"/>
                      <w:b/>
                      <w:bCs/>
                      <w:color w:val="auto"/>
                      <w:szCs w:val="21"/>
                    </w:rPr>
                  </w:pPr>
                  <w:r>
                    <w:rPr>
                      <w:rFonts w:hint="default" w:ascii="Times New Roman" w:hAnsi="Times New Roman" w:cs="Times New Roman"/>
                      <w:b/>
                      <w:bCs/>
                      <w:color w:val="auto"/>
                      <w:szCs w:val="21"/>
                    </w:rPr>
                    <w:t>监测项目</w:t>
                  </w:r>
                </w:p>
              </w:tc>
              <w:tc>
                <w:tcPr>
                  <w:tcW w:w="1007" w:type="dxa"/>
                  <w:vMerge w:val="restart"/>
                  <w:tcBorders>
                    <w:left w:val="single" w:color="auto" w:sz="4" w:space="0"/>
                  </w:tcBorders>
                </w:tcPr>
                <w:p>
                  <w:pPr>
                    <w:adjustRightInd w:val="0"/>
                    <w:snapToGrid w:val="0"/>
                    <w:ind w:firstLine="211" w:firstLineChars="100"/>
                    <w:jc w:val="both"/>
                    <w:rPr>
                      <w:rFonts w:hint="eastAsia" w:ascii="Times New Roman" w:hAnsi="Times New Roman" w:eastAsia="宋体" w:cs="Times New Roman"/>
                      <w:b/>
                      <w:bCs/>
                      <w:color w:val="auto"/>
                      <w:szCs w:val="21"/>
                      <w:lang w:val="en-US" w:eastAsia="zh-CN"/>
                    </w:rPr>
                  </w:pPr>
                  <w:r>
                    <w:rPr>
                      <w:rFonts w:hint="eastAsia" w:cs="Times New Roman"/>
                      <w:b/>
                      <w:bCs/>
                      <w:color w:val="auto"/>
                      <w:szCs w:val="21"/>
                      <w:lang w:val="en-US" w:eastAsia="zh-CN"/>
                    </w:rPr>
                    <w:t>单位</w:t>
                  </w:r>
                </w:p>
              </w:tc>
              <w:tc>
                <w:tcPr>
                  <w:tcW w:w="2979" w:type="dxa"/>
                  <w:gridSpan w:val="3"/>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监测结果</w:t>
                  </w:r>
                </w:p>
              </w:tc>
              <w:tc>
                <w:tcPr>
                  <w:tcW w:w="1017" w:type="dxa"/>
                  <w:vMerge w:val="restart"/>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标准</w:t>
                  </w:r>
                </w:p>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限值</w:t>
                  </w:r>
                </w:p>
              </w:tc>
              <w:tc>
                <w:tcPr>
                  <w:tcW w:w="745" w:type="dxa"/>
                  <w:vMerge w:val="restart"/>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是否</w:t>
                  </w:r>
                </w:p>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9" w:hRule="atLeast"/>
                <w:jc w:val="center"/>
              </w:trPr>
              <w:tc>
                <w:tcPr>
                  <w:tcW w:w="784" w:type="dxa"/>
                  <w:vMerge w:val="continue"/>
                </w:tcPr>
                <w:p>
                  <w:pPr>
                    <w:adjustRightInd w:val="0"/>
                    <w:snapToGrid w:val="0"/>
                    <w:jc w:val="center"/>
                    <w:rPr>
                      <w:rFonts w:hint="default" w:ascii="Times New Roman" w:hAnsi="Times New Roman" w:cs="Times New Roman"/>
                      <w:color w:val="auto"/>
                      <w:szCs w:val="21"/>
                    </w:rPr>
                  </w:pPr>
                </w:p>
              </w:tc>
              <w:tc>
                <w:tcPr>
                  <w:tcW w:w="1972" w:type="dxa"/>
                  <w:vMerge w:val="continue"/>
                  <w:tcBorders>
                    <w:right w:val="single" w:color="auto" w:sz="4" w:space="0"/>
                  </w:tcBorders>
                </w:tcPr>
                <w:p>
                  <w:pPr>
                    <w:adjustRightInd w:val="0"/>
                    <w:snapToGrid w:val="0"/>
                    <w:jc w:val="center"/>
                    <w:rPr>
                      <w:rFonts w:hint="default" w:ascii="Times New Roman" w:hAnsi="Times New Roman" w:cs="Times New Roman"/>
                      <w:color w:val="auto"/>
                      <w:szCs w:val="21"/>
                    </w:rPr>
                  </w:pPr>
                </w:p>
              </w:tc>
              <w:tc>
                <w:tcPr>
                  <w:tcW w:w="1007" w:type="dxa"/>
                  <w:vMerge w:val="continue"/>
                  <w:tcBorders>
                    <w:left w:val="single" w:color="auto" w:sz="4" w:space="0"/>
                  </w:tcBorders>
                </w:tcPr>
                <w:p>
                  <w:pPr>
                    <w:adjustRightInd w:val="0"/>
                    <w:snapToGrid w:val="0"/>
                    <w:jc w:val="center"/>
                    <w:rPr>
                      <w:rFonts w:hint="default" w:ascii="Times New Roman" w:hAnsi="Times New Roman" w:cs="Times New Roman"/>
                      <w:color w:val="auto"/>
                      <w:szCs w:val="21"/>
                    </w:rPr>
                  </w:pPr>
                </w:p>
              </w:tc>
              <w:tc>
                <w:tcPr>
                  <w:tcW w:w="1007" w:type="dxa"/>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1#</w:t>
                  </w:r>
                </w:p>
              </w:tc>
              <w:tc>
                <w:tcPr>
                  <w:tcW w:w="1018" w:type="dxa"/>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2#</w:t>
                  </w:r>
                </w:p>
              </w:tc>
              <w:tc>
                <w:tcPr>
                  <w:tcW w:w="954" w:type="dxa"/>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3#</w:t>
                  </w:r>
                </w:p>
              </w:tc>
              <w:tc>
                <w:tcPr>
                  <w:tcW w:w="1017" w:type="dxa"/>
                  <w:vMerge w:val="continue"/>
                </w:tcPr>
                <w:p>
                  <w:pPr>
                    <w:adjustRightInd w:val="0"/>
                    <w:snapToGrid w:val="0"/>
                    <w:jc w:val="center"/>
                    <w:rPr>
                      <w:rFonts w:hint="default" w:ascii="Times New Roman" w:hAnsi="Times New Roman" w:cs="Times New Roman"/>
                      <w:color w:val="auto"/>
                      <w:szCs w:val="21"/>
                    </w:rPr>
                  </w:pPr>
                </w:p>
              </w:tc>
              <w:tc>
                <w:tcPr>
                  <w:tcW w:w="745" w:type="dxa"/>
                  <w:vMerge w:val="continue"/>
                </w:tcPr>
                <w:p>
                  <w:pPr>
                    <w:adjustRightInd w:val="0"/>
                    <w:snapToGrid w:val="0"/>
                    <w:jc w:val="center"/>
                    <w:rPr>
                      <w:rFonts w:hint="default" w:ascii="Times New Roman" w:hAnsi="Times New Roman" w:cs="Times New Roman"/>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zh-CN" w:eastAsia="zh-CN" w:bidi="ar-SA"/>
                    </w:rPr>
                  </w:pPr>
                  <w:r>
                    <w:rPr>
                      <w:rFonts w:hint="default" w:ascii="Times New Roman" w:hAnsi="Times New Roman" w:eastAsia="宋体" w:cs="Times New Roman"/>
                      <w:sz w:val="21"/>
                      <w:szCs w:val="21"/>
                      <w:highlight w:val="none"/>
                      <w:lang w:val="en-US" w:eastAsia="zh-CN" w:bidi="en-US"/>
                    </w:rPr>
                    <w:t>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12.32</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12.95</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13.09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zh-CN" w:eastAsia="zh-CN" w:bidi="ar-SA"/>
                    </w:rPr>
                  </w:pPr>
                  <w:r>
                    <w:rPr>
                      <w:rFonts w:hint="default" w:ascii="Times New Roman" w:hAnsi="Times New Roman" w:eastAsia="宋体" w:cs="Times New Roman"/>
                      <w:sz w:val="21"/>
                      <w:szCs w:val="21"/>
                      <w:highlight w:val="none"/>
                      <w:lang w:val="en-US" w:eastAsia="zh-CN" w:bidi="en-US"/>
                    </w:rPr>
                    <w:t>镉</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0.09</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0.10</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0.09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65</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铬（六价）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&lt;0.5</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&lt;0.5</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&lt;0.5</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5.7</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铜</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34.6</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31.6</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34.2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18000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铅</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2.4</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2.4</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2.6</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800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汞</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0.018</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0.014</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0.014</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38</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cs="Times New Roman"/>
                      <w:sz w:val="21"/>
                      <w:szCs w:val="21"/>
                      <w:highlight w:val="none"/>
                      <w:lang w:eastAsia="zh-CN" w:bidi="en-US"/>
                    </w:rPr>
                    <w:t>镍</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22.5</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16.6</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eastAsia" w:ascii="Times New Roman" w:hAnsi="Times New Roman" w:eastAsia="宋体" w:cs="Times New Roman"/>
                      <w:b w:val="0"/>
                      <w:bCs/>
                      <w:color w:val="auto"/>
                      <w:highlight w:val="none"/>
                      <w:lang w:val="en-US" w:eastAsia="zh-CN"/>
                    </w:rPr>
                    <w:t>17.9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900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rPr>
                    <w:t>氯甲烷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37000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氯乙烯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430</w:t>
                  </w:r>
                </w:p>
              </w:tc>
              <w:tc>
                <w:tcPr>
                  <w:tcW w:w="745" w:type="dxa"/>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10</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1,1-二氯</w:t>
                  </w:r>
                  <w:r>
                    <w:rPr>
                      <w:rFonts w:hint="default" w:ascii="Times New Roman" w:hAnsi="Times New Roman" w:cs="Times New Roman"/>
                      <w:sz w:val="21"/>
                      <w:szCs w:val="21"/>
                      <w:highlight w:val="none"/>
                      <w:lang w:eastAsia="zh-CN" w:bidi="en-US"/>
                    </w:rPr>
                    <w:t>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&lt;1.0</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66000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11</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二氯甲烷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&lt;1.5</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&lt;1.5</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&lt;1.5</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616000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12</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反</w:t>
                  </w:r>
                  <w:r>
                    <w:rPr>
                      <w:rFonts w:hint="default" w:ascii="Times New Roman" w:hAnsi="Times New Roman" w:eastAsia="宋体" w:cs="Times New Roman"/>
                      <w:sz w:val="21"/>
                      <w:szCs w:val="21"/>
                      <w:highlight w:val="none"/>
                      <w:lang w:val="en-US" w:eastAsia="zh-CN" w:bidi="en-US"/>
                    </w:rPr>
                    <w:t>式</w:t>
                  </w:r>
                  <w:r>
                    <w:rPr>
                      <w:rFonts w:hint="default" w:ascii="Times New Roman" w:hAnsi="Times New Roman" w:eastAsia="宋体" w:cs="Times New Roman"/>
                      <w:sz w:val="21"/>
                      <w:szCs w:val="21"/>
                      <w:highlight w:val="none"/>
                      <w:lang w:bidi="en-US"/>
                    </w:rPr>
                    <w:t>-1,2-二氯乙烯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&lt;1.4</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&lt;1.4</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&lt;1.4</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54000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13</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1,1-二氯乙烷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9000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14</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顺</w:t>
                  </w:r>
                  <w:r>
                    <w:rPr>
                      <w:rFonts w:hint="default" w:ascii="Times New Roman" w:hAnsi="Times New Roman" w:eastAsia="宋体" w:cs="Times New Roman"/>
                      <w:sz w:val="21"/>
                      <w:szCs w:val="21"/>
                      <w:highlight w:val="none"/>
                      <w:lang w:val="en-US" w:eastAsia="zh-CN" w:bidi="en-US"/>
                    </w:rPr>
                    <w:t>式</w:t>
                  </w:r>
                  <w:r>
                    <w:rPr>
                      <w:rFonts w:hint="default" w:ascii="Times New Roman" w:hAnsi="Times New Roman" w:eastAsia="宋体" w:cs="Times New Roman"/>
                      <w:sz w:val="21"/>
                      <w:szCs w:val="21"/>
                      <w:highlight w:val="none"/>
                      <w:lang w:bidi="en-US"/>
                    </w:rPr>
                    <w:t>-1,2-二氯乙烯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596000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zh-CN"/>
                    </w:rPr>
                    <w:t>氯仿</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zh-CN"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&lt;1.1</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&lt;1.1</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900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16</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1,1,1-三氯乙烷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840000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17</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四氯</w:t>
                  </w:r>
                  <w:r>
                    <w:rPr>
                      <w:rFonts w:hint="default" w:ascii="Times New Roman" w:hAnsi="Times New Roman" w:eastAsia="宋体" w:cs="Times New Roman"/>
                      <w:sz w:val="21"/>
                      <w:szCs w:val="21"/>
                      <w:highlight w:val="none"/>
                      <w:lang w:val="en-US" w:eastAsia="zh-CN" w:bidi="en-US"/>
                    </w:rPr>
                    <w:t>化碳</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2800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18</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&lt;1.9</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&lt;1.9</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4000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19</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1,2二氯乙烷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&lt;1.3</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20</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三氯乙烯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1018"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954" w:type="dxa"/>
                  <w:vAlign w:val="center"/>
                </w:tcPr>
                <w:p>
                  <w:pPr>
                    <w:jc w:val="center"/>
                    <w:rPr>
                      <w:rFonts w:hint="default" w:ascii="Times New Roman" w:hAnsi="Times New Roman" w:eastAsia="宋体" w:cs="Times New Roman"/>
                      <w:b w:val="0"/>
                      <w:bCs/>
                      <w:color w:val="auto"/>
                      <w:kern w:val="2"/>
                      <w:sz w:val="21"/>
                      <w:szCs w:val="24"/>
                      <w:highlight w:val="none"/>
                      <w:lang w:val="en-US" w:eastAsia="zh-CN" w:bidi="ar-SA"/>
                    </w:rPr>
                  </w:pPr>
                  <w:r>
                    <w:rPr>
                      <w:rFonts w:hint="default" w:ascii="Times New Roman" w:hAnsi="Times New Roman" w:cs="Times New Roman"/>
                      <w:b w:val="0"/>
                      <w:bCs/>
                      <w:color w:val="auto"/>
                      <w:highlight w:val="none"/>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2800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21</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1,2-二氯丙烷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&lt;1.1</w:t>
                  </w:r>
                </w:p>
              </w:tc>
              <w:tc>
                <w:tcPr>
                  <w:tcW w:w="1018"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&lt;1.1</w:t>
                  </w:r>
                </w:p>
              </w:tc>
              <w:tc>
                <w:tcPr>
                  <w:tcW w:w="954"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22</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甲苯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&lt;1.3</w:t>
                  </w:r>
                </w:p>
              </w:tc>
              <w:tc>
                <w:tcPr>
                  <w:tcW w:w="1018"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&lt;1.3</w:t>
                  </w:r>
                </w:p>
              </w:tc>
              <w:tc>
                <w:tcPr>
                  <w:tcW w:w="954"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&lt;1.3</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1200000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23</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bidi="en-US"/>
                    </w:rPr>
                    <w:t>1,1,2-三氯乙烷</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&lt;1.2</w:t>
                  </w:r>
                </w:p>
              </w:tc>
              <w:tc>
                <w:tcPr>
                  <w:tcW w:w="1018"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&lt;1.2</w:t>
                  </w:r>
                </w:p>
              </w:tc>
              <w:tc>
                <w:tcPr>
                  <w:tcW w:w="954"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b w:val="0"/>
                      <w:bCs/>
                      <w:color w:val="auto"/>
                      <w:kern w:val="0"/>
                      <w:sz w:val="21"/>
                      <w:szCs w:val="21"/>
                      <w:highlight w:val="none"/>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2800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24</w:t>
                  </w:r>
                </w:p>
              </w:tc>
              <w:tc>
                <w:tcPr>
                  <w:tcW w:w="1972" w:type="dxa"/>
                  <w:tcBorders>
                    <w:righ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sz w:val="21"/>
                      <w:szCs w:val="21"/>
                      <w:highlight w:val="none"/>
                      <w:lang w:val="en-US" w:eastAsia="zh-CN" w:bidi="en-US"/>
                    </w:rPr>
                    <w:t>四氯乙烯</w:t>
                  </w:r>
                </w:p>
              </w:tc>
              <w:tc>
                <w:tcPr>
                  <w:tcW w:w="1007" w:type="dxa"/>
                  <w:tcBorders>
                    <w:left w:val="single" w:color="auto" w:sz="4" w:space="0"/>
                  </w:tcBorders>
                  <w:vAlign w:val="center"/>
                </w:tcPr>
                <w:p>
                  <w:pPr>
                    <w:jc w:val="center"/>
                    <w:rPr>
                      <w:rFonts w:hint="default" w:ascii="Times New Roman" w:hAnsi="Times New Roman" w:eastAsia="宋体" w:cs="Times New Roman"/>
                      <w:kern w:val="2"/>
                      <w:sz w:val="21"/>
                      <w:szCs w:val="21"/>
                      <w:highlight w:val="none"/>
                      <w:lang w:val="en-US" w:eastAsia="zh-CN" w:bidi="en-US"/>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color w:val="auto"/>
                      <w:highlight w:val="none"/>
                      <w:lang w:val="en-US" w:eastAsia="zh-CN"/>
                    </w:rPr>
                    <w:t>&lt;1.4</w:t>
                  </w:r>
                </w:p>
              </w:tc>
              <w:tc>
                <w:tcPr>
                  <w:tcW w:w="1018"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color w:val="auto"/>
                      <w:highlight w:val="none"/>
                      <w:lang w:val="en-US" w:eastAsia="zh-CN"/>
                    </w:rPr>
                    <w:t>&lt;1.4</w:t>
                  </w:r>
                </w:p>
              </w:tc>
              <w:tc>
                <w:tcPr>
                  <w:tcW w:w="954" w:type="dxa"/>
                  <w:vAlign w:val="center"/>
                </w:tcPr>
                <w:p>
                  <w:pPr>
                    <w:jc w:val="center"/>
                    <w:rPr>
                      <w:rFonts w:hint="default" w:ascii="Times New Roman" w:hAnsi="Times New Roman" w:eastAsia="宋体" w:cs="Times New Roman"/>
                      <w:b w:val="0"/>
                      <w:bCs/>
                      <w:color w:val="auto"/>
                      <w:kern w:val="0"/>
                      <w:sz w:val="21"/>
                      <w:szCs w:val="21"/>
                      <w:highlight w:val="none"/>
                      <w:lang w:val="en-US" w:eastAsia="zh-CN" w:bidi="ar-SA"/>
                    </w:rPr>
                  </w:pPr>
                  <w:r>
                    <w:rPr>
                      <w:rFonts w:hint="default" w:ascii="Times New Roman" w:hAnsi="Times New Roman" w:cs="Times New Roman"/>
                      <w:color w:val="auto"/>
                      <w:highlight w:val="none"/>
                      <w:lang w:val="en-US" w:eastAsia="zh-CN"/>
                    </w:rPr>
                    <w:t>&lt;1.4</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53000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25</w:t>
                  </w:r>
                </w:p>
              </w:tc>
              <w:tc>
                <w:tcPr>
                  <w:tcW w:w="1972" w:type="dxa"/>
                  <w:tcBorders>
                    <w:right w:val="single" w:color="auto" w:sz="4" w:space="0"/>
                  </w:tcBorders>
                  <w:vAlign w:val="center"/>
                </w:tcPr>
                <w:p>
                  <w:pPr>
                    <w:jc w:val="center"/>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sz w:val="21"/>
                      <w:szCs w:val="21"/>
                      <w:highlight w:val="none"/>
                      <w:lang w:bidi="en-US"/>
                    </w:rPr>
                    <w:t>氯苯</w:t>
                  </w:r>
                </w:p>
              </w:tc>
              <w:tc>
                <w:tcPr>
                  <w:tcW w:w="1007" w:type="dxa"/>
                  <w:tcBorders>
                    <w:left w:val="single" w:color="auto" w:sz="4" w:space="0"/>
                  </w:tcBorders>
                  <w:vAlign w:val="center"/>
                </w:tcPr>
                <w:p>
                  <w:pPr>
                    <w:jc w:val="center"/>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270000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26</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1,1,1,2-四氯乙烷</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27</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乙苯</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28000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28</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1,2,3-三氯丙烷</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29</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间</w:t>
                  </w:r>
                  <w:r>
                    <w:rPr>
                      <w:rFonts w:hint="default" w:ascii="Times New Roman" w:hAnsi="Times New Roman" w:eastAsia="宋体" w:cs="Times New Roman"/>
                      <w:sz w:val="21"/>
                      <w:szCs w:val="21"/>
                      <w:highlight w:val="none"/>
                      <w:lang w:val="en-US" w:eastAsia="zh-CN" w:bidi="en-US"/>
                    </w:rPr>
                    <w:t>-</w:t>
                  </w:r>
                  <w:r>
                    <w:rPr>
                      <w:rFonts w:hint="default" w:ascii="Times New Roman" w:hAnsi="Times New Roman" w:eastAsia="宋体" w:cs="Times New Roman"/>
                      <w:sz w:val="21"/>
                      <w:szCs w:val="21"/>
                      <w:highlight w:val="none"/>
                      <w:lang w:bidi="en-US"/>
                    </w:rPr>
                    <w:t>二甲苯</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7" w:type="dxa"/>
                  <w:vMerge w:val="restart"/>
                </w:tcPr>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570000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30</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对</w:t>
                  </w:r>
                  <w:r>
                    <w:rPr>
                      <w:rFonts w:hint="default" w:ascii="Times New Roman" w:hAnsi="Times New Roman" w:eastAsia="宋体" w:cs="Times New Roman"/>
                      <w:sz w:val="21"/>
                      <w:szCs w:val="21"/>
                      <w:highlight w:val="none"/>
                      <w:lang w:val="en-US" w:eastAsia="zh-CN" w:bidi="en-US"/>
                    </w:rPr>
                    <w:t>-</w:t>
                  </w:r>
                  <w:r>
                    <w:rPr>
                      <w:rFonts w:hint="default" w:ascii="Times New Roman" w:hAnsi="Times New Roman" w:eastAsia="宋体" w:cs="Times New Roman"/>
                      <w:sz w:val="21"/>
                      <w:szCs w:val="21"/>
                      <w:highlight w:val="none"/>
                      <w:lang w:bidi="en-US"/>
                    </w:rPr>
                    <w:t>二甲苯</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color w:val="auto"/>
                      <w:lang w:val="en-US" w:eastAsia="zh-CN"/>
                    </w:rPr>
                    <w:t>&lt;1.2</w:t>
                  </w:r>
                </w:p>
              </w:tc>
              <w:tc>
                <w:tcPr>
                  <w:tcW w:w="1017" w:type="dxa"/>
                  <w:vMerge w:val="continue"/>
                  <w:tcBorders/>
                </w:tcPr>
                <w:p>
                  <w:pPr>
                    <w:adjustRightInd w:val="0"/>
                    <w:snapToGrid w:val="0"/>
                    <w:jc w:val="center"/>
                    <w:rPr>
                      <w:rFonts w:hint="default" w:ascii="Times New Roman" w:hAnsi="Times New Roman" w:cs="Times New Roman"/>
                      <w:color w:val="auto"/>
                      <w:szCs w:val="21"/>
                    </w:rPr>
                  </w:pP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31</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yellow"/>
                      <w:lang w:val="en-US" w:eastAsia="zh-CN" w:bidi="ar-SA"/>
                    </w:rPr>
                  </w:pPr>
                  <w:r>
                    <w:rPr>
                      <w:rFonts w:hint="default" w:ascii="Times New Roman" w:hAnsi="Times New Roman" w:eastAsia="宋体" w:cs="Times New Roman"/>
                      <w:sz w:val="21"/>
                      <w:szCs w:val="21"/>
                      <w:highlight w:val="none"/>
                      <w:lang w:val="en-US" w:eastAsia="zh-CN" w:bidi="en-US"/>
                    </w:rPr>
                    <w:t>邻-</w:t>
                  </w:r>
                  <w:r>
                    <w:rPr>
                      <w:rFonts w:hint="default" w:ascii="Times New Roman" w:hAnsi="Times New Roman" w:eastAsia="宋体" w:cs="Times New Roman"/>
                      <w:sz w:val="21"/>
                      <w:szCs w:val="21"/>
                      <w:highlight w:val="none"/>
                      <w:lang w:bidi="en-US"/>
                    </w:rPr>
                    <w:t>二甲苯</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yellow"/>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color w:val="auto"/>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color w:val="auto"/>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color w:val="auto"/>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640000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32</w:t>
                  </w:r>
                </w:p>
              </w:tc>
              <w:tc>
                <w:tcPr>
                  <w:tcW w:w="1972" w:type="dxa"/>
                  <w:tcBorders>
                    <w:righ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苯乙烯</w:t>
                  </w:r>
                </w:p>
              </w:tc>
              <w:tc>
                <w:tcPr>
                  <w:tcW w:w="1007" w:type="dxa"/>
                  <w:tcBorders>
                    <w:left w:val="single" w:color="auto" w:sz="4" w:space="0"/>
                  </w:tcBorders>
                  <w:vAlign w:val="center"/>
                </w:tcPr>
                <w:p>
                  <w:pPr>
                    <w:jc w:val="center"/>
                    <w:rPr>
                      <w:rFonts w:hint="default" w:ascii="Times New Roman" w:hAnsi="Times New Roman" w:eastAsia="宋体" w:cs="Times New Roman"/>
                      <w:bCs/>
                      <w:color w:val="000000"/>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1290000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33</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1,1,2,2-四氯乙烷</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6800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34</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1,4-二氯苯</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35</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1,2-二氯苯</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μg/kg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&lt;1.5</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560000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36</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苯胺</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&lt;0.0004</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&lt;0.0004</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&lt;0.0004</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260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37</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2-氯酚</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bCs/>
                      <w:color w:val="auto"/>
                      <w:szCs w:val="21"/>
                      <w:highlight w:val="none"/>
                      <w:lang w:val="en-US" w:eastAsia="zh-CN"/>
                    </w:rPr>
                    <w:t>&lt;0.06</w:t>
                  </w:r>
                </w:p>
              </w:tc>
              <w:tc>
                <w:tcPr>
                  <w:tcW w:w="1018"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bCs/>
                      <w:color w:val="auto"/>
                      <w:szCs w:val="21"/>
                      <w:highlight w:val="none"/>
                      <w:lang w:val="en-US" w:eastAsia="zh-CN"/>
                    </w:rPr>
                    <w:t>&lt;0.06</w:t>
                  </w:r>
                </w:p>
              </w:tc>
              <w:tc>
                <w:tcPr>
                  <w:tcW w:w="954" w:type="dxa"/>
                  <w:vAlign w:val="center"/>
                </w:tcPr>
                <w:p>
                  <w:pPr>
                    <w:jc w:val="center"/>
                    <w:rPr>
                      <w:rFonts w:hint="default" w:ascii="Times New Roman" w:hAnsi="Times New Roman" w:eastAsia="宋体" w:cs="Times New Roman"/>
                      <w:bCs/>
                      <w:color w:val="auto"/>
                      <w:kern w:val="2"/>
                      <w:sz w:val="21"/>
                      <w:szCs w:val="21"/>
                      <w:highlight w:val="yellow"/>
                      <w:lang w:val="en-US" w:eastAsia="zh-CN" w:bidi="ar-SA"/>
                    </w:rPr>
                  </w:pPr>
                  <w:r>
                    <w:rPr>
                      <w:rFonts w:hint="default" w:ascii="Times New Roman" w:hAnsi="Times New Roman" w:cs="Times New Roman"/>
                      <w:bCs/>
                      <w:color w:val="auto"/>
                      <w:szCs w:val="21"/>
                      <w:highlight w:val="none"/>
                      <w:lang w:val="en-US" w:eastAsia="zh-CN"/>
                    </w:rPr>
                    <w:t>&lt;0.06</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2256</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38</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硝基苯</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76</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39</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萘</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&lt;0.09</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70</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40</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en-US"/>
                    </w:rPr>
                    <w:t>䓛</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1293</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41</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苯并</w:t>
                  </w:r>
                  <w:r>
                    <w:rPr>
                      <w:rFonts w:hint="default" w:ascii="Times New Roman" w:hAnsi="Times New Roman" w:eastAsia="宋体" w:cs="Times New Roman"/>
                      <w:sz w:val="21"/>
                      <w:szCs w:val="21"/>
                      <w:highlight w:val="none"/>
                      <w:lang w:val="en-US" w:eastAsia="zh-CN" w:bidi="en-US"/>
                    </w:rPr>
                    <w:t>[</w:t>
                  </w:r>
                  <w:r>
                    <w:rPr>
                      <w:rFonts w:hint="default" w:ascii="Times New Roman" w:hAnsi="Times New Roman" w:eastAsia="宋体" w:cs="Times New Roman"/>
                      <w:sz w:val="21"/>
                      <w:szCs w:val="21"/>
                      <w:highlight w:val="none"/>
                      <w:lang w:bidi="en-US"/>
                    </w:rPr>
                    <w:t>a</w:t>
                  </w:r>
                  <w:r>
                    <w:rPr>
                      <w:rFonts w:hint="default" w:ascii="Times New Roman" w:hAnsi="Times New Roman" w:eastAsia="宋体" w:cs="Times New Roman"/>
                      <w:sz w:val="21"/>
                      <w:szCs w:val="21"/>
                      <w:highlight w:val="none"/>
                      <w:lang w:val="en-US" w:eastAsia="zh-CN" w:bidi="en-US"/>
                    </w:rPr>
                    <w:t>]</w:t>
                  </w:r>
                  <w:r>
                    <w:rPr>
                      <w:rFonts w:hint="default" w:ascii="Times New Roman" w:hAnsi="Times New Roman" w:eastAsia="宋体" w:cs="Times New Roman"/>
                      <w:sz w:val="21"/>
                      <w:szCs w:val="21"/>
                      <w:highlight w:val="none"/>
                      <w:lang w:bidi="en-US"/>
                    </w:rPr>
                    <w:t>蒽</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42</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苯并</w:t>
                  </w:r>
                  <w:r>
                    <w:rPr>
                      <w:rFonts w:hint="default" w:ascii="Times New Roman" w:hAnsi="Times New Roman" w:eastAsia="宋体" w:cs="Times New Roman"/>
                      <w:sz w:val="21"/>
                      <w:szCs w:val="21"/>
                      <w:highlight w:val="none"/>
                      <w:lang w:val="en-US" w:eastAsia="zh-CN" w:bidi="en-US"/>
                    </w:rPr>
                    <w:t>[b]</w:t>
                  </w:r>
                  <w:r>
                    <w:rPr>
                      <w:rFonts w:hint="default" w:ascii="Times New Roman" w:hAnsi="Times New Roman" w:eastAsia="宋体" w:cs="Times New Roman"/>
                      <w:sz w:val="21"/>
                      <w:szCs w:val="21"/>
                      <w:highlight w:val="none"/>
                      <w:lang w:bidi="en-US"/>
                    </w:rPr>
                    <w:t>荧蒽</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&lt;0.2</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&lt;0.2</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&lt;0.2</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43</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sz w:val="21"/>
                      <w:szCs w:val="21"/>
                      <w:highlight w:val="none"/>
                      <w:lang w:bidi="en-US"/>
                    </w:rPr>
                    <w:t>苯并</w:t>
                  </w:r>
                  <w:r>
                    <w:rPr>
                      <w:rFonts w:hint="default" w:ascii="Times New Roman" w:hAnsi="Times New Roman" w:eastAsia="宋体" w:cs="Times New Roman"/>
                      <w:sz w:val="21"/>
                      <w:szCs w:val="21"/>
                      <w:highlight w:val="none"/>
                      <w:lang w:val="en-US" w:eastAsia="zh-CN" w:bidi="en-US"/>
                    </w:rPr>
                    <w:t>[k]</w:t>
                  </w:r>
                  <w:r>
                    <w:rPr>
                      <w:rFonts w:hint="default" w:ascii="Times New Roman" w:hAnsi="Times New Roman" w:eastAsia="宋体" w:cs="Times New Roman"/>
                      <w:sz w:val="21"/>
                      <w:szCs w:val="21"/>
                      <w:highlight w:val="none"/>
                      <w:lang w:bidi="en-US"/>
                    </w:rPr>
                    <w:t>荧蒽</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151</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44</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bidi="en-US"/>
                    </w:rPr>
                    <w:t>苯并</w:t>
                  </w:r>
                  <w:r>
                    <w:rPr>
                      <w:rFonts w:hint="default" w:ascii="Times New Roman" w:hAnsi="Times New Roman" w:eastAsia="宋体" w:cs="Times New Roman"/>
                      <w:color w:val="auto"/>
                      <w:sz w:val="21"/>
                      <w:szCs w:val="21"/>
                      <w:highlight w:val="none"/>
                      <w:lang w:val="en-US" w:eastAsia="zh-CN" w:bidi="en-US"/>
                    </w:rPr>
                    <w:t>[</w:t>
                  </w:r>
                  <w:r>
                    <w:rPr>
                      <w:rFonts w:hint="default" w:ascii="Times New Roman" w:hAnsi="Times New Roman" w:eastAsia="宋体" w:cs="Times New Roman"/>
                      <w:color w:val="auto"/>
                      <w:sz w:val="21"/>
                      <w:szCs w:val="21"/>
                      <w:highlight w:val="none"/>
                      <w:lang w:bidi="en-US"/>
                    </w:rPr>
                    <w:t>a</w:t>
                  </w:r>
                  <w:r>
                    <w:rPr>
                      <w:rFonts w:hint="default" w:ascii="Times New Roman" w:hAnsi="Times New Roman" w:eastAsia="宋体" w:cs="Times New Roman"/>
                      <w:color w:val="auto"/>
                      <w:sz w:val="21"/>
                      <w:szCs w:val="21"/>
                      <w:highlight w:val="none"/>
                      <w:lang w:val="en-US" w:eastAsia="zh-CN" w:bidi="en-US"/>
                    </w:rPr>
                    <w:t>]</w:t>
                  </w:r>
                  <w:r>
                    <w:rPr>
                      <w:rFonts w:hint="default" w:ascii="Times New Roman" w:hAnsi="Times New Roman" w:eastAsia="宋体" w:cs="Times New Roman"/>
                      <w:color w:val="auto"/>
                      <w:sz w:val="21"/>
                      <w:szCs w:val="21"/>
                      <w:highlight w:val="none"/>
                      <w:lang w:bidi="en-US"/>
                    </w:rPr>
                    <w:t>芘</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45</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bidi="en-US"/>
                    </w:rPr>
                    <w:t>二苯并</w:t>
                  </w:r>
                  <w:r>
                    <w:rPr>
                      <w:rFonts w:hint="default" w:ascii="Times New Roman" w:hAnsi="Times New Roman" w:eastAsia="宋体" w:cs="Times New Roman"/>
                      <w:color w:val="auto"/>
                      <w:sz w:val="21"/>
                      <w:szCs w:val="21"/>
                      <w:highlight w:val="none"/>
                      <w:lang w:val="en-US" w:eastAsia="zh-CN" w:bidi="en-US"/>
                    </w:rPr>
                    <w:t>[</w:t>
                  </w:r>
                  <w:r>
                    <w:rPr>
                      <w:rFonts w:hint="default" w:ascii="Times New Roman" w:hAnsi="Times New Roman" w:eastAsia="宋体" w:cs="Times New Roman"/>
                      <w:color w:val="auto"/>
                      <w:sz w:val="21"/>
                      <w:szCs w:val="21"/>
                      <w:highlight w:val="none"/>
                      <w:lang w:bidi="en-US"/>
                    </w:rPr>
                    <w:t>a</w:t>
                  </w:r>
                  <w:r>
                    <w:rPr>
                      <w:rFonts w:hint="default" w:ascii="Times New Roman" w:hAnsi="Times New Roman" w:eastAsia="宋体" w:cs="Times New Roman"/>
                      <w:color w:val="auto"/>
                      <w:sz w:val="21"/>
                      <w:szCs w:val="21"/>
                      <w:highlight w:val="none"/>
                      <w:lang w:val="en-US" w:eastAsia="zh-CN" w:bidi="en-US"/>
                    </w:rPr>
                    <w:t>,h]</w:t>
                  </w:r>
                  <w:r>
                    <w:rPr>
                      <w:rFonts w:hint="default" w:ascii="Times New Roman" w:hAnsi="Times New Roman" w:eastAsia="宋体" w:cs="Times New Roman"/>
                      <w:color w:val="auto"/>
                      <w:sz w:val="21"/>
                      <w:szCs w:val="21"/>
                      <w:highlight w:val="none"/>
                      <w:lang w:bidi="en-US"/>
                    </w:rPr>
                    <w:t>蒽</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46</w:t>
                  </w:r>
                </w:p>
              </w:tc>
              <w:tc>
                <w:tcPr>
                  <w:tcW w:w="1972" w:type="dxa"/>
                  <w:tcBorders>
                    <w:righ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bidi="en-US"/>
                    </w:rPr>
                    <w:t>茚并</w:t>
                  </w:r>
                  <w:r>
                    <w:rPr>
                      <w:rFonts w:hint="default" w:ascii="Times New Roman" w:hAnsi="Times New Roman" w:eastAsia="宋体" w:cs="Times New Roman"/>
                      <w:color w:val="auto"/>
                      <w:sz w:val="21"/>
                      <w:szCs w:val="21"/>
                      <w:highlight w:val="none"/>
                      <w:lang w:val="en-US" w:eastAsia="zh-CN" w:bidi="en-US"/>
                    </w:rPr>
                    <w:t>[</w:t>
                  </w:r>
                  <w:r>
                    <w:rPr>
                      <w:rFonts w:hint="default" w:ascii="Times New Roman" w:hAnsi="Times New Roman" w:eastAsia="宋体" w:cs="Times New Roman"/>
                      <w:color w:val="auto"/>
                      <w:sz w:val="21"/>
                      <w:szCs w:val="21"/>
                      <w:highlight w:val="none"/>
                      <w:lang w:bidi="en-US"/>
                    </w:rPr>
                    <w:t>1,2,3-cd</w:t>
                  </w:r>
                  <w:r>
                    <w:rPr>
                      <w:rFonts w:hint="default" w:ascii="Times New Roman" w:hAnsi="Times New Roman" w:eastAsia="宋体" w:cs="Times New Roman"/>
                      <w:color w:val="auto"/>
                      <w:sz w:val="21"/>
                      <w:szCs w:val="21"/>
                      <w:highlight w:val="none"/>
                      <w:lang w:val="en-US" w:eastAsia="zh-CN" w:bidi="en-US"/>
                    </w:rPr>
                    <w:t>]</w:t>
                  </w:r>
                  <w:r>
                    <w:rPr>
                      <w:rFonts w:hint="default" w:ascii="Times New Roman" w:hAnsi="Times New Roman" w:eastAsia="宋体" w:cs="Times New Roman"/>
                      <w:color w:val="auto"/>
                      <w:sz w:val="21"/>
                      <w:szCs w:val="21"/>
                      <w:highlight w:val="none"/>
                      <w:lang w:bidi="en-US"/>
                    </w:rPr>
                    <w:t>芘</w:t>
                  </w:r>
                </w:p>
              </w:tc>
              <w:tc>
                <w:tcPr>
                  <w:tcW w:w="1007" w:type="dxa"/>
                  <w:tcBorders>
                    <w:left w:val="single" w:color="auto" w:sz="4" w:space="0"/>
                  </w:tcBorders>
                  <w:vAlign w:val="center"/>
                </w:tcPr>
                <w:p>
                  <w:pPr>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8"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954" w:type="dxa"/>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cs="Times New Roman"/>
                      <w:bCs/>
                      <w:color w:val="auto"/>
                      <w:szCs w:val="21"/>
                      <w:lang w:val="en-US" w:eastAsia="zh-CN"/>
                    </w:rPr>
                    <w:t>&lt;0.1</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15</w:t>
                  </w:r>
                </w:p>
              </w:tc>
              <w:tc>
                <w:tcPr>
                  <w:tcW w:w="745" w:type="dxa"/>
                  <w:vAlign w:val="top"/>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Cs w:val="21"/>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84" w:type="dxa"/>
                </w:tcPr>
                <w:p>
                  <w:pPr>
                    <w:adjustRightInd w:val="0"/>
                    <w:snapToGrid w:val="0"/>
                    <w:jc w:val="center"/>
                    <w:rPr>
                      <w:rFonts w:hint="default" w:cs="Times New Roman"/>
                      <w:color w:val="auto"/>
                      <w:szCs w:val="21"/>
                      <w:lang w:val="en-US" w:eastAsia="zh-CN"/>
                    </w:rPr>
                  </w:pPr>
                  <w:r>
                    <w:rPr>
                      <w:rFonts w:hint="eastAsia" w:cs="Times New Roman"/>
                      <w:color w:val="auto"/>
                      <w:szCs w:val="21"/>
                      <w:lang w:val="en-US" w:eastAsia="zh-CN"/>
                    </w:rPr>
                    <w:t>47</w:t>
                  </w:r>
                </w:p>
              </w:tc>
              <w:tc>
                <w:tcPr>
                  <w:tcW w:w="1972" w:type="dxa"/>
                  <w:tcBorders>
                    <w:right w:val="single" w:color="auto" w:sz="4" w:space="0"/>
                  </w:tcBorders>
                  <w:vAlign w:val="center"/>
                </w:tcPr>
                <w:p>
                  <w:pPr>
                    <w:jc w:val="center"/>
                    <w:rPr>
                      <w:rFonts w:hint="eastAsia" w:ascii="Times New Roman" w:hAnsi="Times New Roman" w:eastAsia="宋体" w:cs="Times New Roman"/>
                      <w:color w:val="auto"/>
                      <w:sz w:val="21"/>
                      <w:szCs w:val="21"/>
                      <w:highlight w:val="none"/>
                      <w:lang w:val="en-US" w:eastAsia="zh-CN" w:bidi="en-US"/>
                    </w:rPr>
                  </w:pPr>
                  <w:r>
                    <w:rPr>
                      <w:rFonts w:hint="eastAsia" w:ascii="Times New Roman" w:hAnsi="Times New Roman" w:cs="Times New Roman"/>
                      <w:color w:val="auto"/>
                      <w:sz w:val="21"/>
                      <w:szCs w:val="21"/>
                      <w:highlight w:val="none"/>
                      <w:lang w:val="en-US" w:eastAsia="zh-CN" w:bidi="en-US"/>
                    </w:rPr>
                    <w:t>石油烃</w:t>
                  </w:r>
                </w:p>
              </w:tc>
              <w:tc>
                <w:tcPr>
                  <w:tcW w:w="1007" w:type="dxa"/>
                  <w:tcBorders>
                    <w:left w:val="single" w:color="auto" w:sz="4" w:space="0"/>
                  </w:tcBorders>
                  <w:vAlign w:val="center"/>
                </w:tcPr>
                <w:p>
                  <w:pPr>
                    <w:jc w:val="center"/>
                    <w:rPr>
                      <w:rFonts w:hint="default" w:ascii="Times New Roman" w:hAnsi="Times New Roman" w:eastAsia="宋体" w:cs="Times New Roman"/>
                      <w:b w:val="0"/>
                      <w:bCs/>
                      <w:color w:val="auto"/>
                      <w:kern w:val="0"/>
                      <w:sz w:val="21"/>
                      <w:szCs w:val="21"/>
                      <w:highlight w:val="none"/>
                      <w:lang w:val="en-US" w:eastAsia="zh-CN"/>
                    </w:rPr>
                  </w:pPr>
                  <w:r>
                    <w:rPr>
                      <w:rFonts w:hint="default" w:ascii="Times New Roman" w:hAnsi="Times New Roman" w:eastAsia="宋体" w:cs="Times New Roman"/>
                      <w:b w:val="0"/>
                      <w:bCs/>
                      <w:color w:val="auto"/>
                      <w:kern w:val="0"/>
                      <w:sz w:val="21"/>
                      <w:szCs w:val="21"/>
                      <w:highlight w:val="none"/>
                      <w:lang w:val="en-US" w:eastAsia="zh-CN"/>
                    </w:rPr>
                    <w:t>mg/kg</w:t>
                  </w:r>
                </w:p>
              </w:tc>
              <w:tc>
                <w:tcPr>
                  <w:tcW w:w="1007" w:type="dxa"/>
                  <w:vAlign w:val="center"/>
                </w:tcPr>
                <w:p>
                  <w:pPr>
                    <w:jc w:val="center"/>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8</w:t>
                  </w:r>
                </w:p>
              </w:tc>
              <w:tc>
                <w:tcPr>
                  <w:tcW w:w="1018" w:type="dxa"/>
                  <w:vAlign w:val="center"/>
                </w:tcPr>
                <w:p>
                  <w:pPr>
                    <w:jc w:val="center"/>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14</w:t>
                  </w:r>
                </w:p>
              </w:tc>
              <w:tc>
                <w:tcPr>
                  <w:tcW w:w="954" w:type="dxa"/>
                  <w:vAlign w:val="center"/>
                </w:tcPr>
                <w:p>
                  <w:pPr>
                    <w:jc w:val="center"/>
                    <w:rPr>
                      <w:rFonts w:hint="default" w:ascii="Times New Roman" w:hAnsi="Times New Roman" w:cs="Times New Roman"/>
                      <w:bCs/>
                      <w:color w:val="auto"/>
                      <w:szCs w:val="21"/>
                      <w:lang w:val="en-US" w:eastAsia="zh-CN"/>
                    </w:rPr>
                  </w:pPr>
                  <w:r>
                    <w:rPr>
                      <w:rFonts w:hint="eastAsia" w:cs="Times New Roman"/>
                      <w:bCs/>
                      <w:color w:val="auto"/>
                      <w:szCs w:val="21"/>
                      <w:lang w:val="en-US" w:eastAsia="zh-CN"/>
                    </w:rPr>
                    <w:t>17</w:t>
                  </w:r>
                </w:p>
              </w:tc>
              <w:tc>
                <w:tcPr>
                  <w:tcW w:w="1017" w:type="dxa"/>
                </w:tcPr>
                <w:p>
                  <w:pPr>
                    <w:adjustRightInd w:val="0"/>
                    <w:snapToGrid w:val="0"/>
                    <w:jc w:val="center"/>
                    <w:rPr>
                      <w:rFonts w:hint="default" w:ascii="Times New Roman" w:hAnsi="Times New Roman" w:eastAsia="宋体" w:cs="Times New Roman"/>
                      <w:color w:val="auto"/>
                      <w:szCs w:val="21"/>
                      <w:lang w:val="en-US" w:eastAsia="zh-CN"/>
                    </w:rPr>
                  </w:pPr>
                  <w:r>
                    <w:rPr>
                      <w:rFonts w:hint="eastAsia" w:cs="Times New Roman"/>
                      <w:color w:val="auto"/>
                      <w:szCs w:val="21"/>
                      <w:lang w:val="en-US" w:eastAsia="zh-CN"/>
                    </w:rPr>
                    <w:t>4500</w:t>
                  </w:r>
                </w:p>
              </w:tc>
              <w:tc>
                <w:tcPr>
                  <w:tcW w:w="745" w:type="dxa"/>
                  <w:vAlign w:val="top"/>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达标</w:t>
                  </w:r>
                </w:p>
              </w:tc>
            </w:tr>
          </w:tbl>
          <w:p>
            <w:pPr>
              <w:pStyle w:val="31"/>
              <w:spacing w:line="360" w:lineRule="auto"/>
              <w:ind w:firstLine="240"/>
              <w:rPr>
                <w:rFonts w:hint="default" w:ascii="Times New Roman" w:hAnsi="Times New Roman" w:cs="Times New Roman"/>
                <w:b/>
                <w:bCs/>
                <w:color w:val="auto"/>
                <w:sz w:val="24"/>
                <w:szCs w:val="24"/>
              </w:rPr>
            </w:pPr>
            <w:r>
              <w:rPr>
                <w:rFonts w:hint="default" w:ascii="Times New Roman" w:hAnsi="Times New Roman" w:cs="Times New Roman"/>
                <w:color w:val="auto"/>
                <w:sz w:val="24"/>
              </w:rPr>
              <w:t>由监测结果可知，各监测因子监测值均低于《土壤环境质量 建设用地土壤污染风险管控标准（试行）》（GB36600-2018）第二类建设用地土壤污染风险筛选值。</w:t>
            </w:r>
          </w:p>
          <w:p>
            <w:pPr>
              <w:tabs>
                <w:tab w:val="left" w:pos="3534"/>
              </w:tabs>
              <w:spacing w:line="360" w:lineRule="auto"/>
              <w:rPr>
                <w:rFonts w:hint="default" w:ascii="Times New Roman" w:hAnsi="Times New Roman" w:cs="Times New Roman"/>
                <w:b/>
                <w:color w:val="auto"/>
                <w:sz w:val="24"/>
              </w:rPr>
            </w:pPr>
            <w:r>
              <w:rPr>
                <w:rFonts w:hint="default" w:ascii="Times New Roman" w:hAnsi="Times New Roman" w:cs="Times New Roman"/>
                <w:b/>
                <w:bCs/>
                <w:color w:val="auto"/>
                <w:sz w:val="24"/>
              </w:rPr>
              <w:t>5.生态环境现状调查</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项目位于新疆昌吉州呼图壁县工业园区新疆鲁兴化工有限公司院内，</w:t>
            </w:r>
            <w:r>
              <w:rPr>
                <w:rFonts w:hint="default" w:ascii="Times New Roman" w:hAnsi="Times New Roman" w:cs="Times New Roman"/>
                <w:color w:val="auto"/>
                <w:sz w:val="24"/>
                <w:lang w:eastAsia="zh-CN"/>
              </w:rPr>
              <w:t>种植少量人工绿化榆树</w:t>
            </w:r>
            <w:r>
              <w:rPr>
                <w:rFonts w:hint="default" w:ascii="Times New Roman" w:hAnsi="Times New Roman" w:cs="Times New Roman"/>
                <w:color w:val="auto"/>
                <w:sz w:val="24"/>
              </w:rPr>
              <w:t>，生物多样性较低，绿化水平低，没有国家及自治区级野生动、植物保护物种分布。</w:t>
            </w:r>
          </w:p>
          <w:p>
            <w:pPr>
              <w:topLinePunct/>
              <w:adjustRightInd w:val="0"/>
              <w:snapToGrid w:val="0"/>
              <w:spacing w:line="360" w:lineRule="auto"/>
              <w:rPr>
                <w:rFonts w:hint="default" w:ascii="Times New Roman" w:hAnsi="Times New Roman" w:cs="Times New Roman"/>
                <w:color w:val="auto"/>
                <w:sz w:val="24"/>
              </w:rPr>
            </w:pPr>
          </w:p>
          <w:p>
            <w:pPr>
              <w:spacing w:line="360" w:lineRule="auto"/>
              <w:ind w:firstLine="480" w:firstLineChars="200"/>
              <w:rPr>
                <w:rFonts w:hint="default"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9" w:hRule="atLeast"/>
        </w:trPr>
        <w:tc>
          <w:tcPr>
            <w:tcW w:w="8846" w:type="dxa"/>
          </w:tcPr>
          <w:p>
            <w:pPr>
              <w:spacing w:line="360" w:lineRule="auto"/>
              <w:rPr>
                <w:rFonts w:hint="default" w:ascii="Times New Roman" w:hAnsi="Times New Roman" w:eastAsia="黑体" w:cs="Times New Roman"/>
                <w:b/>
                <w:bCs/>
                <w:color w:val="auto"/>
                <w:sz w:val="28"/>
              </w:rPr>
            </w:pPr>
            <w:r>
              <w:rPr>
                <w:rFonts w:hint="default" w:ascii="Times New Roman" w:hAnsi="Times New Roman" w:eastAsia="黑体" w:cs="Times New Roman"/>
                <w:b/>
                <w:bCs/>
                <w:color w:val="auto"/>
                <w:sz w:val="28"/>
              </w:rPr>
              <w:t>主要环境保护目标(列出名单及保护级别)：</w:t>
            </w:r>
          </w:p>
          <w:p>
            <w:pPr>
              <w:spacing w:line="360" w:lineRule="auto"/>
              <w:ind w:firstLine="480" w:firstLineChars="200"/>
              <w:rPr>
                <w:rFonts w:hint="default" w:ascii="Times New Roman" w:hAnsi="Times New Roman" w:cs="Times New Roman"/>
                <w:bCs/>
                <w:color w:val="auto"/>
                <w:kern w:val="24"/>
                <w:sz w:val="24"/>
              </w:rPr>
            </w:pPr>
            <w:r>
              <w:rPr>
                <w:rFonts w:hint="default" w:ascii="Times New Roman" w:hAnsi="Times New Roman" w:cs="Times New Roman"/>
                <w:bCs/>
                <w:color w:val="auto"/>
                <w:kern w:val="24"/>
                <w:sz w:val="24"/>
              </w:rPr>
              <w:t>项目位于</w:t>
            </w:r>
            <w:r>
              <w:rPr>
                <w:rFonts w:hint="default" w:ascii="Times New Roman" w:hAnsi="Times New Roman" w:cs="Times New Roman"/>
                <w:color w:val="auto"/>
                <w:sz w:val="24"/>
              </w:rPr>
              <w:t>新疆昌吉州呼图壁县工业园区新疆鲁兴化工有限公司院内</w:t>
            </w:r>
            <w:r>
              <w:rPr>
                <w:rFonts w:hint="default" w:ascii="Times New Roman" w:hAnsi="Times New Roman" w:cs="Times New Roman"/>
                <w:bCs/>
                <w:color w:val="auto"/>
                <w:kern w:val="24"/>
                <w:sz w:val="24"/>
              </w:rPr>
              <w:t>。</w:t>
            </w:r>
            <w:r>
              <w:rPr>
                <w:rFonts w:hint="default" w:ascii="Times New Roman" w:hAnsi="Times New Roman" w:cs="Times New Roman"/>
                <w:color w:val="auto"/>
                <w:sz w:val="24"/>
              </w:rPr>
              <w:t>项目地理坐标为N44°15′57″，E86°34′53″</w:t>
            </w:r>
            <w:r>
              <w:rPr>
                <w:rFonts w:hint="default" w:ascii="Times New Roman" w:hAnsi="Times New Roman" w:cs="Times New Roman"/>
                <w:bCs/>
                <w:color w:val="auto"/>
                <w:kern w:val="24"/>
                <w:sz w:val="24"/>
              </w:rPr>
              <w:t>。本项目北隔横二路为新疆锦弘镁合金有限公司，南与新疆瑞成气体有限公司相邻，东隔规划路为新疆天玑钢构钢结构加工厂，西与新疆鑫邦石化有限公司相邻。</w:t>
            </w:r>
            <w:r>
              <w:rPr>
                <w:rFonts w:hint="default" w:ascii="Times New Roman" w:hAnsi="Times New Roman" w:cs="Times New Roman"/>
                <w:color w:val="auto"/>
                <w:sz w:val="24"/>
              </w:rPr>
              <w:t>评价范围内无自然保护区、风景旅游点和文物古迹等需要特殊保护对象，</w:t>
            </w:r>
            <w:r>
              <w:rPr>
                <w:rFonts w:hint="default" w:ascii="Times New Roman" w:hAnsi="Times New Roman" w:cs="Times New Roman"/>
                <w:bCs/>
                <w:color w:val="auto"/>
                <w:kern w:val="24"/>
                <w:sz w:val="24"/>
              </w:rPr>
              <w:t>根据本项目排污特点及标准和外环境特征确定环境保护目标如下：</w:t>
            </w:r>
          </w:p>
          <w:p>
            <w:pPr>
              <w:spacing w:line="360" w:lineRule="auto"/>
              <w:ind w:firstLine="480" w:firstLineChars="200"/>
              <w:rPr>
                <w:rFonts w:hint="default" w:ascii="Times New Roman" w:hAnsi="Times New Roman" w:cs="Times New Roman"/>
                <w:bCs/>
                <w:color w:val="auto"/>
                <w:kern w:val="24"/>
                <w:sz w:val="24"/>
              </w:rPr>
            </w:pPr>
            <w:r>
              <w:rPr>
                <w:rFonts w:hint="default" w:ascii="Times New Roman" w:hAnsi="Times New Roman" w:cs="Times New Roman"/>
                <w:bCs/>
                <w:color w:val="auto"/>
                <w:kern w:val="24"/>
                <w:sz w:val="24"/>
              </w:rPr>
              <w:t>1</w:t>
            </w:r>
            <w:r>
              <w:rPr>
                <w:rFonts w:hint="default" w:ascii="Times New Roman" w:hAnsi="Times New Roman" w:cs="Times New Roman"/>
                <w:color w:val="auto"/>
                <w:kern w:val="0"/>
                <w:sz w:val="24"/>
              </w:rPr>
              <w:t>．</w:t>
            </w:r>
            <w:r>
              <w:rPr>
                <w:rFonts w:hint="default" w:ascii="Times New Roman" w:hAnsi="Times New Roman" w:cs="Times New Roman"/>
                <w:bCs/>
                <w:color w:val="auto"/>
                <w:kern w:val="24"/>
                <w:sz w:val="24"/>
              </w:rPr>
              <w:t xml:space="preserve">大气环境：本项目所在区域的环境空气质量满足《环境空气质量标准》（GB3095－2012）中的二级标准要求； </w:t>
            </w:r>
          </w:p>
          <w:p>
            <w:pPr>
              <w:spacing w:line="360" w:lineRule="auto"/>
              <w:ind w:firstLine="480" w:firstLineChars="200"/>
              <w:rPr>
                <w:rFonts w:hint="default" w:ascii="Times New Roman" w:hAnsi="Times New Roman" w:cs="Times New Roman"/>
                <w:bCs/>
                <w:color w:val="auto"/>
                <w:kern w:val="24"/>
                <w:sz w:val="24"/>
              </w:rPr>
            </w:pPr>
            <w:r>
              <w:rPr>
                <w:rFonts w:hint="default" w:ascii="Times New Roman" w:hAnsi="Times New Roman" w:cs="Times New Roman"/>
                <w:bCs/>
                <w:color w:val="auto"/>
                <w:kern w:val="24"/>
                <w:sz w:val="24"/>
              </w:rPr>
              <w:t>2</w:t>
            </w:r>
            <w:r>
              <w:rPr>
                <w:rFonts w:hint="default" w:ascii="Times New Roman" w:hAnsi="Times New Roman" w:cs="Times New Roman"/>
                <w:color w:val="auto"/>
                <w:kern w:val="0"/>
                <w:sz w:val="24"/>
              </w:rPr>
              <w:t>．</w:t>
            </w:r>
            <w:r>
              <w:rPr>
                <w:rFonts w:hint="default" w:ascii="Times New Roman" w:hAnsi="Times New Roman" w:cs="Times New Roman"/>
                <w:bCs/>
                <w:color w:val="auto"/>
                <w:kern w:val="24"/>
                <w:sz w:val="24"/>
              </w:rPr>
              <w:t xml:space="preserve">声环境：通过减振、隔声等措施，保护目标主要是区域声环境质量应达到国家《声环境质量标准》（GB3096-2008）规定3类标准； </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kern w:val="0"/>
                <w:sz w:val="24"/>
              </w:rPr>
              <w:t>3．水环境：项目生活污水经厂区化粪池预处理后</w:t>
            </w:r>
            <w:r>
              <w:rPr>
                <w:rFonts w:hint="default" w:ascii="Times New Roman" w:hAnsi="Times New Roman" w:cs="Times New Roman"/>
                <w:snapToGrid w:val="0"/>
                <w:color w:val="auto"/>
                <w:sz w:val="24"/>
              </w:rPr>
              <w:t>排入呼图壁县工业园下水管网，最终进入</w:t>
            </w:r>
            <w:r>
              <w:rPr>
                <w:rFonts w:hint="default" w:ascii="Times New Roman" w:hAnsi="Times New Roman" w:cs="Times New Roman"/>
                <w:color w:val="auto"/>
                <w:sz w:val="24"/>
              </w:rPr>
              <w:t>呼图壁县工业园污水处理厂</w:t>
            </w:r>
            <w:r>
              <w:rPr>
                <w:rFonts w:hint="default" w:ascii="Times New Roman" w:hAnsi="Times New Roman" w:cs="Times New Roman"/>
                <w:color w:val="auto"/>
                <w:kern w:val="0"/>
                <w:sz w:val="24"/>
              </w:rPr>
              <w:t>，</w:t>
            </w:r>
            <w:r>
              <w:rPr>
                <w:rFonts w:hint="default" w:ascii="Times New Roman" w:hAnsi="Times New Roman" w:cs="Times New Roman"/>
                <w:color w:val="auto"/>
                <w:sz w:val="24"/>
              </w:rPr>
              <w:t>保证项目所在地地下水达到《地下水质量标准》（GB/T14848-93）Ⅲ类标准。</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kern w:val="0"/>
                <w:sz w:val="24"/>
              </w:rPr>
              <w:t>4．妥善处理本项目产生的固体废弃物，避免对所在区域环境造成影响，保证项目区环境不因本项目建设而降低等级。</w:t>
            </w:r>
          </w:p>
          <w:p>
            <w:pPr>
              <w:pStyle w:val="20"/>
              <w:spacing w:after="0" w:line="240" w:lineRule="auto"/>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表1</w:t>
            </w:r>
            <w:r>
              <w:rPr>
                <w:rFonts w:hint="eastAsia" w:cs="Times New Roman"/>
                <w:b/>
                <w:bCs/>
                <w:color w:val="auto"/>
                <w:szCs w:val="21"/>
                <w:lang w:val="en-US" w:eastAsia="zh-CN"/>
              </w:rPr>
              <w:t>3</w:t>
            </w:r>
            <w:r>
              <w:rPr>
                <w:rFonts w:hint="default" w:ascii="Times New Roman" w:hAnsi="Times New Roman" w:cs="Times New Roman"/>
                <w:b/>
                <w:bCs/>
                <w:color w:val="auto"/>
                <w:szCs w:val="21"/>
              </w:rPr>
              <w:t xml:space="preserve"> 项目周边环境保护目标一览表</w:t>
            </w:r>
          </w:p>
          <w:tbl>
            <w:tblPr>
              <w:tblStyle w:val="33"/>
              <w:tblW w:w="8504" w:type="dxa"/>
              <w:jc w:val="center"/>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3"/>
              <w:gridCol w:w="1271"/>
              <w:gridCol w:w="765"/>
              <w:gridCol w:w="754"/>
              <w:gridCol w:w="1276"/>
              <w:gridCol w:w="820"/>
              <w:gridCol w:w="973"/>
              <w:gridCol w:w="758"/>
              <w:gridCol w:w="974"/>
            </w:tblGrid>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913" w:type="dxa"/>
                  <w:vMerge w:val="restart"/>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保护内容</w:t>
                  </w:r>
                </w:p>
              </w:tc>
              <w:tc>
                <w:tcPr>
                  <w:tcW w:w="1271" w:type="dxa"/>
                  <w:vMerge w:val="restart"/>
                  <w:vAlign w:val="center"/>
                </w:tcPr>
                <w:p>
                  <w:pPr>
                    <w:pStyle w:val="84"/>
                    <w:widowControl w:val="0"/>
                    <w:adjustRightInd/>
                    <w:rPr>
                      <w:rFonts w:hint="default" w:ascii="Times New Roman" w:hAnsi="Times New Roman" w:cs="Times New Roman"/>
                      <w:b/>
                      <w:bCs/>
                      <w:color w:val="auto"/>
                      <w:spacing w:val="-2"/>
                      <w:kern w:val="10"/>
                      <w:lang w:bidi="he-IL"/>
                    </w:rPr>
                  </w:pPr>
                  <w:r>
                    <w:rPr>
                      <w:rFonts w:hint="default" w:ascii="Times New Roman" w:hAnsi="Times New Roman" w:cs="Times New Roman"/>
                      <w:b/>
                      <w:bCs/>
                      <w:color w:val="auto"/>
                      <w:spacing w:val="-2"/>
                      <w:kern w:val="10"/>
                      <w:lang w:bidi="he-IL"/>
                    </w:rPr>
                    <w:t>名称</w:t>
                  </w:r>
                </w:p>
              </w:tc>
              <w:tc>
                <w:tcPr>
                  <w:tcW w:w="1519" w:type="dxa"/>
                  <w:gridSpan w:val="2"/>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坐标</w:t>
                  </w:r>
                </w:p>
              </w:tc>
              <w:tc>
                <w:tcPr>
                  <w:tcW w:w="1276" w:type="dxa"/>
                  <w:vMerge w:val="restart"/>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保护对象</w:t>
                  </w:r>
                </w:p>
              </w:tc>
              <w:tc>
                <w:tcPr>
                  <w:tcW w:w="820"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相对厂址方位</w:t>
                  </w:r>
                </w:p>
              </w:tc>
              <w:tc>
                <w:tcPr>
                  <w:tcW w:w="973"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相对厂界距离/m</w:t>
                  </w:r>
                </w:p>
              </w:tc>
              <w:tc>
                <w:tcPr>
                  <w:tcW w:w="758" w:type="dxa"/>
                  <w:vMerge w:val="restar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人口</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w:t>
                  </w:r>
                </w:p>
              </w:tc>
              <w:tc>
                <w:tcPr>
                  <w:tcW w:w="974" w:type="dxa"/>
                  <w:vMerge w:val="restart"/>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保护级别</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3" w:hRule="atLeast"/>
                <w:jc w:val="center"/>
              </w:trPr>
              <w:tc>
                <w:tcPr>
                  <w:tcW w:w="913" w:type="dxa"/>
                  <w:vMerge w:val="continue"/>
                  <w:vAlign w:val="center"/>
                </w:tcPr>
                <w:p>
                  <w:pPr>
                    <w:pStyle w:val="84"/>
                    <w:widowControl w:val="0"/>
                    <w:adjustRightInd/>
                    <w:rPr>
                      <w:rFonts w:hint="default" w:ascii="Times New Roman" w:hAnsi="Times New Roman" w:cs="Times New Roman"/>
                      <w:color w:val="auto"/>
                    </w:rPr>
                  </w:pPr>
                </w:p>
              </w:tc>
              <w:tc>
                <w:tcPr>
                  <w:tcW w:w="1271" w:type="dxa"/>
                  <w:vMerge w:val="continue"/>
                  <w:vAlign w:val="center"/>
                </w:tcPr>
                <w:p>
                  <w:pPr>
                    <w:pStyle w:val="84"/>
                    <w:widowControl w:val="0"/>
                    <w:adjustRightInd/>
                    <w:rPr>
                      <w:rFonts w:hint="default" w:ascii="Times New Roman" w:hAnsi="Times New Roman" w:cs="Times New Roman"/>
                      <w:color w:val="auto"/>
                    </w:rPr>
                  </w:pPr>
                </w:p>
              </w:tc>
              <w:tc>
                <w:tcPr>
                  <w:tcW w:w="765"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E</w:t>
                  </w:r>
                </w:p>
              </w:tc>
              <w:tc>
                <w:tcPr>
                  <w:tcW w:w="754"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N</w:t>
                  </w:r>
                </w:p>
              </w:tc>
              <w:tc>
                <w:tcPr>
                  <w:tcW w:w="1276" w:type="dxa"/>
                  <w:vMerge w:val="continue"/>
                  <w:vAlign w:val="center"/>
                </w:tcPr>
                <w:p>
                  <w:pPr>
                    <w:pStyle w:val="84"/>
                    <w:widowControl w:val="0"/>
                    <w:adjustRightInd/>
                    <w:rPr>
                      <w:rFonts w:hint="default" w:ascii="Times New Roman" w:hAnsi="Times New Roman" w:cs="Times New Roman"/>
                      <w:color w:val="auto"/>
                    </w:rPr>
                  </w:pPr>
                </w:p>
              </w:tc>
              <w:tc>
                <w:tcPr>
                  <w:tcW w:w="820" w:type="dxa"/>
                  <w:vMerge w:val="continue"/>
                  <w:vAlign w:val="center"/>
                </w:tcPr>
                <w:p>
                  <w:pPr>
                    <w:pStyle w:val="84"/>
                    <w:widowControl w:val="0"/>
                    <w:adjustRightInd/>
                    <w:rPr>
                      <w:rFonts w:hint="default" w:ascii="Times New Roman" w:hAnsi="Times New Roman" w:cs="Times New Roman"/>
                      <w:color w:val="auto"/>
                    </w:rPr>
                  </w:pPr>
                </w:p>
              </w:tc>
              <w:tc>
                <w:tcPr>
                  <w:tcW w:w="973" w:type="dxa"/>
                  <w:vMerge w:val="continue"/>
                  <w:vAlign w:val="center"/>
                </w:tcPr>
                <w:p>
                  <w:pPr>
                    <w:pStyle w:val="84"/>
                    <w:widowControl w:val="0"/>
                    <w:adjustRightInd/>
                    <w:rPr>
                      <w:rFonts w:hint="default" w:ascii="Times New Roman" w:hAnsi="Times New Roman" w:cs="Times New Roman"/>
                      <w:color w:val="auto"/>
                    </w:rPr>
                  </w:pPr>
                </w:p>
              </w:tc>
              <w:tc>
                <w:tcPr>
                  <w:tcW w:w="758" w:type="dxa"/>
                  <w:vMerge w:val="continue"/>
                  <w:vAlign w:val="center"/>
                </w:tcPr>
                <w:p>
                  <w:pPr>
                    <w:pStyle w:val="84"/>
                    <w:widowControl w:val="0"/>
                    <w:adjustRightInd/>
                    <w:rPr>
                      <w:rFonts w:hint="default" w:ascii="Times New Roman" w:hAnsi="Times New Roman" w:cs="Times New Roman"/>
                      <w:color w:val="auto"/>
                    </w:rPr>
                  </w:pPr>
                </w:p>
              </w:tc>
              <w:tc>
                <w:tcPr>
                  <w:tcW w:w="974" w:type="dxa"/>
                  <w:vMerge w:val="continue"/>
                  <w:vAlign w:val="center"/>
                </w:tcPr>
                <w:p>
                  <w:pPr>
                    <w:pStyle w:val="84"/>
                    <w:widowControl w:val="0"/>
                    <w:adjustRightInd/>
                    <w:rPr>
                      <w:rFonts w:hint="default" w:ascii="Times New Roman" w:hAnsi="Times New Roman" w:cs="Times New Roman"/>
                      <w:color w:val="auto"/>
                    </w:rPr>
                  </w:pP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913" w:type="dxa"/>
                  <w:vMerge w:val="restart"/>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环境</w:t>
                  </w:r>
                </w:p>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空气、</w:t>
                  </w:r>
                </w:p>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环境风险</w:t>
                  </w:r>
                </w:p>
              </w:tc>
              <w:tc>
                <w:tcPr>
                  <w:tcW w:w="1271"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十八户村四组</w:t>
                  </w:r>
                </w:p>
              </w:tc>
              <w:tc>
                <w:tcPr>
                  <w:tcW w:w="765"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86.555110</w:t>
                  </w:r>
                </w:p>
              </w:tc>
              <w:tc>
                <w:tcPr>
                  <w:tcW w:w="754"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44.268741</w:t>
                  </w:r>
                </w:p>
              </w:tc>
              <w:tc>
                <w:tcPr>
                  <w:tcW w:w="1276"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居民</w:t>
                  </w:r>
                </w:p>
              </w:tc>
              <w:tc>
                <w:tcPr>
                  <w:tcW w:w="820"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w:t>
                  </w:r>
                </w:p>
              </w:tc>
              <w:tc>
                <w:tcPr>
                  <w:tcW w:w="97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2200</w:t>
                  </w:r>
                </w:p>
              </w:tc>
              <w:tc>
                <w:tcPr>
                  <w:tcW w:w="758"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25</w:t>
                  </w:r>
                </w:p>
              </w:tc>
              <w:tc>
                <w:tcPr>
                  <w:tcW w:w="974" w:type="dxa"/>
                  <w:vMerge w:val="restart"/>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《环境空气质量标准》</w:t>
                  </w:r>
                </w:p>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（GB3095-2012） 二级</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3" w:hRule="atLeast"/>
                <w:jc w:val="center"/>
              </w:trPr>
              <w:tc>
                <w:tcPr>
                  <w:tcW w:w="913" w:type="dxa"/>
                  <w:vMerge w:val="continue"/>
                  <w:vAlign w:val="center"/>
                </w:tcPr>
                <w:p>
                  <w:pPr>
                    <w:pStyle w:val="84"/>
                    <w:widowControl w:val="0"/>
                    <w:adjustRightInd/>
                    <w:rPr>
                      <w:rFonts w:hint="default" w:ascii="Times New Roman" w:hAnsi="Times New Roman" w:cs="Times New Roman"/>
                      <w:color w:val="auto"/>
                    </w:rPr>
                  </w:pPr>
                </w:p>
              </w:tc>
              <w:tc>
                <w:tcPr>
                  <w:tcW w:w="1271"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永丰四队</w:t>
                  </w:r>
                </w:p>
              </w:tc>
              <w:tc>
                <w:tcPr>
                  <w:tcW w:w="765"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86.554538</w:t>
                  </w:r>
                </w:p>
              </w:tc>
              <w:tc>
                <w:tcPr>
                  <w:tcW w:w="754"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44.267177</w:t>
                  </w:r>
                </w:p>
              </w:tc>
              <w:tc>
                <w:tcPr>
                  <w:tcW w:w="1276"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居民</w:t>
                  </w:r>
                </w:p>
              </w:tc>
              <w:tc>
                <w:tcPr>
                  <w:tcW w:w="820"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WS</w:t>
                  </w:r>
                </w:p>
              </w:tc>
              <w:tc>
                <w:tcPr>
                  <w:tcW w:w="97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2310</w:t>
                  </w:r>
                </w:p>
              </w:tc>
              <w:tc>
                <w:tcPr>
                  <w:tcW w:w="758"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30</w:t>
                  </w:r>
                </w:p>
              </w:tc>
              <w:tc>
                <w:tcPr>
                  <w:tcW w:w="974" w:type="dxa"/>
                  <w:vMerge w:val="continue"/>
                  <w:vAlign w:val="center"/>
                </w:tcPr>
                <w:p>
                  <w:pPr>
                    <w:pStyle w:val="84"/>
                    <w:widowControl w:val="0"/>
                    <w:adjustRightInd/>
                    <w:rPr>
                      <w:rFonts w:hint="default" w:ascii="Times New Roman" w:hAnsi="Times New Roman" w:cs="Times New Roman"/>
                      <w:color w:val="auto"/>
                    </w:rPr>
                  </w:pP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91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地下水</w:t>
                  </w:r>
                </w:p>
              </w:tc>
              <w:tc>
                <w:tcPr>
                  <w:tcW w:w="2790" w:type="dxa"/>
                  <w:gridSpan w:val="3"/>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项目地下水环境</w:t>
                  </w:r>
                </w:p>
              </w:tc>
              <w:tc>
                <w:tcPr>
                  <w:tcW w:w="1276"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评价范围内浅层地下水</w:t>
                  </w:r>
                </w:p>
              </w:tc>
              <w:tc>
                <w:tcPr>
                  <w:tcW w:w="820"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97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758"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974"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Ⅲ类</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1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声环境</w:t>
                  </w:r>
                </w:p>
              </w:tc>
              <w:tc>
                <w:tcPr>
                  <w:tcW w:w="2790" w:type="dxa"/>
                  <w:gridSpan w:val="3"/>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项目声环境</w:t>
                  </w:r>
                </w:p>
              </w:tc>
              <w:tc>
                <w:tcPr>
                  <w:tcW w:w="1276"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8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7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58"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974"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3类</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PrEx>
              <w:trPr>
                <w:trHeight w:val="590" w:hRule="atLeast"/>
                <w:jc w:val="center"/>
              </w:trPr>
              <w:tc>
                <w:tcPr>
                  <w:tcW w:w="913"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生态</w:t>
                  </w:r>
                </w:p>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环境</w:t>
                  </w:r>
                </w:p>
              </w:tc>
              <w:tc>
                <w:tcPr>
                  <w:tcW w:w="2790" w:type="dxa"/>
                  <w:gridSpan w:val="3"/>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区域生态环境包括区域土壤环境、动植物生境等</w:t>
                  </w:r>
                </w:p>
              </w:tc>
              <w:tc>
                <w:tcPr>
                  <w:tcW w:w="1276"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土壤、动植物生境等</w:t>
                  </w:r>
                </w:p>
              </w:tc>
              <w:tc>
                <w:tcPr>
                  <w:tcW w:w="820"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973"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758" w:type="dxa"/>
                  <w:vAlign w:val="center"/>
                </w:tcPr>
                <w:p>
                  <w:pPr>
                    <w:pStyle w:val="84"/>
                    <w:widowControl w:val="0"/>
                    <w:adjustRightInd/>
                    <w:rPr>
                      <w:rFonts w:hint="default" w:ascii="Times New Roman" w:hAnsi="Times New Roman" w:cs="Times New Roman"/>
                      <w:color w:val="auto"/>
                    </w:rPr>
                  </w:pPr>
                  <w:r>
                    <w:rPr>
                      <w:rFonts w:hint="default" w:ascii="Times New Roman" w:hAnsi="Times New Roman" w:cs="Times New Roman"/>
                      <w:color w:val="auto"/>
                    </w:rPr>
                    <w:t>/</w:t>
                  </w:r>
                </w:p>
              </w:tc>
              <w:tc>
                <w:tcPr>
                  <w:tcW w:w="974" w:type="dxa"/>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bl>
          <w:p>
            <w:pPr>
              <w:spacing w:line="360" w:lineRule="auto"/>
              <w:rPr>
                <w:rFonts w:hint="default" w:ascii="Times New Roman" w:hAnsi="Times New Roman" w:cs="Times New Roman"/>
                <w:color w:val="auto"/>
                <w:sz w:val="24"/>
              </w:rPr>
            </w:pPr>
          </w:p>
        </w:tc>
      </w:tr>
    </w:tbl>
    <w:p>
      <w:pPr>
        <w:rPr>
          <w:rFonts w:hint="default" w:ascii="Times New Roman" w:hAnsi="Times New Roman" w:eastAsia="黑体" w:cs="Times New Roman"/>
          <w:b/>
          <w:color w:val="auto"/>
          <w:sz w:val="30"/>
        </w:rPr>
      </w:pPr>
      <w:r>
        <w:rPr>
          <w:rFonts w:hint="default" w:ascii="Times New Roman" w:hAnsi="Times New Roman" w:eastAsia="黑体" w:cs="Times New Roman"/>
          <w:b/>
          <w:color w:val="auto"/>
          <w:sz w:val="30"/>
        </w:rPr>
        <w:t>评价适用标准</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8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0" w:hRule="atLeast"/>
          <w:jc w:val="center"/>
        </w:trPr>
        <w:tc>
          <w:tcPr>
            <w:tcW w:w="826" w:type="dxa"/>
            <w:vAlign w:val="center"/>
          </w:tcPr>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环</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境</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质</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量</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标</w:t>
            </w:r>
          </w:p>
          <w:p>
            <w:pPr>
              <w:spacing w:line="360" w:lineRule="auto"/>
              <w:jc w:val="center"/>
              <w:rPr>
                <w:rFonts w:hint="default" w:ascii="Times New Roman" w:hAnsi="Times New Roman" w:eastAsia="仿宋_GB2312" w:cs="Times New Roman"/>
                <w:color w:val="auto"/>
                <w:sz w:val="28"/>
              </w:rPr>
            </w:pPr>
            <w:r>
              <w:rPr>
                <w:rFonts w:hint="default" w:ascii="Times New Roman" w:hAnsi="Times New Roman" w:cs="Times New Roman"/>
                <w:color w:val="auto"/>
                <w:sz w:val="28"/>
              </w:rPr>
              <w:t>准</w:t>
            </w:r>
          </w:p>
        </w:tc>
        <w:tc>
          <w:tcPr>
            <w:tcW w:w="8239" w:type="dxa"/>
            <w:vAlign w:val="center"/>
          </w:tcPr>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《环境空气质量标准》（GB3095-2012）中二级标准；</w:t>
            </w:r>
          </w:p>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 《地下水质量标准》（GB8978-1993）的Ⅲ类标准；</w:t>
            </w: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3《声环境质量标准》（GB3096-2008）中3类标准值;</w:t>
            </w: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4 《土壤环境质量 建设用地土壤污染风险管控标准（试行）》（GB36600-2018）第二类建设用地土壤污染风险筛选值。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vAlign w:val="center"/>
          </w:tcPr>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污</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染</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物</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排</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放</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标</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准</w:t>
            </w:r>
          </w:p>
        </w:tc>
        <w:tc>
          <w:tcPr>
            <w:tcW w:w="8239" w:type="dxa"/>
            <w:vAlign w:val="center"/>
          </w:tcPr>
          <w:p>
            <w:pPr>
              <w:pStyle w:val="19"/>
              <w:spacing w:line="360" w:lineRule="auto"/>
              <w:ind w:right="-42"/>
              <w:rPr>
                <w:rFonts w:hint="default" w:ascii="Times New Roman" w:hAnsi="Times New Roman" w:cs="Times New Roman"/>
                <w:color w:val="auto"/>
                <w:sz w:val="24"/>
                <w:szCs w:val="24"/>
                <w:lang w:val="zh-CN"/>
              </w:rPr>
            </w:pPr>
            <w:r>
              <w:rPr>
                <w:rFonts w:hint="default" w:ascii="Times New Roman" w:hAnsi="Times New Roman" w:cs="Times New Roman"/>
                <w:color w:val="auto"/>
                <w:sz w:val="24"/>
                <w:szCs w:val="24"/>
              </w:rPr>
              <w:t>1</w:t>
            </w:r>
            <w:r>
              <w:rPr>
                <w:rFonts w:hint="default" w:ascii="Times New Roman" w:hAnsi="Times New Roman" w:cs="Times New Roman"/>
                <w:color w:val="auto"/>
                <w:sz w:val="24"/>
                <w:szCs w:val="24"/>
                <w:lang w:val="zh-CN"/>
              </w:rPr>
              <w:t xml:space="preserve"> 《石油化学工业污染物排放标准》(GB31571-2015)中表7中非甲烷总烃的标准限值</w:t>
            </w:r>
            <w:r>
              <w:rPr>
                <w:rFonts w:hint="default" w:ascii="Times New Roman" w:hAnsi="Times New Roman" w:cs="Times New Roman"/>
                <w:color w:val="auto"/>
                <w:sz w:val="24"/>
                <w:szCs w:val="24"/>
              </w:rPr>
              <w:t>;</w:t>
            </w:r>
          </w:p>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2《挥发性有机物无组织排放控制标准》（GB37822-2019）中相关标准;</w:t>
            </w:r>
          </w:p>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ascii="Times New Roman" w:hAnsi="Times New Roman" w:cs="Times New Roman"/>
                <w:snapToGrid w:val="0"/>
                <w:color w:val="auto"/>
                <w:kern w:val="0"/>
                <w:sz w:val="24"/>
              </w:rPr>
              <w:t>《饮食业油烟排放标准》（GB18483-2001）;</w:t>
            </w:r>
          </w:p>
          <w:p>
            <w:pPr>
              <w:pStyle w:val="19"/>
              <w:spacing w:line="360" w:lineRule="auto"/>
              <w:ind w:right="-42"/>
              <w:rPr>
                <w:rFonts w:hint="default" w:ascii="Times New Roman" w:hAnsi="Times New Roman" w:cs="Times New Roman"/>
                <w:color w:val="auto"/>
                <w:sz w:val="24"/>
                <w:szCs w:val="24"/>
                <w:lang w:val="zh-CN"/>
              </w:rPr>
            </w:pPr>
            <w:r>
              <w:rPr>
                <w:rFonts w:hint="default" w:ascii="Times New Roman" w:hAnsi="Times New Roman" w:cs="Times New Roman"/>
                <w:color w:val="auto"/>
                <w:sz w:val="24"/>
                <w:szCs w:val="24"/>
              </w:rPr>
              <w:t>4</w:t>
            </w:r>
            <w:r>
              <w:rPr>
                <w:rFonts w:hint="default" w:ascii="Times New Roman" w:hAnsi="Times New Roman" w:cs="Times New Roman"/>
                <w:color w:val="auto"/>
                <w:sz w:val="24"/>
                <w:szCs w:val="24"/>
                <w:lang w:val="zh-CN"/>
              </w:rPr>
              <w:t>《污水综合排放标准》（GB8978-1996）中三级标准；</w:t>
            </w:r>
          </w:p>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5《工业企业厂界环境噪声排放标准》（GB12348-2008）中3类声环境功能区环境噪声排放限值标准；</w:t>
            </w:r>
          </w:p>
          <w:p>
            <w:pPr>
              <w:pStyle w:val="19"/>
              <w:spacing w:line="360" w:lineRule="auto"/>
              <w:ind w:right="-42"/>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6《一般工业固体废物贮存、处置场污染控制标准》（GB18599-2001）中及修改单标准。</w:t>
            </w:r>
          </w:p>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6" w:hRule="atLeast"/>
          <w:jc w:val="center"/>
        </w:trPr>
        <w:tc>
          <w:tcPr>
            <w:tcW w:w="826" w:type="dxa"/>
            <w:vAlign w:val="center"/>
          </w:tcPr>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总</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量</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控</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制</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指</w:t>
            </w:r>
          </w:p>
          <w:p>
            <w:pPr>
              <w:spacing w:line="360" w:lineRule="auto"/>
              <w:jc w:val="center"/>
              <w:rPr>
                <w:rFonts w:hint="default" w:ascii="Times New Roman" w:hAnsi="Times New Roman" w:cs="Times New Roman"/>
                <w:color w:val="auto"/>
                <w:sz w:val="28"/>
              </w:rPr>
            </w:pPr>
            <w:r>
              <w:rPr>
                <w:rFonts w:hint="default" w:ascii="Times New Roman" w:hAnsi="Times New Roman" w:cs="Times New Roman"/>
                <w:color w:val="auto"/>
                <w:sz w:val="28"/>
              </w:rPr>
              <w:t>标</w:t>
            </w:r>
          </w:p>
        </w:tc>
        <w:tc>
          <w:tcPr>
            <w:tcW w:w="8239" w:type="dxa"/>
            <w:vAlign w:val="center"/>
          </w:tcPr>
          <w:p>
            <w:pPr>
              <w:adjustRightInd w:val="0"/>
              <w:snapToGrid w:val="0"/>
              <w:spacing w:line="360" w:lineRule="auto"/>
              <w:ind w:firstLine="420" w:firstLineChars="200"/>
              <w:rPr>
                <w:rFonts w:hint="default" w:ascii="Times New Roman" w:hAnsi="Times New Roman" w:cs="Times New Roman"/>
                <w:color w:val="auto"/>
                <w:lang w:val="fr-FR"/>
              </w:rPr>
            </w:pPr>
          </w:p>
          <w:p>
            <w:pPr>
              <w:adjustRightInd w:val="0"/>
              <w:snapToGrid w:val="0"/>
              <w:spacing w:line="360" w:lineRule="auto"/>
              <w:ind w:firstLine="420" w:firstLineChars="200"/>
              <w:rPr>
                <w:rFonts w:hint="default" w:ascii="Times New Roman" w:hAnsi="Times New Roman" w:cs="Times New Roman"/>
                <w:color w:val="auto"/>
                <w:lang w:val="fr-FR"/>
              </w:rPr>
            </w:pPr>
          </w:p>
          <w:p>
            <w:pPr>
              <w:adjustRightInd w:val="0"/>
              <w:snapToGrid w:val="0"/>
              <w:spacing w:line="360" w:lineRule="auto"/>
              <w:ind w:firstLine="420" w:firstLineChars="200"/>
              <w:rPr>
                <w:rFonts w:hint="default" w:ascii="Times New Roman" w:hAnsi="Times New Roman" w:cs="Times New Roman"/>
                <w:color w:val="auto"/>
                <w:lang w:val="fr-FR"/>
              </w:rPr>
            </w:pPr>
          </w:p>
          <w:p>
            <w:pPr>
              <w:adjustRightInd w:val="0"/>
              <w:snapToGrid w:val="0"/>
              <w:spacing w:line="360" w:lineRule="auto"/>
              <w:ind w:firstLine="420" w:firstLineChars="200"/>
              <w:rPr>
                <w:rFonts w:hint="default" w:ascii="Times New Roman" w:hAnsi="Times New Roman" w:cs="Times New Roman"/>
                <w:color w:val="auto"/>
                <w:lang w:val="fr-FR"/>
              </w:rPr>
            </w:pPr>
          </w:p>
          <w:p>
            <w:pPr>
              <w:adjustRightInd w:val="0"/>
              <w:snapToGrid w:val="0"/>
              <w:spacing w:line="360" w:lineRule="auto"/>
              <w:ind w:firstLine="420" w:firstLineChars="200"/>
              <w:rPr>
                <w:rFonts w:hint="default" w:ascii="Times New Roman" w:hAnsi="Times New Roman" w:cs="Times New Roman"/>
                <w:color w:val="auto"/>
                <w:lang w:val="fr-FR"/>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根据国家“十三五”总量控制水平，考虑本项目的排污特点，本项目特征污染物为VOC</w:t>
            </w:r>
            <w:r>
              <w:rPr>
                <w:rFonts w:hint="default" w:ascii="Times New Roman" w:hAnsi="Times New Roman" w:cs="Times New Roman"/>
                <w:color w:val="auto"/>
                <w:sz w:val="24"/>
                <w:szCs w:val="24"/>
                <w:vertAlign w:val="subscript"/>
                <w:lang w:val="en-US" w:eastAsia="zh-CN"/>
              </w:rPr>
              <w:t>S</w:t>
            </w:r>
            <w:r>
              <w:rPr>
                <w:rFonts w:hint="default" w:ascii="Times New Roman" w:hAnsi="Times New Roman" w:cs="Times New Roman"/>
                <w:color w:val="auto"/>
                <w:sz w:val="24"/>
                <w:szCs w:val="24"/>
              </w:rPr>
              <w:t>。建议设置总量指标为：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VOC</w:t>
            </w:r>
            <w:r>
              <w:rPr>
                <w:rFonts w:hint="default" w:ascii="Times New Roman" w:hAnsi="Times New Roman" w:cs="Times New Roman"/>
                <w:color w:val="auto"/>
                <w:sz w:val="24"/>
                <w:szCs w:val="24"/>
                <w:vertAlign w:val="subscript"/>
                <w:lang w:val="en-US" w:eastAsia="zh-CN"/>
              </w:rPr>
              <w:t>S</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0.275</w:t>
            </w:r>
            <w:r>
              <w:rPr>
                <w:rFonts w:hint="default" w:ascii="Times New Roman" w:hAnsi="Times New Roman" w:cs="Times New Roman"/>
                <w:color w:val="auto"/>
                <w:sz w:val="24"/>
                <w:szCs w:val="24"/>
              </w:rPr>
              <w:t>t/a。</w:t>
            </w:r>
          </w:p>
          <w:p>
            <w:pPr>
              <w:pStyle w:val="4"/>
              <w:rPr>
                <w:rFonts w:hint="default" w:ascii="Times New Roman" w:hAnsi="Times New Roman" w:cs="Times New Roman"/>
                <w:color w:val="auto"/>
              </w:rPr>
            </w:pPr>
          </w:p>
        </w:tc>
      </w:tr>
    </w:tbl>
    <w:p>
      <w:pPr>
        <w:rPr>
          <w:rFonts w:hint="default" w:ascii="Times New Roman" w:hAnsi="Times New Roman" w:eastAsia="黑体" w:cs="Times New Roman"/>
          <w:b/>
          <w:color w:val="auto"/>
          <w:sz w:val="30"/>
        </w:rPr>
      </w:pPr>
      <w:r>
        <w:rPr>
          <w:rFonts w:hint="default" w:ascii="Times New Roman" w:hAnsi="Times New Roman" w:eastAsia="仿宋_GB2312" w:cs="Times New Roman"/>
          <w:color w:val="auto"/>
        </w:rPr>
        <w:br w:type="page"/>
      </w:r>
      <w:r>
        <w:rPr>
          <w:rFonts w:hint="default" w:ascii="Times New Roman" w:hAnsi="Times New Roman" w:cs="Times New Roman"/>
          <w:b/>
          <w:color w:val="auto"/>
          <w:sz w:val="28"/>
          <w:szCs w:val="28"/>
        </w:rPr>
        <w:t>建设项目工程分析</w:t>
      </w:r>
    </w:p>
    <w:tbl>
      <w:tblPr>
        <w:tblStyle w:val="33"/>
        <w:tblW w:w="0" w:type="auto"/>
        <w:tblInd w:w="-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4" w:hRule="atLeast"/>
        </w:trPr>
        <w:tc>
          <w:tcPr>
            <w:tcW w:w="8798" w:type="dxa"/>
          </w:tcPr>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1.施工期工程分析</w:t>
            </w:r>
          </w:p>
          <w:p>
            <w:pPr>
              <w:pStyle w:val="12"/>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本项目为技改项目，本项目施工期主要通过对厂区现有罐区内16个储罐（4个2000m³，10个1000m³，2个500m³）进行管道技术改造，新建装卸鹤管至储罐的管道，新建装卸泵及装卸站台，完善储罐利用效率，达到年储存10万m³粗白油的能力。本项目施工期拆除一期安装除储罐区以外废弃设备，设备处理至周边回收站进行回收处理。所以施工期较短，环境影响较小，且施工结束后相关环境影响随之消失，因此不再单独进行分析。</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2.运营期工艺流程及产污环节</w:t>
            </w:r>
          </w:p>
          <w:p>
            <w:pPr>
              <w:pStyle w:val="31"/>
              <w:spacing w:after="0" w:line="360" w:lineRule="auto"/>
              <w:ind w:firstLine="0" w:firstLineChars="0"/>
              <w:rPr>
                <w:rFonts w:hint="default" w:ascii="Times New Roman" w:hAnsi="Times New Roman" w:cs="Times New Roman"/>
                <w:b/>
                <w:bCs/>
                <w:color w:val="auto"/>
                <w:kern w:val="0"/>
                <w:position w:val="10"/>
                <w:sz w:val="24"/>
                <w:szCs w:val="24"/>
              </w:rPr>
            </w:pPr>
            <w:r>
              <w:rPr>
                <w:rFonts w:hint="default" w:ascii="Times New Roman" w:hAnsi="Times New Roman" w:cs="Times New Roman"/>
                <w:b/>
                <w:bCs/>
                <w:color w:val="auto"/>
                <w:kern w:val="0"/>
                <w:position w:val="10"/>
                <w:sz w:val="24"/>
                <w:szCs w:val="24"/>
              </w:rPr>
              <w:t>2.1运营期工艺流程简述</w:t>
            </w:r>
          </w:p>
          <w:p>
            <w:pPr>
              <w:pStyle w:val="31"/>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sz w:val="24"/>
              </w:rPr>
              <mc:AlternateContent>
                <mc:Choice Requires="wps">
                  <w:drawing>
                    <wp:anchor distT="0" distB="0" distL="114300" distR="114300" simplePos="0" relativeHeight="251659264" behindDoc="0" locked="0" layoutInCell="1" allowOverlap="1">
                      <wp:simplePos x="0" y="0"/>
                      <wp:positionH relativeFrom="column">
                        <wp:posOffset>4051300</wp:posOffset>
                      </wp:positionH>
                      <wp:positionV relativeFrom="paragraph">
                        <wp:posOffset>237490</wp:posOffset>
                      </wp:positionV>
                      <wp:extent cx="1017905" cy="296545"/>
                      <wp:effectExtent l="0" t="0" r="0" b="0"/>
                      <wp:wrapNone/>
                      <wp:docPr id="12" name="文本框 757"/>
                      <wp:cNvGraphicFramePr/>
                      <a:graphic xmlns:a="http://schemas.openxmlformats.org/drawingml/2006/main">
                        <a:graphicData uri="http://schemas.microsoft.com/office/word/2010/wordprocessingShape">
                          <wps:wsp>
                            <wps:cNvSpPr txBox="1"/>
                            <wps:spPr>
                              <a:xfrm>
                                <a:off x="0" y="0"/>
                                <a:ext cx="1017905" cy="296545"/>
                              </a:xfrm>
                              <a:prstGeom prst="rect">
                                <a:avLst/>
                              </a:prstGeom>
                              <a:noFill/>
                              <a:ln w="12700">
                                <a:noFill/>
                              </a:ln>
                            </wps:spPr>
                            <wps:txbx>
                              <w:txbxContent>
                                <w:p>
                                  <w:pPr>
                                    <w:jc w:val="center"/>
                                    <w:rPr>
                                      <w:rFonts w:hint="eastAsia"/>
                                      <w:color w:val="auto"/>
                                    </w:rPr>
                                  </w:pPr>
                                  <w:r>
                                    <w:rPr>
                                      <w:rFonts w:hint="default"/>
                                      <w:color w:val="auto"/>
                                    </w:rPr>
                                    <w:t>废气、</w:t>
                                  </w:r>
                                  <w:r>
                                    <w:rPr>
                                      <w:rFonts w:hint="eastAsia"/>
                                      <w:color w:val="auto"/>
                                    </w:rPr>
                                    <w:t>噪声</w:t>
                                  </w:r>
                                </w:p>
                              </w:txbxContent>
                            </wps:txbx>
                            <wps:bodyPr upright="1"/>
                          </wps:wsp>
                        </a:graphicData>
                      </a:graphic>
                    </wp:anchor>
                  </w:drawing>
                </mc:Choice>
                <mc:Fallback>
                  <w:pict>
                    <v:shape id="文本框 757" o:spid="_x0000_s1026" o:spt="202" type="#_x0000_t202" style="position:absolute;left:0pt;margin-left:319pt;margin-top:18.7pt;height:23.35pt;width:80.15pt;z-index:251659264;mso-width-relative:page;mso-height-relative:page;" filled="f" stroked="f" coordsize="21600,21600" o:gfxdata="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hvAQH9kAAAAJAQAADwAAAAAAAAABACAAAAAi&#10;AAAAZHJzL2Rvd25yZXYueG1sUEsBAhQAFAAAAAgAh07iQPvovVWXAQAADQMAAA4AAAAAAAAAAQAg&#10;AAAAKAEAAGRycy9lMm9Eb2MueG1sUEsFBgAAAAAGAAYAWQEAADEFAAAAAA==&#10;">
                      <v:fill on="f" focussize="0,0"/>
                      <v:stroke on="f" weight="1pt"/>
                      <v:imagedata o:title=""/>
                      <o:lock v:ext="edit" aspectratio="f"/>
                      <v:textbox>
                        <w:txbxContent>
                          <w:p>
                            <w:pPr>
                              <w:jc w:val="center"/>
                              <w:rPr>
                                <w:rFonts w:hint="eastAsia"/>
                                <w:color w:val="auto"/>
                              </w:rPr>
                            </w:pPr>
                            <w:r>
                              <w:rPr>
                                <w:rFonts w:hint="default"/>
                                <w:color w:val="auto"/>
                              </w:rPr>
                              <w:t>废气、</w:t>
                            </w:r>
                            <w:r>
                              <w:rPr>
                                <w:rFonts w:hint="eastAsia"/>
                                <w:color w:val="auto"/>
                              </w:rPr>
                              <w:t>噪声</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1312" behindDoc="0" locked="0" layoutInCell="1" allowOverlap="1">
                      <wp:simplePos x="0" y="0"/>
                      <wp:positionH relativeFrom="column">
                        <wp:posOffset>395605</wp:posOffset>
                      </wp:positionH>
                      <wp:positionV relativeFrom="paragraph">
                        <wp:posOffset>241300</wp:posOffset>
                      </wp:positionV>
                      <wp:extent cx="814705" cy="296545"/>
                      <wp:effectExtent l="0" t="0" r="0" b="0"/>
                      <wp:wrapNone/>
                      <wp:docPr id="14" name="文本框 759"/>
                      <wp:cNvGraphicFramePr/>
                      <a:graphic xmlns:a="http://schemas.openxmlformats.org/drawingml/2006/main">
                        <a:graphicData uri="http://schemas.microsoft.com/office/word/2010/wordprocessingShape">
                          <wps:wsp>
                            <wps:cNvSpPr txBox="1"/>
                            <wps:spPr>
                              <a:xfrm>
                                <a:off x="0" y="0"/>
                                <a:ext cx="814705" cy="296545"/>
                              </a:xfrm>
                              <a:prstGeom prst="rect">
                                <a:avLst/>
                              </a:prstGeom>
                              <a:noFill/>
                              <a:ln w="12700">
                                <a:noFill/>
                              </a:ln>
                            </wps:spPr>
                            <wps:txbx>
                              <w:txbxContent>
                                <w:p>
                                  <w:pPr>
                                    <w:rPr>
                                      <w:rFonts w:hint="eastAsia"/>
                                    </w:rPr>
                                  </w:pPr>
                                  <w:r>
                                    <w:rPr>
                                      <w:rFonts w:hint="eastAsia"/>
                                    </w:rPr>
                                    <w:t>尾气、噪声</w:t>
                                  </w:r>
                                </w:p>
                              </w:txbxContent>
                            </wps:txbx>
                            <wps:bodyPr upright="1"/>
                          </wps:wsp>
                        </a:graphicData>
                      </a:graphic>
                    </wp:anchor>
                  </w:drawing>
                </mc:Choice>
                <mc:Fallback>
                  <w:pict>
                    <v:shape id="文本框 759" o:spid="_x0000_s1026" o:spt="202" type="#_x0000_t202" style="position:absolute;left:0pt;margin-left:31.15pt;margin-top:19pt;height:23.35pt;width:64.15pt;z-index:251661312;mso-width-relative:page;mso-height-relative:page;" filled="f" stroked="f" coordsize="21600,21600" o:gfxdata="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MTdagfWAAAACAEAAA8AAAAAAAAAAQAgAAAA&#10;IgAAAGRycy9kb3ducmV2LnhtbFBLAQIUABQAAAAIAIdO4kAJcn+omwEAAAwDAAAOAAAAAAAAAAEA&#10;IAAAACUBAABkcnMvZTJvRG9jLnhtbFBLBQYAAAAABgAGAFkBAAAyBQAAAAA=&#10;">
                      <v:fill on="f" focussize="0,0"/>
                      <v:stroke on="f" weight="1pt"/>
                      <v:imagedata o:title=""/>
                      <o:lock v:ext="edit" aspectratio="f"/>
                      <v:textbox>
                        <w:txbxContent>
                          <w:p>
                            <w:pPr>
                              <w:rPr>
                                <w:rFonts w:hint="eastAsia"/>
                              </w:rPr>
                            </w:pPr>
                            <w:r>
                              <w:rPr>
                                <w:rFonts w:hint="eastAsia"/>
                              </w:rPr>
                              <w:t>尾气、噪声</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7456" behindDoc="0" locked="0" layoutInCell="1" allowOverlap="1">
                      <wp:simplePos x="0" y="0"/>
                      <wp:positionH relativeFrom="column">
                        <wp:posOffset>2424430</wp:posOffset>
                      </wp:positionH>
                      <wp:positionV relativeFrom="paragraph">
                        <wp:posOffset>269875</wp:posOffset>
                      </wp:positionV>
                      <wp:extent cx="462280" cy="296545"/>
                      <wp:effectExtent l="0" t="0" r="0" b="0"/>
                      <wp:wrapNone/>
                      <wp:docPr id="20" name="文本框 785"/>
                      <wp:cNvGraphicFramePr/>
                      <a:graphic xmlns:a="http://schemas.openxmlformats.org/drawingml/2006/main">
                        <a:graphicData uri="http://schemas.microsoft.com/office/word/2010/wordprocessingShape">
                          <wps:wsp>
                            <wps:cNvSpPr txBox="1"/>
                            <wps:spPr>
                              <a:xfrm>
                                <a:off x="0" y="0"/>
                                <a:ext cx="462280" cy="296545"/>
                              </a:xfrm>
                              <a:prstGeom prst="rect">
                                <a:avLst/>
                              </a:prstGeom>
                              <a:noFill/>
                              <a:ln w="12700">
                                <a:noFill/>
                              </a:ln>
                            </wps:spPr>
                            <wps:txbx>
                              <w:txbxContent>
                                <w:p>
                                  <w:pPr>
                                    <w:rPr>
                                      <w:rFonts w:hint="eastAsia"/>
                                    </w:rPr>
                                  </w:pPr>
                                  <w:r>
                                    <w:rPr>
                                      <w:rFonts w:hint="eastAsia"/>
                                    </w:rPr>
                                    <w:t>噪声</w:t>
                                  </w:r>
                                </w:p>
                              </w:txbxContent>
                            </wps:txbx>
                            <wps:bodyPr upright="1"/>
                          </wps:wsp>
                        </a:graphicData>
                      </a:graphic>
                    </wp:anchor>
                  </w:drawing>
                </mc:Choice>
                <mc:Fallback>
                  <w:pict>
                    <v:shape id="文本框 785" o:spid="_x0000_s1026" o:spt="202" type="#_x0000_t202" style="position:absolute;left:0pt;margin-left:190.9pt;margin-top:21.25pt;height:23.35pt;width:36.4pt;z-index:251667456;mso-width-relative:page;mso-height-relative:page;" filled="f" stroked="f" coordsize="21600,21600" o:gfxdata="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0WYjTXAAAACQEAAA8AAAAAAAAAAQAgAAAAIgAA&#10;AGRycy9kb3ducmV2LnhtbFBLAQIUABQAAAAIAIdO4kDEyY5XlwEAAAwDAAAOAAAAAAAAAAEAIAAA&#10;ACYBAABkcnMvZTJvRG9jLnhtbFBLBQYAAAAABgAGAFkBAAAvBQAAAAA=&#10;">
                      <v:fill on="f" focussize="0,0"/>
                      <v:stroke on="f" weight="1pt"/>
                      <v:imagedata o:title=""/>
                      <o:lock v:ext="edit" aspectratio="f"/>
                      <v:textbox>
                        <w:txbxContent>
                          <w:p>
                            <w:pPr>
                              <w:rPr>
                                <w:rFonts w:hint="eastAsia"/>
                              </w:rPr>
                            </w:pPr>
                            <w:r>
                              <w:rPr>
                                <w:rFonts w:hint="eastAsia"/>
                              </w:rPr>
                              <w:t>噪声</w:t>
                            </w:r>
                          </w:p>
                        </w:txbxContent>
                      </v:textbox>
                    </v:shape>
                  </w:pict>
                </mc:Fallback>
              </mc:AlternateContent>
            </w:r>
          </w:p>
          <w:p>
            <w:pPr>
              <w:pStyle w:val="31"/>
              <w:tabs>
                <w:tab w:val="left" w:pos="3595"/>
              </w:tabs>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sz w:val="24"/>
              </w:rPr>
              <mc:AlternateContent>
                <mc:Choice Requires="wps">
                  <w:drawing>
                    <wp:anchor distT="0" distB="0" distL="114300" distR="114300" simplePos="0" relativeHeight="251658240" behindDoc="0" locked="0" layoutInCell="1" allowOverlap="1">
                      <wp:simplePos x="0" y="0"/>
                      <wp:positionH relativeFrom="column">
                        <wp:posOffset>4568825</wp:posOffset>
                      </wp:positionH>
                      <wp:positionV relativeFrom="paragraph">
                        <wp:posOffset>168910</wp:posOffset>
                      </wp:positionV>
                      <wp:extent cx="635" cy="211455"/>
                      <wp:effectExtent l="50165" t="0" r="63500" b="17145"/>
                      <wp:wrapNone/>
                      <wp:docPr id="11" name="直线 756"/>
                      <wp:cNvGraphicFramePr/>
                      <a:graphic xmlns:a="http://schemas.openxmlformats.org/drawingml/2006/main">
                        <a:graphicData uri="http://schemas.microsoft.com/office/word/2010/wordprocessingShape">
                          <wps:wsp>
                            <wps:cNvCnPr/>
                            <wps:spPr>
                              <a:xfrm flipV="1">
                                <a:off x="0" y="0"/>
                                <a:ext cx="635" cy="211455"/>
                              </a:xfrm>
                              <a:prstGeom prst="line">
                                <a:avLst/>
                              </a:prstGeom>
                              <a:ln w="12700" cap="flat" cmpd="sng">
                                <a:solidFill>
                                  <a:srgbClr val="000000"/>
                                </a:solidFill>
                                <a:prstDash val="dash"/>
                                <a:headEnd type="none" w="med" len="med"/>
                                <a:tailEnd type="arrow" w="med" len="med"/>
                              </a:ln>
                            </wps:spPr>
                            <wps:bodyPr upright="1"/>
                          </wps:wsp>
                        </a:graphicData>
                      </a:graphic>
                    </wp:anchor>
                  </w:drawing>
                </mc:Choice>
                <mc:Fallback>
                  <w:pict>
                    <v:line id="直线 756" o:spid="_x0000_s1026" o:spt="20" style="position:absolute;left:0pt;flip:y;margin-left:359.75pt;margin-top:13.3pt;height:16.65pt;width:0.05pt;z-index:251658240;mso-width-relative:page;mso-height-relative:page;" filled="f" stroked="t" coordsize="21600,21600" o:gfxdata="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DD77NYAAAAJAQAADwAAAAAA&#10;AAABACAAAAAiAAAAZHJzL2Rvd25yZXYueG1sUEsBAhQAFAAAAAgAh07iQLikbfbcAQAAnAMAAA4A&#10;AAAAAAAAAQAgAAAAJQEAAGRycy9lMm9Eb2MueG1sUEsFBgAAAAAGAAYAWQEAAHMFAAAAAA==&#10;">
                      <v:fill on="f" focussize="0,0"/>
                      <v:stroke weight="1pt" color="#000000" joinstyle="round" dashstyle="dash" endarrow="open"/>
                      <v:imagedata o:title=""/>
                      <o:lock v:ext="edit" aspectratio="f"/>
                    </v:lin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6432" behindDoc="0" locked="0" layoutInCell="1" allowOverlap="1">
                      <wp:simplePos x="0" y="0"/>
                      <wp:positionH relativeFrom="column">
                        <wp:posOffset>2652395</wp:posOffset>
                      </wp:positionH>
                      <wp:positionV relativeFrom="paragraph">
                        <wp:posOffset>180975</wp:posOffset>
                      </wp:positionV>
                      <wp:extent cx="635" cy="211455"/>
                      <wp:effectExtent l="50165" t="0" r="63500" b="17145"/>
                      <wp:wrapNone/>
                      <wp:docPr id="19" name="直线 784"/>
                      <wp:cNvGraphicFramePr/>
                      <a:graphic xmlns:a="http://schemas.openxmlformats.org/drawingml/2006/main">
                        <a:graphicData uri="http://schemas.microsoft.com/office/word/2010/wordprocessingShape">
                          <wps:wsp>
                            <wps:cNvCnPr/>
                            <wps:spPr>
                              <a:xfrm flipV="1">
                                <a:off x="0" y="0"/>
                                <a:ext cx="635" cy="211455"/>
                              </a:xfrm>
                              <a:prstGeom prst="line">
                                <a:avLst/>
                              </a:prstGeom>
                              <a:ln w="12700" cap="flat" cmpd="sng">
                                <a:solidFill>
                                  <a:srgbClr val="000000"/>
                                </a:solidFill>
                                <a:prstDash val="dash"/>
                                <a:headEnd type="none" w="med" len="med"/>
                                <a:tailEnd type="arrow" w="med" len="med"/>
                              </a:ln>
                            </wps:spPr>
                            <wps:bodyPr upright="1"/>
                          </wps:wsp>
                        </a:graphicData>
                      </a:graphic>
                    </wp:anchor>
                  </w:drawing>
                </mc:Choice>
                <mc:Fallback>
                  <w:pict>
                    <v:line id="直线 784" o:spid="_x0000_s1026" o:spt="20" style="position:absolute;left:0pt;flip:y;margin-left:208.85pt;margin-top:14.25pt;height:16.65pt;width:0.05pt;z-index:251666432;mso-width-relative:page;mso-height-relative:page;" filled="f" stroked="t" coordsize="21600,21600" o:gfxdata="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DFmm/WAAAACQEAAA8AAAAA&#10;AAAAAQAgAAAAIgAAAGRycy9kb3ducmV2LnhtbFBLAQIUABQAAAAIAIdO4kDVU/EP3QEAAJwDAAAO&#10;AAAAAAAAAAEAIAAAACUBAABkcnMvZTJvRG9jLnhtbFBLBQYAAAAABgAGAFkBAAB0BQAAAAA=&#10;">
                      <v:fill on="f" focussize="0,0"/>
                      <v:stroke weight="1pt" color="#000000" joinstyle="round" dashstyle="dash" endarrow="open"/>
                      <v:imagedata o:title=""/>
                      <o:lock v:ext="edit" aspectratio="f"/>
                    </v:lin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0288" behindDoc="0" locked="0" layoutInCell="1" allowOverlap="1">
                      <wp:simplePos x="0" y="0"/>
                      <wp:positionH relativeFrom="column">
                        <wp:posOffset>814070</wp:posOffset>
                      </wp:positionH>
                      <wp:positionV relativeFrom="paragraph">
                        <wp:posOffset>142875</wp:posOffset>
                      </wp:positionV>
                      <wp:extent cx="635" cy="211455"/>
                      <wp:effectExtent l="50165" t="0" r="63500" b="17145"/>
                      <wp:wrapNone/>
                      <wp:docPr id="13" name="直线 758"/>
                      <wp:cNvGraphicFramePr/>
                      <a:graphic xmlns:a="http://schemas.openxmlformats.org/drawingml/2006/main">
                        <a:graphicData uri="http://schemas.microsoft.com/office/word/2010/wordprocessingShape">
                          <wps:wsp>
                            <wps:cNvCnPr/>
                            <wps:spPr>
                              <a:xfrm flipV="1">
                                <a:off x="0" y="0"/>
                                <a:ext cx="635" cy="211455"/>
                              </a:xfrm>
                              <a:prstGeom prst="line">
                                <a:avLst/>
                              </a:prstGeom>
                              <a:ln w="12700" cap="flat" cmpd="sng">
                                <a:solidFill>
                                  <a:srgbClr val="000000"/>
                                </a:solidFill>
                                <a:prstDash val="dash"/>
                                <a:headEnd type="none" w="med" len="med"/>
                                <a:tailEnd type="arrow" w="med" len="med"/>
                              </a:ln>
                            </wps:spPr>
                            <wps:bodyPr upright="1"/>
                          </wps:wsp>
                        </a:graphicData>
                      </a:graphic>
                    </wp:anchor>
                  </w:drawing>
                </mc:Choice>
                <mc:Fallback>
                  <w:pict>
                    <v:line id="直线 758" o:spid="_x0000_s1026" o:spt="20" style="position:absolute;left:0pt;flip:y;margin-left:64.1pt;margin-top:11.25pt;height:16.65pt;width:0.05pt;z-index:251660288;mso-width-relative:page;mso-height-relative:page;" filled="f" stroked="t" coordsize="21600,21600" o:gfxdata="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xzdmdUAAAAJAQAADwAAAAAA&#10;AAABACAAAAAiAAAAZHJzL2Rvd25yZXYueG1sUEsBAhQAFAAAAAgAh07iQLHlL+TdAQAAnAMAAA4A&#10;AAAAAAAAAQAgAAAAJAEAAGRycy9lMm9Eb2MueG1sUEsFBgAAAAAGAAYAWQEAAHMFAAAAAA==&#10;">
                      <v:fill on="f" focussize="0,0"/>
                      <v:stroke weight="1pt" color="#000000" joinstyle="round" dashstyle="dash" endarrow="open"/>
                      <v:imagedata o:title=""/>
                      <o:lock v:ext="edit" aspectratio="f"/>
                    </v:line>
                  </w:pict>
                </mc:Fallback>
              </mc:AlternateContent>
            </w:r>
            <w:r>
              <w:rPr>
                <w:rFonts w:hint="default" w:ascii="Times New Roman" w:hAnsi="Times New Roman" w:cs="Times New Roman"/>
                <w:color w:val="auto"/>
                <w:kern w:val="0"/>
                <w:position w:val="10"/>
                <w:sz w:val="24"/>
                <w:szCs w:val="24"/>
              </w:rPr>
              <w:tab/>
            </w:r>
          </w:p>
          <w:p>
            <w:pPr>
              <w:pStyle w:val="31"/>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kern w:val="0"/>
                <w:position w:val="10"/>
                <w:sz w:val="24"/>
                <w:szCs w:val="24"/>
              </w:rPr>
              <mc:AlternateContent>
                <mc:Choice Requires="wps">
                  <w:drawing>
                    <wp:anchor distT="0" distB="0" distL="114300" distR="114300" simplePos="0" relativeHeight="251649024" behindDoc="0" locked="0" layoutInCell="1" allowOverlap="1">
                      <wp:simplePos x="0" y="0"/>
                      <wp:positionH relativeFrom="column">
                        <wp:posOffset>4573270</wp:posOffset>
                      </wp:positionH>
                      <wp:positionV relativeFrom="paragraph">
                        <wp:posOffset>359410</wp:posOffset>
                      </wp:positionV>
                      <wp:extent cx="635" cy="419735"/>
                      <wp:effectExtent l="48895" t="0" r="64770" b="18415"/>
                      <wp:wrapNone/>
                      <wp:docPr id="2" name="直线 699"/>
                      <wp:cNvGraphicFramePr/>
                      <a:graphic xmlns:a="http://schemas.openxmlformats.org/drawingml/2006/main">
                        <a:graphicData uri="http://schemas.microsoft.com/office/word/2010/wordprocessingShape">
                          <wps:wsp>
                            <wps:cNvCnPr/>
                            <wps:spPr>
                              <a:xfrm>
                                <a:off x="0" y="0"/>
                                <a:ext cx="635" cy="4197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699" o:spid="_x0000_s1026" o:spt="20" style="position:absolute;left:0pt;margin-left:360.1pt;margin-top:28.3pt;height:33.05pt;width:0.05pt;z-index:251649024;mso-width-relative:page;mso-height-relative:page;" filled="f" stroked="t" coordsize="21600,21600" o:gfxdata="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TQJDN2QAAAAoBAAAPAAAAAAAAAAEAIAAA&#10;ACIAAABkcnMvZG93bnJldi54bWxQSwECFAAUAAAACACHTuJAtBns59IBAACRAwAADgAAAAAAAAAB&#10;ACAAAAAoAQAAZHJzL2Uyb0RvYy54bWxQSwUGAAAAAAYABgBZAQAAbAUAAAAA&#10;">
                      <v:fill on="f" focussize="0,0"/>
                      <v:stroke color="#000000" joinstyle="round" endarrow="open"/>
                      <v:imagedata o:title=""/>
                      <o:lock v:ext="edit" aspectratio="f"/>
                    </v:line>
                  </w:pict>
                </mc:Fallback>
              </mc:AlternateContent>
            </w:r>
            <w:r>
              <w:rPr>
                <w:rFonts w:hint="default" w:ascii="Times New Roman" w:hAnsi="Times New Roman" w:cs="Times New Roman"/>
                <w:color w:val="auto"/>
                <w:kern w:val="0"/>
                <w:position w:val="10"/>
                <w:sz w:val="24"/>
                <w:szCs w:val="24"/>
              </w:rPr>
              <mc:AlternateContent>
                <mc:Choice Requires="wps">
                  <w:drawing>
                    <wp:anchor distT="0" distB="0" distL="114300" distR="114300" simplePos="0" relativeHeight="251651072" behindDoc="0" locked="0" layoutInCell="1" allowOverlap="1">
                      <wp:simplePos x="0" y="0"/>
                      <wp:positionH relativeFrom="column">
                        <wp:posOffset>2985135</wp:posOffset>
                      </wp:positionH>
                      <wp:positionV relativeFrom="paragraph">
                        <wp:posOffset>156845</wp:posOffset>
                      </wp:positionV>
                      <wp:extent cx="937260" cy="8890"/>
                      <wp:effectExtent l="0" t="48260" r="15240" b="57150"/>
                      <wp:wrapNone/>
                      <wp:docPr id="4" name="直线 701"/>
                      <wp:cNvGraphicFramePr/>
                      <a:graphic xmlns:a="http://schemas.openxmlformats.org/drawingml/2006/main">
                        <a:graphicData uri="http://schemas.microsoft.com/office/word/2010/wordprocessingShape">
                          <wps:wsp>
                            <wps:cNvCnPr/>
                            <wps:spPr>
                              <a:xfrm flipV="1">
                                <a:off x="0" y="0"/>
                                <a:ext cx="937260" cy="889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701" o:spid="_x0000_s1026" o:spt="20" style="position:absolute;left:0pt;flip:y;margin-left:235.05pt;margin-top:12.35pt;height:0.7pt;width:73.8pt;z-index:251651072;mso-width-relative:page;mso-height-relative:page;" filled="f" stroked="t" coordsize="21600,21600" o:gfxdata="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Q0r4NcAAAAJAQAADwAA&#10;AAAAAAABACAAAAAiAAAAZHJzL2Rvd25yZXYueG1sUEsBAhQAFAAAAAgAh07iQI93vR3eAQAAnAMA&#10;AA4AAAAAAAAAAQAgAAAAJgEAAGRycy9lMm9Eb2MueG1sUEsFBgAAAAAGAAYAWQEAAHYFAAAAAA==&#10;">
                      <v:fill on="f" focussize="0,0"/>
                      <v:stroke color="#000000" joinstyle="round" endarrow="open"/>
                      <v:imagedata o:title=""/>
                      <o:lock v:ext="edit" aspectratio="f"/>
                    </v:lin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55168" behindDoc="0" locked="0" layoutInCell="1" allowOverlap="1">
                      <wp:simplePos x="0" y="0"/>
                      <wp:positionH relativeFrom="column">
                        <wp:posOffset>3928110</wp:posOffset>
                      </wp:positionH>
                      <wp:positionV relativeFrom="paragraph">
                        <wp:posOffset>9525</wp:posOffset>
                      </wp:positionV>
                      <wp:extent cx="1183640" cy="337185"/>
                      <wp:effectExtent l="6350" t="6350" r="10160" b="18415"/>
                      <wp:wrapNone/>
                      <wp:docPr id="8" name="文本框 710"/>
                      <wp:cNvGraphicFramePr/>
                      <a:graphic xmlns:a="http://schemas.openxmlformats.org/drawingml/2006/main">
                        <a:graphicData uri="http://schemas.microsoft.com/office/word/2010/wordprocessingShape">
                          <wps:wsp>
                            <wps:cNvSpPr txBox="1"/>
                            <wps:spPr>
                              <a:xfrm>
                                <a:off x="0" y="0"/>
                                <a:ext cx="1183640" cy="337185"/>
                              </a:xfrm>
                              <a:prstGeom prst="rect">
                                <a:avLst/>
                              </a:prstGeom>
                              <a:noFill/>
                              <a:ln w="12700" cap="flat" cmpd="sng">
                                <a:solidFill>
                                  <a:srgbClr val="000000"/>
                                </a:solidFill>
                                <a:prstDash val="solid"/>
                                <a:miter/>
                                <a:headEnd type="none" w="med" len="med"/>
                                <a:tailEnd type="arrow" w="med" len="med"/>
                              </a:ln>
                            </wps:spPr>
                            <wps:txbx>
                              <w:txbxContent>
                                <w:p>
                                  <w:pPr>
                                    <w:jc w:val="center"/>
                                    <w:rPr>
                                      <w:rFonts w:hint="eastAsia"/>
                                    </w:rPr>
                                  </w:pPr>
                                  <w:r>
                                    <w:rPr>
                                      <w:rFonts w:hint="eastAsia"/>
                                    </w:rPr>
                                    <w:t>粗白油储罐</w:t>
                                  </w:r>
                                </w:p>
                              </w:txbxContent>
                            </wps:txbx>
                            <wps:bodyPr upright="1"/>
                          </wps:wsp>
                        </a:graphicData>
                      </a:graphic>
                    </wp:anchor>
                  </w:drawing>
                </mc:Choice>
                <mc:Fallback>
                  <w:pict>
                    <v:shape id="文本框 710" o:spid="_x0000_s1026" o:spt="202" type="#_x0000_t202" style="position:absolute;left:0pt;margin-left:309.3pt;margin-top:0.75pt;height:26.55pt;width:93.2pt;z-index:251655168;mso-width-relative:page;mso-height-relative:page;" filled="f" stroked="t" coordsize="21600,21600" o:gfxdata="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3Eog1gAAAAgBAAAPAAAAAAAAAAEAIAAAACIAAABkcnMvZG93bnJldi54bWxQSwECFAAUAAAACACH&#10;TuJAZRkONO0BAADDAwAADgAAAAAAAAABACAAAAAlAQAAZHJzL2Uyb0RvYy54bWxQSwUGAAAAAAYA&#10;BgBZAQAAhAUAAAAA&#10;">
                      <v:fill on="f" focussize="0,0"/>
                      <v:stroke weight="1pt" color="#000000" joinstyle="miter" endarrow="open"/>
                      <v:imagedata o:title=""/>
                      <o:lock v:ext="edit" aspectratio="f"/>
                      <v:textbox>
                        <w:txbxContent>
                          <w:p>
                            <w:pPr>
                              <w:jc w:val="center"/>
                              <w:rPr>
                                <w:rFonts w:hint="eastAsia"/>
                              </w:rPr>
                            </w:pPr>
                            <w:r>
                              <w:rPr>
                                <w:rFonts w:hint="eastAsia"/>
                              </w:rPr>
                              <w:t>粗白油储罐</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53120" behindDoc="0" locked="0" layoutInCell="1" allowOverlap="1">
                      <wp:simplePos x="0" y="0"/>
                      <wp:positionH relativeFrom="column">
                        <wp:posOffset>129540</wp:posOffset>
                      </wp:positionH>
                      <wp:positionV relativeFrom="paragraph">
                        <wp:posOffset>16510</wp:posOffset>
                      </wp:positionV>
                      <wp:extent cx="1199515" cy="309880"/>
                      <wp:effectExtent l="6350" t="6350" r="13335" b="7620"/>
                      <wp:wrapNone/>
                      <wp:docPr id="6" name="文本框 707"/>
                      <wp:cNvGraphicFramePr/>
                      <a:graphic xmlns:a="http://schemas.openxmlformats.org/drawingml/2006/main">
                        <a:graphicData uri="http://schemas.microsoft.com/office/word/2010/wordprocessingShape">
                          <wps:wsp>
                            <wps:cNvSpPr txBox="1"/>
                            <wps:spPr>
                              <a:xfrm>
                                <a:off x="0" y="0"/>
                                <a:ext cx="1199515" cy="309880"/>
                              </a:xfrm>
                              <a:prstGeom prst="rect">
                                <a:avLst/>
                              </a:prstGeom>
                              <a:noFill/>
                              <a:ln w="12700" cap="flat" cmpd="sng">
                                <a:solidFill>
                                  <a:srgbClr val="000000"/>
                                </a:solidFill>
                                <a:prstDash val="solid"/>
                                <a:miter/>
                                <a:headEnd type="none" w="med" len="med"/>
                                <a:tailEnd type="arrow" w="med" len="med"/>
                              </a:ln>
                            </wps:spPr>
                            <wps:txbx>
                              <w:txbxContent>
                                <w:p>
                                  <w:pPr>
                                    <w:jc w:val="left"/>
                                    <w:rPr>
                                      <w:rFonts w:hint="eastAsia"/>
                                    </w:rPr>
                                  </w:pPr>
                                  <w:r>
                                    <w:rPr>
                                      <w:rFonts w:hint="eastAsia"/>
                                    </w:rPr>
                                    <w:t>粗白油（进厂）</w:t>
                                  </w:r>
                                </w:p>
                              </w:txbxContent>
                            </wps:txbx>
                            <wps:bodyPr upright="1"/>
                          </wps:wsp>
                        </a:graphicData>
                      </a:graphic>
                    </wp:anchor>
                  </w:drawing>
                </mc:Choice>
                <mc:Fallback>
                  <w:pict>
                    <v:shape id="文本框 707" o:spid="_x0000_s1026" o:spt="202" type="#_x0000_t202" style="position:absolute;left:0pt;margin-left:10.2pt;margin-top:1.3pt;height:24.4pt;width:94.45pt;z-index:251653120;mso-width-relative:page;mso-height-relative:page;" filled="f" stroked="t" coordsize="21600,21600" o:gfxdata="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ZXX7HWAAAABwEAAA8AAAAAAAAAAQAgAAAAIgAAAGRycy9kb3ducmV2LnhtbFBLAQIUABQA&#10;AAAIAIdO4kAKurrd8gEAAMMDAAAOAAAAAAAAAAEAIAAAACUBAABkcnMvZTJvRG9jLnhtbFBLBQYA&#10;AAAABgAGAFkBAACJBQAAAAA=&#10;">
                      <v:fill on="f" focussize="0,0"/>
                      <v:stroke weight="1pt" color="#000000" joinstyle="miter" endarrow="open"/>
                      <v:imagedata o:title=""/>
                      <o:lock v:ext="edit" aspectratio="f"/>
                      <v:textbox>
                        <w:txbxContent>
                          <w:p>
                            <w:pPr>
                              <w:jc w:val="left"/>
                              <w:rPr>
                                <w:rFonts w:hint="eastAsia"/>
                              </w:rPr>
                            </w:pPr>
                            <w:r>
                              <w:rPr>
                                <w:rFonts w:hint="eastAsia"/>
                              </w:rPr>
                              <w:t>粗白油（进厂）</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54144" behindDoc="0" locked="0" layoutInCell="1" allowOverlap="1">
                      <wp:simplePos x="0" y="0"/>
                      <wp:positionH relativeFrom="column">
                        <wp:posOffset>2322830</wp:posOffset>
                      </wp:positionH>
                      <wp:positionV relativeFrom="paragraph">
                        <wp:posOffset>20955</wp:posOffset>
                      </wp:positionV>
                      <wp:extent cx="650240" cy="321310"/>
                      <wp:effectExtent l="6350" t="6350" r="10160" b="15240"/>
                      <wp:wrapNone/>
                      <wp:docPr id="7" name="文本框 709"/>
                      <wp:cNvGraphicFramePr/>
                      <a:graphic xmlns:a="http://schemas.openxmlformats.org/drawingml/2006/main">
                        <a:graphicData uri="http://schemas.microsoft.com/office/word/2010/wordprocessingShape">
                          <wps:wsp>
                            <wps:cNvSpPr txBox="1"/>
                            <wps:spPr>
                              <a:xfrm>
                                <a:off x="0" y="0"/>
                                <a:ext cx="650240" cy="321310"/>
                              </a:xfrm>
                              <a:prstGeom prst="rect">
                                <a:avLst/>
                              </a:prstGeom>
                              <a:noFill/>
                              <a:ln w="12700" cap="flat" cmpd="sng">
                                <a:solidFill>
                                  <a:srgbClr val="000000"/>
                                </a:solidFill>
                                <a:prstDash val="solid"/>
                                <a:miter/>
                                <a:headEnd type="none" w="med" len="med"/>
                                <a:tailEnd type="arrow" w="med" len="med"/>
                              </a:ln>
                            </wps:spPr>
                            <wps:txbx>
                              <w:txbxContent>
                                <w:p>
                                  <w:pPr>
                                    <w:jc w:val="center"/>
                                    <w:rPr>
                                      <w:rFonts w:hint="eastAsia"/>
                                    </w:rPr>
                                  </w:pPr>
                                  <w:r>
                                    <w:rPr>
                                      <w:rFonts w:hint="eastAsia"/>
                                    </w:rPr>
                                    <w:t>装卸泵</w:t>
                                  </w:r>
                                </w:p>
                              </w:txbxContent>
                            </wps:txbx>
                            <wps:bodyPr upright="1"/>
                          </wps:wsp>
                        </a:graphicData>
                      </a:graphic>
                    </wp:anchor>
                  </w:drawing>
                </mc:Choice>
                <mc:Fallback>
                  <w:pict>
                    <v:shape id="文本框 709" o:spid="_x0000_s1026" o:spt="202" type="#_x0000_t202" style="position:absolute;left:0pt;margin-left:182.9pt;margin-top:1.65pt;height:25.3pt;width:51.2pt;z-index:251654144;mso-width-relative:page;mso-height-relative:page;" filled="f" stroked="t" coordsize="21600,21600" o:gfxdata="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4EbKN2AAAAAgBAAAPAAAAAAAAAAEAIAAAACIAAABkcnMvZG93bnJldi54bWxQSwECFAAU&#10;AAAACACHTuJAcob4ivEBAADCAwAADgAAAAAAAAABACAAAAAnAQAAZHJzL2Uyb0RvYy54bWxQSwUG&#10;AAAAAAYABgBZAQAAigUAAAAA&#10;">
                      <v:fill on="f" focussize="0,0"/>
                      <v:stroke weight="1pt" color="#000000" joinstyle="miter" endarrow="open"/>
                      <v:imagedata o:title=""/>
                      <o:lock v:ext="edit" aspectratio="f"/>
                      <v:textbox>
                        <w:txbxContent>
                          <w:p>
                            <w:pPr>
                              <w:jc w:val="center"/>
                              <w:rPr>
                                <w:rFonts w:hint="eastAsia"/>
                              </w:rPr>
                            </w:pPr>
                            <w:r>
                              <w:rPr>
                                <w:rFonts w:hint="eastAsia"/>
                              </w:rPr>
                              <w:t>装卸泵</w:t>
                            </w:r>
                          </w:p>
                        </w:txbxContent>
                      </v:textbox>
                    </v:shape>
                  </w:pict>
                </mc:Fallback>
              </mc:AlternateContent>
            </w:r>
            <w:r>
              <w:rPr>
                <w:rFonts w:hint="default" w:ascii="Times New Roman" w:hAnsi="Times New Roman" w:cs="Times New Roman"/>
                <w:color w:val="auto"/>
                <w:kern w:val="0"/>
                <w:position w:val="10"/>
                <w:sz w:val="24"/>
                <w:szCs w:val="24"/>
              </w:rPr>
              <mc:AlternateContent>
                <mc:Choice Requires="wps">
                  <w:drawing>
                    <wp:anchor distT="0" distB="0" distL="114300" distR="114300" simplePos="0" relativeHeight="251650048" behindDoc="0" locked="0" layoutInCell="1" allowOverlap="1">
                      <wp:simplePos x="0" y="0"/>
                      <wp:positionH relativeFrom="column">
                        <wp:posOffset>1317625</wp:posOffset>
                      </wp:positionH>
                      <wp:positionV relativeFrom="paragraph">
                        <wp:posOffset>158115</wp:posOffset>
                      </wp:positionV>
                      <wp:extent cx="998220" cy="8890"/>
                      <wp:effectExtent l="0" t="41275" r="11430" b="64135"/>
                      <wp:wrapNone/>
                      <wp:docPr id="3" name="直线 697"/>
                      <wp:cNvGraphicFramePr/>
                      <a:graphic xmlns:a="http://schemas.openxmlformats.org/drawingml/2006/main">
                        <a:graphicData uri="http://schemas.microsoft.com/office/word/2010/wordprocessingShape">
                          <wps:wsp>
                            <wps:cNvCnPr/>
                            <wps:spPr>
                              <a:xfrm>
                                <a:off x="0" y="0"/>
                                <a:ext cx="998220" cy="889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697" o:spid="_x0000_s1026" o:spt="20" style="position:absolute;left:0pt;margin-left:103.75pt;margin-top:12.45pt;height:0.7pt;width:78.6pt;z-index:251650048;mso-width-relative:page;mso-height-relative:page;" filled="f" stroked="t" coordsize="21600,21600" o:gfxdata="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gvJb9kAAAAJAQAADwAAAAAAAAAB&#10;ACAAAAAiAAAAZHJzL2Rvd25yZXYueG1sUEsBAhQAFAAAAAgAh07iQE5RJtDWAQAAkgMAAA4AAAAA&#10;AAAAAQAgAAAAKAEAAGRycy9lMm9Eb2MueG1sUEsFBgAAAAAGAAYAWQEAAHAFAAAAAA==&#10;">
                      <v:fill on="f" focussize="0,0"/>
                      <v:stroke color="#000000" joinstyle="round" endarrow="open"/>
                      <v:imagedata o:title=""/>
                      <o:lock v:ext="edit" aspectratio="f"/>
                    </v:line>
                  </w:pict>
                </mc:Fallback>
              </mc:AlternateContent>
            </w:r>
          </w:p>
          <w:p>
            <w:pPr>
              <w:pStyle w:val="31"/>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sz w:val="24"/>
              </w:rPr>
              <mc:AlternateContent>
                <mc:Choice Requires="wps">
                  <w:drawing>
                    <wp:anchor distT="0" distB="0" distL="114300" distR="114300" simplePos="0" relativeHeight="251656192" behindDoc="0" locked="0" layoutInCell="1" allowOverlap="1">
                      <wp:simplePos x="0" y="0"/>
                      <wp:positionH relativeFrom="column">
                        <wp:posOffset>4269105</wp:posOffset>
                      </wp:positionH>
                      <wp:positionV relativeFrom="paragraph">
                        <wp:posOffset>381000</wp:posOffset>
                      </wp:positionV>
                      <wp:extent cx="603885" cy="283210"/>
                      <wp:effectExtent l="6350" t="6350" r="18415" b="15240"/>
                      <wp:wrapNone/>
                      <wp:docPr id="9" name="文本框 712"/>
                      <wp:cNvGraphicFramePr/>
                      <a:graphic xmlns:a="http://schemas.openxmlformats.org/drawingml/2006/main">
                        <a:graphicData uri="http://schemas.microsoft.com/office/word/2010/wordprocessingShape">
                          <wps:wsp>
                            <wps:cNvSpPr txBox="1"/>
                            <wps:spPr>
                              <a:xfrm>
                                <a:off x="0" y="0"/>
                                <a:ext cx="603885" cy="283210"/>
                              </a:xfrm>
                              <a:prstGeom prst="rect">
                                <a:avLst/>
                              </a:prstGeom>
                              <a:noFill/>
                              <a:ln w="12700" cap="flat" cmpd="sng">
                                <a:solidFill>
                                  <a:srgbClr val="000000"/>
                                </a:solidFill>
                                <a:prstDash val="solid"/>
                                <a:miter/>
                                <a:headEnd type="none" w="med" len="med"/>
                                <a:tailEnd type="arrow" w="med" len="med"/>
                              </a:ln>
                            </wps:spPr>
                            <wps:txbx>
                              <w:txbxContent>
                                <w:p>
                                  <w:pPr>
                                    <w:rPr>
                                      <w:rFonts w:hint="eastAsia"/>
                                    </w:rPr>
                                  </w:pPr>
                                  <w:r>
                                    <w:rPr>
                                      <w:rFonts w:hint="eastAsia"/>
                                    </w:rPr>
                                    <w:t>装卸泵</w:t>
                                  </w:r>
                                </w:p>
                              </w:txbxContent>
                            </wps:txbx>
                            <wps:bodyPr upright="1"/>
                          </wps:wsp>
                        </a:graphicData>
                      </a:graphic>
                    </wp:anchor>
                  </w:drawing>
                </mc:Choice>
                <mc:Fallback>
                  <w:pict>
                    <v:shape id="文本框 712" o:spid="_x0000_s1026" o:spt="202" type="#_x0000_t202" style="position:absolute;left:0pt;margin-left:336.15pt;margin-top:30pt;height:22.3pt;width:47.55pt;z-index:251656192;mso-width-relative:page;mso-height-relative:page;" filled="f" stroked="t" coordsize="21600,21600" o:gfxdata="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07sA/YAAAACgEAAA8AAAAAAAAAAQAgAAAAIgAAAGRycy9kb3ducmV2LnhtbFBLAQIU&#10;ABQAAAAIAIdO4kCG7Req8wEAAMIDAAAOAAAAAAAAAAEAIAAAACcBAABkcnMvZTJvRG9jLnhtbFBL&#10;BQYAAAAABgAGAFkBAACMBQAAAAA=&#10;">
                      <v:fill on="f" focussize="0,0"/>
                      <v:stroke weight="1pt" color="#000000" joinstyle="miter" endarrow="open"/>
                      <v:imagedata o:title=""/>
                      <o:lock v:ext="edit" aspectratio="f"/>
                      <v:textbox>
                        <w:txbxContent>
                          <w:p>
                            <w:pPr>
                              <w:rPr>
                                <w:rFonts w:hint="eastAsia"/>
                              </w:rPr>
                            </w:pPr>
                            <w:r>
                              <w:rPr>
                                <w:rFonts w:hint="eastAsia"/>
                              </w:rPr>
                              <w:t>装卸泵</w:t>
                            </w:r>
                          </w:p>
                        </w:txbxContent>
                      </v:textbox>
                    </v:shape>
                  </w:pict>
                </mc:Fallback>
              </mc:AlternateContent>
            </w:r>
          </w:p>
          <w:p>
            <w:pPr>
              <w:pStyle w:val="31"/>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sz w:val="24"/>
              </w:rPr>
              <mc:AlternateContent>
                <mc:Choice Requires="wps">
                  <w:drawing>
                    <wp:anchor distT="0" distB="0" distL="114300" distR="114300" simplePos="0" relativeHeight="251665408" behindDoc="0" locked="0" layoutInCell="1" allowOverlap="1">
                      <wp:simplePos x="0" y="0"/>
                      <wp:positionH relativeFrom="column">
                        <wp:posOffset>809625</wp:posOffset>
                      </wp:positionH>
                      <wp:positionV relativeFrom="paragraph">
                        <wp:posOffset>297815</wp:posOffset>
                      </wp:positionV>
                      <wp:extent cx="635" cy="296545"/>
                      <wp:effectExtent l="50165" t="0" r="63500" b="8255"/>
                      <wp:wrapNone/>
                      <wp:docPr id="18" name="直线 765"/>
                      <wp:cNvGraphicFramePr/>
                      <a:graphic xmlns:a="http://schemas.openxmlformats.org/drawingml/2006/main">
                        <a:graphicData uri="http://schemas.microsoft.com/office/word/2010/wordprocessingShape">
                          <wps:wsp>
                            <wps:cNvCnPr/>
                            <wps:spPr>
                              <a:xfrm>
                                <a:off x="0" y="0"/>
                                <a:ext cx="635" cy="296545"/>
                              </a:xfrm>
                              <a:prstGeom prst="line">
                                <a:avLst/>
                              </a:prstGeom>
                              <a:ln w="12700" cap="flat" cmpd="sng">
                                <a:solidFill>
                                  <a:srgbClr val="000000"/>
                                </a:solidFill>
                                <a:prstDash val="dash"/>
                                <a:headEnd type="none" w="med" len="med"/>
                                <a:tailEnd type="arrow" w="med" len="med"/>
                              </a:ln>
                            </wps:spPr>
                            <wps:bodyPr upright="1"/>
                          </wps:wsp>
                        </a:graphicData>
                      </a:graphic>
                    </wp:anchor>
                  </w:drawing>
                </mc:Choice>
                <mc:Fallback>
                  <w:pict>
                    <v:line id="直线 765" o:spid="_x0000_s1026" o:spt="20" style="position:absolute;left:0pt;margin-left:63.75pt;margin-top:23.45pt;height:23.35pt;width:0.05pt;z-index:251665408;mso-width-relative:page;mso-height-relative:page;" filled="f" stroked="t" coordsize="21600,21600" o:gfxdata="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tBaf3ZAAAACQEAAA8AAAAAAAAA&#10;AQAgAAAAIgAAAGRycy9kb3ducmV2LnhtbFBLAQIUABQAAAAIAIdO4kDTTf+P1wEAAJIDAAAOAAAA&#10;AAAAAAEAIAAAACgBAABkcnMvZTJvRG9jLnhtbFBLBQYAAAAABgAGAFkBAABxBQAAAAA=&#10;">
                      <v:fill on="f" focussize="0,0"/>
                      <v:stroke weight="1pt" color="#000000" joinstyle="round" dashstyle="dash" endarrow="open"/>
                      <v:imagedata o:title=""/>
                      <o:lock v:ext="edit" aspectratio="f"/>
                    </v:line>
                  </w:pict>
                </mc:Fallback>
              </mc:AlternateContent>
            </w:r>
            <w:r>
              <w:rPr>
                <w:rFonts w:hint="default" w:ascii="Times New Roman" w:hAnsi="Times New Roman" w:cs="Times New Roman"/>
                <w:color w:val="auto"/>
                <w:kern w:val="0"/>
                <w:position w:val="10"/>
                <w:sz w:val="24"/>
                <w:szCs w:val="24"/>
              </w:rPr>
              <mc:AlternateContent>
                <mc:Choice Requires="wps">
                  <w:drawing>
                    <wp:anchor distT="0" distB="0" distL="114300" distR="114300" simplePos="0" relativeHeight="251652096" behindDoc="0" locked="0" layoutInCell="1" allowOverlap="1">
                      <wp:simplePos x="0" y="0"/>
                      <wp:positionH relativeFrom="column">
                        <wp:posOffset>1355725</wp:posOffset>
                      </wp:positionH>
                      <wp:positionV relativeFrom="paragraph">
                        <wp:posOffset>137160</wp:posOffset>
                      </wp:positionV>
                      <wp:extent cx="2903855" cy="9525"/>
                      <wp:effectExtent l="0" t="40005" r="10795" b="64770"/>
                      <wp:wrapNone/>
                      <wp:docPr id="5" name="直线 698"/>
                      <wp:cNvGraphicFramePr/>
                      <a:graphic xmlns:a="http://schemas.openxmlformats.org/drawingml/2006/main">
                        <a:graphicData uri="http://schemas.microsoft.com/office/word/2010/wordprocessingShape">
                          <wps:wsp>
                            <wps:cNvCnPr/>
                            <wps:spPr>
                              <a:xfrm flipH="1">
                                <a:off x="0" y="0"/>
                                <a:ext cx="2903855" cy="952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698" o:spid="_x0000_s1026" o:spt="20" style="position:absolute;left:0pt;flip:x;margin-left:106.75pt;margin-top:10.8pt;height:0.75pt;width:228.65pt;z-index:251652096;mso-width-relative:page;mso-height-relative:page;" filled="f" stroked="t" coordsize="21600,21600" o:gfxdata="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EBoXV2AAAAAkBAAAPAAAAAAAA&#10;AAEAIAAAACIAAABkcnMvZG93bnJldi54bWxQSwECFAAUAAAACACHTuJA8o+huNkBAACdAwAADgAA&#10;AAAAAAABACAAAAAnAQAAZHJzL2Uyb0RvYy54bWxQSwUGAAAAAAYABgBZAQAAcgUAAAAA&#10;">
                      <v:fill on="f" focussize="0,0"/>
                      <v:stroke color="#000000" joinstyle="round" endarrow="open"/>
                      <v:imagedata o:title=""/>
                      <o:lock v:ext="edit" aspectratio="f"/>
                    </v:lin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57216" behindDoc="0" locked="0" layoutInCell="1" allowOverlap="1">
                      <wp:simplePos x="0" y="0"/>
                      <wp:positionH relativeFrom="column">
                        <wp:posOffset>158115</wp:posOffset>
                      </wp:positionH>
                      <wp:positionV relativeFrom="paragraph">
                        <wp:posOffset>10795</wp:posOffset>
                      </wp:positionV>
                      <wp:extent cx="1183005" cy="276860"/>
                      <wp:effectExtent l="6350" t="6350" r="10795" b="21590"/>
                      <wp:wrapNone/>
                      <wp:docPr id="10" name="文本框 713"/>
                      <wp:cNvGraphicFramePr/>
                      <a:graphic xmlns:a="http://schemas.openxmlformats.org/drawingml/2006/main">
                        <a:graphicData uri="http://schemas.microsoft.com/office/word/2010/wordprocessingShape">
                          <wps:wsp>
                            <wps:cNvSpPr txBox="1"/>
                            <wps:spPr>
                              <a:xfrm>
                                <a:off x="0" y="0"/>
                                <a:ext cx="1183005" cy="276860"/>
                              </a:xfrm>
                              <a:prstGeom prst="rect">
                                <a:avLst/>
                              </a:prstGeom>
                              <a:noFill/>
                              <a:ln w="12700" cap="flat" cmpd="sng">
                                <a:solidFill>
                                  <a:srgbClr val="000000"/>
                                </a:solidFill>
                                <a:prstDash val="solid"/>
                                <a:miter/>
                                <a:headEnd type="none" w="med" len="med"/>
                                <a:tailEnd type="arrow" w="med" len="med"/>
                              </a:ln>
                            </wps:spPr>
                            <wps:txbx>
                              <w:txbxContent>
                                <w:p>
                                  <w:pPr>
                                    <w:jc w:val="center"/>
                                  </w:pPr>
                                  <w:r>
                                    <w:rPr>
                                      <w:rFonts w:hint="eastAsia"/>
                                    </w:rPr>
                                    <w:t>粗白油(出厂)</w:t>
                                  </w:r>
                                </w:p>
                              </w:txbxContent>
                            </wps:txbx>
                            <wps:bodyPr upright="1"/>
                          </wps:wsp>
                        </a:graphicData>
                      </a:graphic>
                    </wp:anchor>
                  </w:drawing>
                </mc:Choice>
                <mc:Fallback>
                  <w:pict>
                    <v:shape id="文本框 713" o:spid="_x0000_s1026" o:spt="202" type="#_x0000_t202" style="position:absolute;left:0pt;margin-left:12.45pt;margin-top:0.85pt;height:21.8pt;width:93.15pt;z-index:251657216;mso-width-relative:page;mso-height-relative:page;" filled="f" stroked="t" coordsize="21600,21600" o:gfxdata="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wLimNUAAAAHAQAADwAAAAAAAAABACAAAAAiAAAAZHJzL2Rvd25yZXYueG1sUEsBAhQAFAAA&#10;AAgAh07iQMLCn6jyAQAAxAMAAA4AAAAAAAAAAQAgAAAAJAEAAGRycy9lMm9Eb2MueG1sUEsFBgAA&#10;AAAGAAYAWQEAAIgFAAAAAA==&#10;">
                      <v:fill on="f" focussize="0,0"/>
                      <v:stroke weight="1pt" color="#000000" joinstyle="miter" endarrow="open"/>
                      <v:imagedata o:title=""/>
                      <o:lock v:ext="edit" aspectratio="f"/>
                      <v:textbox>
                        <w:txbxContent>
                          <w:p>
                            <w:pPr>
                              <w:jc w:val="center"/>
                            </w:pPr>
                            <w:r>
                              <w:rPr>
                                <w:rFonts w:hint="eastAsia"/>
                              </w:rPr>
                              <w:t>粗白油(出厂)</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2336" behindDoc="0" locked="0" layoutInCell="1" allowOverlap="1">
                      <wp:simplePos x="0" y="0"/>
                      <wp:positionH relativeFrom="column">
                        <wp:posOffset>4608830</wp:posOffset>
                      </wp:positionH>
                      <wp:positionV relativeFrom="paragraph">
                        <wp:posOffset>272415</wp:posOffset>
                      </wp:positionV>
                      <wp:extent cx="635" cy="296545"/>
                      <wp:effectExtent l="50165" t="0" r="63500" b="8255"/>
                      <wp:wrapNone/>
                      <wp:docPr id="15" name="直线 760"/>
                      <wp:cNvGraphicFramePr/>
                      <a:graphic xmlns:a="http://schemas.openxmlformats.org/drawingml/2006/main">
                        <a:graphicData uri="http://schemas.microsoft.com/office/word/2010/wordprocessingShape">
                          <wps:wsp>
                            <wps:cNvCnPr/>
                            <wps:spPr>
                              <a:xfrm>
                                <a:off x="0" y="0"/>
                                <a:ext cx="635" cy="296545"/>
                              </a:xfrm>
                              <a:prstGeom prst="line">
                                <a:avLst/>
                              </a:prstGeom>
                              <a:ln w="12700" cap="flat" cmpd="sng">
                                <a:solidFill>
                                  <a:srgbClr val="000000"/>
                                </a:solidFill>
                                <a:prstDash val="dash"/>
                                <a:headEnd type="none" w="med" len="med"/>
                                <a:tailEnd type="arrow" w="med" len="med"/>
                              </a:ln>
                            </wps:spPr>
                            <wps:bodyPr upright="1"/>
                          </wps:wsp>
                        </a:graphicData>
                      </a:graphic>
                    </wp:anchor>
                  </w:drawing>
                </mc:Choice>
                <mc:Fallback>
                  <w:pict>
                    <v:line id="直线 760" o:spid="_x0000_s1026" o:spt="20" style="position:absolute;left:0pt;margin-left:362.9pt;margin-top:21.45pt;height:23.35pt;width:0.05pt;z-index:251662336;mso-width-relative:page;mso-height-relative:page;" filled="f" stroked="t" coordsize="21600,21600" o:gfxdata="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2MJ+dkAAAAJAQAADwAAAAAAAAABACAA&#10;AAAiAAAAZHJzL2Rvd25yZXYueG1sUEsBAhQAFAAAAAgAh07iQDUJskzTAQAAkgMAAA4AAAAAAAAA&#10;AQAgAAAAKAEAAGRycy9lMm9Eb2MueG1sUEsFBgAAAAAGAAYAWQEAAG0FAAAAAA==&#10;">
                      <v:fill on="f" focussize="0,0"/>
                      <v:stroke weight="1pt" color="#000000" joinstyle="round" dashstyle="dash" endarrow="open"/>
                      <v:imagedata o:title=""/>
                      <o:lock v:ext="edit" aspectratio="f"/>
                    </v:line>
                  </w:pict>
                </mc:Fallback>
              </mc:AlternateContent>
            </w:r>
          </w:p>
          <w:p>
            <w:pPr>
              <w:pStyle w:val="31"/>
              <w:spacing w:after="0" w:line="360" w:lineRule="auto"/>
              <w:ind w:firstLine="480" w:firstLineChars="200"/>
              <w:rPr>
                <w:rFonts w:hint="default" w:ascii="Times New Roman" w:hAnsi="Times New Roman" w:cs="Times New Roman"/>
                <w:color w:val="auto"/>
                <w:kern w:val="0"/>
                <w:position w:val="10"/>
                <w:sz w:val="24"/>
                <w:szCs w:val="24"/>
              </w:rPr>
            </w:pPr>
            <w:r>
              <w:rPr>
                <w:rFonts w:hint="default" w:ascii="Times New Roman" w:hAnsi="Times New Roman" w:cs="Times New Roman"/>
                <w:color w:val="auto"/>
                <w:sz w:val="24"/>
              </w:rPr>
              <mc:AlternateContent>
                <mc:Choice Requires="wps">
                  <w:drawing>
                    <wp:anchor distT="0" distB="0" distL="114300" distR="114300" simplePos="0" relativeHeight="251663360" behindDoc="0" locked="0" layoutInCell="1" allowOverlap="1">
                      <wp:simplePos x="0" y="0"/>
                      <wp:positionH relativeFrom="column">
                        <wp:posOffset>4401185</wp:posOffset>
                      </wp:positionH>
                      <wp:positionV relativeFrom="paragraph">
                        <wp:posOffset>140970</wp:posOffset>
                      </wp:positionV>
                      <wp:extent cx="453390" cy="296545"/>
                      <wp:effectExtent l="0" t="0" r="0" b="0"/>
                      <wp:wrapNone/>
                      <wp:docPr id="16" name="文本框 761"/>
                      <wp:cNvGraphicFramePr/>
                      <a:graphic xmlns:a="http://schemas.openxmlformats.org/drawingml/2006/main">
                        <a:graphicData uri="http://schemas.microsoft.com/office/word/2010/wordprocessingShape">
                          <wps:wsp>
                            <wps:cNvSpPr txBox="1"/>
                            <wps:spPr>
                              <a:xfrm>
                                <a:off x="0" y="0"/>
                                <a:ext cx="453390" cy="296545"/>
                              </a:xfrm>
                              <a:prstGeom prst="rect">
                                <a:avLst/>
                              </a:prstGeom>
                              <a:noFill/>
                              <a:ln w="12700">
                                <a:noFill/>
                              </a:ln>
                            </wps:spPr>
                            <wps:txbx>
                              <w:txbxContent>
                                <w:p>
                                  <w:pPr>
                                    <w:rPr>
                                      <w:rFonts w:hint="eastAsia"/>
                                    </w:rPr>
                                  </w:pPr>
                                  <w:r>
                                    <w:rPr>
                                      <w:rFonts w:hint="eastAsia"/>
                                    </w:rPr>
                                    <w:t>噪声</w:t>
                                  </w:r>
                                </w:p>
                              </w:txbxContent>
                            </wps:txbx>
                            <wps:bodyPr upright="1"/>
                          </wps:wsp>
                        </a:graphicData>
                      </a:graphic>
                    </wp:anchor>
                  </w:drawing>
                </mc:Choice>
                <mc:Fallback>
                  <w:pict>
                    <v:shape id="文本框 761" o:spid="_x0000_s1026" o:spt="202" type="#_x0000_t202" style="position:absolute;left:0pt;margin-left:346.55pt;margin-top:11.1pt;height:23.35pt;width:35.7pt;z-index:251663360;mso-width-relative:page;mso-height-relative:page;" filled="f" stroked="f" coordsize="21600,21600" o:gfxdata="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zuoA6dcAAAAJAQAADwAAAAAAAAABACAA&#10;AAAiAAAAZHJzL2Rvd25yZXYueG1sUEsBAhQAFAAAAAgAh07iQGeyx0ScAQAADAMAAA4AAAAAAAAA&#10;AQAgAAAAJgEAAGRycy9lMm9Eb2MueG1sUEsFBgAAAAAGAAYAWQEAADQFAAAAAA==&#10;">
                      <v:fill on="f" focussize="0,0"/>
                      <v:stroke on="f" weight="1pt"/>
                      <v:imagedata o:title=""/>
                      <o:lock v:ext="edit" aspectratio="f"/>
                      <v:textbox>
                        <w:txbxContent>
                          <w:p>
                            <w:pPr>
                              <w:rPr>
                                <w:rFonts w:hint="eastAsia"/>
                              </w:rPr>
                            </w:pPr>
                            <w:r>
                              <w:rPr>
                                <w:rFonts w:hint="eastAsia"/>
                              </w:rPr>
                              <w:t>噪声</w:t>
                            </w:r>
                          </w:p>
                        </w:txbxContent>
                      </v:textbox>
                    </v:shape>
                  </w:pict>
                </mc:Fallback>
              </mc:AlternateContent>
            </w:r>
            <w:r>
              <w:rPr>
                <w:rFonts w:hint="default" w:ascii="Times New Roman" w:hAnsi="Times New Roman" w:cs="Times New Roman"/>
                <w:color w:val="auto"/>
                <w:sz w:val="24"/>
              </w:rPr>
              <mc:AlternateContent>
                <mc:Choice Requires="wps">
                  <w:drawing>
                    <wp:anchor distT="0" distB="0" distL="114300" distR="114300" simplePos="0" relativeHeight="251664384" behindDoc="0" locked="0" layoutInCell="1" allowOverlap="1">
                      <wp:simplePos x="0" y="0"/>
                      <wp:positionH relativeFrom="column">
                        <wp:posOffset>399415</wp:posOffset>
                      </wp:positionH>
                      <wp:positionV relativeFrom="paragraph">
                        <wp:posOffset>173355</wp:posOffset>
                      </wp:positionV>
                      <wp:extent cx="814705" cy="296545"/>
                      <wp:effectExtent l="0" t="0" r="0" b="0"/>
                      <wp:wrapNone/>
                      <wp:docPr id="17" name="文本框 763"/>
                      <wp:cNvGraphicFramePr/>
                      <a:graphic xmlns:a="http://schemas.openxmlformats.org/drawingml/2006/main">
                        <a:graphicData uri="http://schemas.microsoft.com/office/word/2010/wordprocessingShape">
                          <wps:wsp>
                            <wps:cNvSpPr txBox="1"/>
                            <wps:spPr>
                              <a:xfrm>
                                <a:off x="0" y="0"/>
                                <a:ext cx="814705" cy="296545"/>
                              </a:xfrm>
                              <a:prstGeom prst="rect">
                                <a:avLst/>
                              </a:prstGeom>
                              <a:noFill/>
                              <a:ln w="12700">
                                <a:noFill/>
                              </a:ln>
                            </wps:spPr>
                            <wps:txbx>
                              <w:txbxContent>
                                <w:p>
                                  <w:pPr>
                                    <w:rPr>
                                      <w:rFonts w:hint="eastAsia"/>
                                    </w:rPr>
                                  </w:pPr>
                                  <w:r>
                                    <w:rPr>
                                      <w:rFonts w:hint="eastAsia"/>
                                    </w:rPr>
                                    <w:t>尾气、噪声</w:t>
                                  </w:r>
                                </w:p>
                              </w:txbxContent>
                            </wps:txbx>
                            <wps:bodyPr upright="1"/>
                          </wps:wsp>
                        </a:graphicData>
                      </a:graphic>
                    </wp:anchor>
                  </w:drawing>
                </mc:Choice>
                <mc:Fallback>
                  <w:pict>
                    <v:shape id="文本框 763" o:spid="_x0000_s1026" o:spt="202" type="#_x0000_t202" style="position:absolute;left:0pt;margin-left:31.45pt;margin-top:13.65pt;height:23.35pt;width:64.15pt;z-index:251664384;mso-width-relative:page;mso-height-relative:page;" filled="f" stroked="f" coordsize="21600,21600" o:gfxdata="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NG4Kb7XAAAACAEAAA8AAAAAAAAAAQAgAAAA&#10;IgAAAGRycy9kb3ducmV2LnhtbFBLAQIUABQAAAAIAIdO4kAD+bPlmgEAAAwDAAAOAAAAAAAAAAEA&#10;IAAAACYBAABkcnMvZTJvRG9jLnhtbFBLBQYAAAAABgAGAFkBAAAyBQAAAAA=&#10;">
                      <v:fill on="f" focussize="0,0"/>
                      <v:stroke on="f" weight="1pt"/>
                      <v:imagedata o:title=""/>
                      <o:lock v:ext="edit" aspectratio="f"/>
                      <v:textbox>
                        <w:txbxContent>
                          <w:p>
                            <w:pPr>
                              <w:rPr>
                                <w:rFonts w:hint="eastAsia"/>
                              </w:rPr>
                            </w:pPr>
                            <w:r>
                              <w:rPr>
                                <w:rFonts w:hint="eastAsia"/>
                              </w:rPr>
                              <w:t>尾气、噪声</w:t>
                            </w:r>
                          </w:p>
                        </w:txbxContent>
                      </v:textbox>
                    </v:shape>
                  </w:pict>
                </mc:Fallback>
              </mc:AlternateContent>
            </w:r>
          </w:p>
          <w:p>
            <w:pPr>
              <w:spacing w:line="360" w:lineRule="auto"/>
              <w:ind w:firstLine="422" w:firstLineChars="200"/>
              <w:jc w:val="center"/>
              <w:rPr>
                <w:rFonts w:hint="default" w:ascii="Times New Roman" w:hAnsi="Times New Roman" w:cs="Times New Roman"/>
                <w:b/>
                <w:bCs/>
                <w:color w:val="auto"/>
              </w:rPr>
            </w:pPr>
          </w:p>
          <w:p>
            <w:pPr>
              <w:spacing w:line="360" w:lineRule="auto"/>
              <w:ind w:firstLine="422" w:firstLineChars="200"/>
              <w:jc w:val="center"/>
              <w:rPr>
                <w:rFonts w:hint="default" w:ascii="Times New Roman" w:hAnsi="Times New Roman" w:cs="Times New Roman"/>
                <w:color w:val="auto"/>
                <w:kern w:val="0"/>
                <w:position w:val="10"/>
                <w:sz w:val="24"/>
              </w:rPr>
            </w:pPr>
            <w:r>
              <w:rPr>
                <w:rFonts w:hint="default" w:ascii="Times New Roman" w:hAnsi="Times New Roman" w:cs="Times New Roman"/>
                <w:b/>
                <w:bCs/>
                <w:color w:val="auto"/>
              </w:rPr>
              <w:t>图</w:t>
            </w:r>
            <w:r>
              <w:rPr>
                <w:rFonts w:hint="eastAsia" w:cs="Times New Roman"/>
                <w:b/>
                <w:bCs/>
                <w:color w:val="auto"/>
                <w:lang w:val="en-US" w:eastAsia="zh-CN"/>
              </w:rPr>
              <w:t>10</w:t>
            </w:r>
            <w:r>
              <w:rPr>
                <w:rFonts w:hint="default" w:ascii="Times New Roman" w:hAnsi="Times New Roman" w:cs="Times New Roman"/>
                <w:b/>
                <w:bCs/>
                <w:color w:val="auto"/>
              </w:rPr>
              <w:t xml:space="preserve">  工艺流程图</w:t>
            </w:r>
          </w:p>
          <w:p>
            <w:pPr>
              <w:pStyle w:val="31"/>
              <w:spacing w:after="0" w:line="360" w:lineRule="auto"/>
              <w:ind w:firstLine="0" w:firstLineChars="0"/>
              <w:rPr>
                <w:rFonts w:hint="default" w:ascii="Times New Roman" w:hAnsi="Times New Roman" w:cs="Times New Roman"/>
                <w:b/>
                <w:bCs/>
                <w:color w:val="auto"/>
                <w:kern w:val="0"/>
                <w:position w:val="10"/>
                <w:sz w:val="24"/>
                <w:szCs w:val="24"/>
              </w:rPr>
            </w:pPr>
            <w:r>
              <w:rPr>
                <w:rFonts w:hint="default" w:ascii="Times New Roman" w:hAnsi="Times New Roman" w:cs="Times New Roman"/>
                <w:b/>
                <w:bCs/>
                <w:color w:val="auto"/>
                <w:kern w:val="0"/>
                <w:position w:val="10"/>
                <w:sz w:val="24"/>
                <w:szCs w:val="24"/>
              </w:rPr>
              <w:t>2.2运营期工艺技术说明</w:t>
            </w:r>
          </w:p>
          <w:p>
            <w:pPr>
              <w:autoSpaceDE w:val="0"/>
              <w:autoSpaceDN w:val="0"/>
              <w:spacing w:line="360" w:lineRule="auto"/>
              <w:ind w:right="76" w:firstLine="480" w:firstLineChars="200"/>
              <w:rPr>
                <w:rFonts w:hint="default" w:ascii="Times New Roman" w:hAnsi="Times New Roman" w:cs="Times New Roman"/>
                <w:color w:val="auto"/>
                <w:sz w:val="28"/>
                <w:szCs w:val="28"/>
              </w:rPr>
            </w:pPr>
            <w:r>
              <w:rPr>
                <w:rFonts w:hint="default" w:ascii="Times New Roman" w:hAnsi="Times New Roman" w:cs="Times New Roman"/>
                <w:color w:val="auto"/>
                <w:sz w:val="24"/>
              </w:rPr>
              <w:t>粗白油罐车进入厂内装卸站，连接罐车卸车管与卸车鹤管，启动卸车输送泵把粗白油打入指定的罐内。粗白油出厂时，确认指定槽车，连接装车鹤管与罐车装车管，启动装车输送泵把粗白油打入罐车内。</w:t>
            </w:r>
          </w:p>
          <w:p>
            <w:pPr>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2.3运营期主要污染工序</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2.3.1废水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（1）生产废水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根据本项目工艺流程可知，本项目无生产废水。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（2）生活污水</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厂区内员工20人，根据《建筑及排水设计规范》中的相关用水参考值，员工按每人每班用水按50L计算，项目区生活用水量1m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/d（280m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/a）。生活污水量按生活用水量的85% 计，生活污水量为0.85m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/d（238m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/a)。生活污水经过厂区内化粪池预处理达到《污水综合排放标准》（GB8978-1996）中三级排放标准后</w:t>
            </w:r>
            <w:r>
              <w:rPr>
                <w:rFonts w:hint="default" w:ascii="Times New Roman" w:hAnsi="Times New Roman" w:cs="Times New Roman"/>
                <w:snapToGrid w:val="0"/>
                <w:color w:val="auto"/>
                <w:sz w:val="24"/>
              </w:rPr>
              <w:t>排入呼图壁县工业园区下水管网，最终进入</w:t>
            </w:r>
            <w:r>
              <w:rPr>
                <w:rFonts w:hint="default" w:ascii="Times New Roman" w:hAnsi="Times New Roman" w:cs="Times New Roman"/>
                <w:color w:val="auto"/>
                <w:sz w:val="24"/>
              </w:rPr>
              <w:t>呼图壁县工业园污水处理厂。废水中主要污染物为CODcr、BOD</w:t>
            </w:r>
            <w:r>
              <w:rPr>
                <w:rFonts w:hint="default" w:ascii="Times New Roman" w:hAnsi="Times New Roman" w:cs="Times New Roman"/>
                <w:color w:val="auto"/>
                <w:sz w:val="24"/>
                <w:vertAlign w:val="subscript"/>
              </w:rPr>
              <w:t>5</w:t>
            </w:r>
            <w:r>
              <w:rPr>
                <w:rFonts w:hint="default" w:ascii="Times New Roman" w:hAnsi="Times New Roman" w:cs="Times New Roman"/>
                <w:color w:val="auto"/>
                <w:sz w:val="24"/>
              </w:rPr>
              <w:t>、SS、氨氮等，其产生浓度及产生量见下表：</w:t>
            </w:r>
          </w:p>
          <w:p>
            <w:pPr>
              <w:pStyle w:val="113"/>
              <w:overflowPunct w:val="0"/>
              <w:spacing w:line="240" w:lineRule="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表15    污水浓度一览表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857"/>
              <w:gridCol w:w="1550"/>
              <w:gridCol w:w="1863"/>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污染物名称</w:t>
                  </w:r>
                </w:p>
              </w:tc>
              <w:tc>
                <w:tcPr>
                  <w:tcW w:w="1857"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lang w:val="fr-FR"/>
                    </w:rPr>
                    <w:t>产生浓度（</w:t>
                  </w:r>
                  <w:r>
                    <w:rPr>
                      <w:rFonts w:hint="default" w:ascii="Times New Roman" w:hAnsi="Times New Roman" w:cs="Times New Roman"/>
                      <w:b/>
                      <w:bCs/>
                      <w:color w:val="auto"/>
                      <w:szCs w:val="21"/>
                    </w:rPr>
                    <w:t>mg/L</w:t>
                  </w:r>
                  <w:r>
                    <w:rPr>
                      <w:rFonts w:hint="default" w:ascii="Times New Roman" w:hAnsi="Times New Roman" w:cs="Times New Roman"/>
                      <w:b/>
                      <w:bCs/>
                      <w:color w:val="auto"/>
                      <w:szCs w:val="21"/>
                      <w:lang w:val="fr-FR"/>
                    </w:rPr>
                    <w:t>）</w:t>
                  </w:r>
                </w:p>
              </w:tc>
              <w:tc>
                <w:tcPr>
                  <w:tcW w:w="1550"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lang w:val="fr-FR"/>
                    </w:rPr>
                    <w:t>产生量（</w:t>
                  </w:r>
                  <w:r>
                    <w:rPr>
                      <w:rFonts w:hint="default" w:ascii="Times New Roman" w:hAnsi="Times New Roman" w:cs="Times New Roman"/>
                      <w:b/>
                      <w:bCs/>
                      <w:color w:val="auto"/>
                      <w:szCs w:val="21"/>
                    </w:rPr>
                    <w:t>t/a</w:t>
                  </w:r>
                  <w:r>
                    <w:rPr>
                      <w:rFonts w:hint="default" w:ascii="Times New Roman" w:hAnsi="Times New Roman" w:cs="Times New Roman"/>
                      <w:b/>
                      <w:bCs/>
                      <w:color w:val="auto"/>
                      <w:szCs w:val="21"/>
                      <w:lang w:val="fr-FR"/>
                    </w:rPr>
                    <w:t>）</w:t>
                  </w:r>
                </w:p>
              </w:tc>
              <w:tc>
                <w:tcPr>
                  <w:tcW w:w="1863" w:type="dxa"/>
                  <w:vAlign w:val="center"/>
                </w:tcPr>
                <w:p>
                  <w:pPr>
                    <w:jc w:val="center"/>
                    <w:rPr>
                      <w:rFonts w:hint="default" w:ascii="Times New Roman" w:hAnsi="Times New Roman" w:cs="Times New Roman"/>
                      <w:b/>
                      <w:bCs/>
                      <w:color w:val="auto"/>
                      <w:szCs w:val="21"/>
                      <w:lang w:val="fr-FR"/>
                    </w:rPr>
                  </w:pPr>
                  <w:r>
                    <w:rPr>
                      <w:rFonts w:hint="default" w:ascii="Times New Roman" w:hAnsi="Times New Roman" w:cs="Times New Roman"/>
                      <w:b/>
                      <w:bCs/>
                      <w:color w:val="auto"/>
                      <w:szCs w:val="21"/>
                      <w:lang w:val="fr-FR"/>
                    </w:rPr>
                    <w:t>排放浓度（</w:t>
                  </w:r>
                  <w:r>
                    <w:rPr>
                      <w:rFonts w:hint="default" w:ascii="Times New Roman" w:hAnsi="Times New Roman" w:cs="Times New Roman"/>
                      <w:b/>
                      <w:bCs/>
                      <w:color w:val="auto"/>
                      <w:szCs w:val="21"/>
                    </w:rPr>
                    <w:t>mg/L</w:t>
                  </w:r>
                  <w:r>
                    <w:rPr>
                      <w:rFonts w:hint="default" w:ascii="Times New Roman" w:hAnsi="Times New Roman" w:cs="Times New Roman"/>
                      <w:b/>
                      <w:bCs/>
                      <w:color w:val="auto"/>
                      <w:szCs w:val="21"/>
                      <w:lang w:val="fr-FR"/>
                    </w:rPr>
                    <w:t>）</w:t>
                  </w:r>
                </w:p>
              </w:tc>
              <w:tc>
                <w:tcPr>
                  <w:tcW w:w="1860" w:type="dxa"/>
                  <w:vAlign w:val="center"/>
                </w:tcPr>
                <w:p>
                  <w:pPr>
                    <w:jc w:val="center"/>
                    <w:rPr>
                      <w:rFonts w:hint="default" w:ascii="Times New Roman" w:hAnsi="Times New Roman" w:cs="Times New Roman"/>
                      <w:b/>
                      <w:bCs/>
                      <w:color w:val="auto"/>
                      <w:szCs w:val="21"/>
                      <w:lang w:val="fr-FR"/>
                    </w:rPr>
                  </w:pPr>
                  <w:r>
                    <w:rPr>
                      <w:rFonts w:hint="default" w:ascii="Times New Roman" w:hAnsi="Times New Roman" w:cs="Times New Roman"/>
                      <w:b/>
                      <w:bCs/>
                      <w:color w:val="auto"/>
                      <w:szCs w:val="21"/>
                      <w:lang w:val="fr-FR"/>
                    </w:rPr>
                    <w:t>排放量（</w:t>
                  </w:r>
                  <w:r>
                    <w:rPr>
                      <w:rFonts w:hint="default" w:ascii="Times New Roman" w:hAnsi="Times New Roman" w:cs="Times New Roman"/>
                      <w:b/>
                      <w:bCs/>
                      <w:color w:val="auto"/>
                      <w:szCs w:val="21"/>
                    </w:rPr>
                    <w:t>t/a</w:t>
                  </w:r>
                  <w:r>
                    <w:rPr>
                      <w:rFonts w:hint="default" w:ascii="Times New Roman" w:hAnsi="Times New Roman" w:cs="Times New Roman"/>
                      <w:b/>
                      <w:bCs/>
                      <w:color w:val="auto"/>
                      <w:szCs w:val="21"/>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SS</w:t>
                  </w:r>
                </w:p>
              </w:tc>
              <w:tc>
                <w:tcPr>
                  <w:tcW w:w="1857"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color w:val="auto"/>
                    </w:rPr>
                    <w:t>200</w:t>
                  </w:r>
                </w:p>
              </w:tc>
              <w:tc>
                <w:tcPr>
                  <w:tcW w:w="1550"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0.048</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snapToGrid w:val="0"/>
                      <w:color w:val="auto"/>
                      <w:kern w:val="0"/>
                      <w:szCs w:val="21"/>
                    </w:rPr>
                    <w:t>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BOD</w:t>
                  </w:r>
                  <w:r>
                    <w:rPr>
                      <w:rFonts w:hint="default" w:ascii="Times New Roman" w:hAnsi="Times New Roman" w:cs="Times New Roman"/>
                      <w:color w:val="auto"/>
                      <w:szCs w:val="21"/>
                      <w:vertAlign w:val="subscript"/>
                    </w:rPr>
                    <w:t>5</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400</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0.095</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400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COD</w:t>
                  </w:r>
                  <w:r>
                    <w:rPr>
                      <w:rFonts w:hint="default" w:ascii="Times New Roman" w:hAnsi="Times New Roman" w:cs="Times New Roman"/>
                      <w:color w:val="auto"/>
                      <w:szCs w:val="21"/>
                      <w:vertAlign w:val="subscript"/>
                    </w:rPr>
                    <w:t>cr</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0.048</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NH</w:t>
                  </w:r>
                  <w:r>
                    <w:rPr>
                      <w:rFonts w:hint="default" w:ascii="Times New Roman" w:hAnsi="Times New Roman" w:cs="Times New Roman"/>
                      <w:color w:val="auto"/>
                      <w:szCs w:val="21"/>
                      <w:vertAlign w:val="subscript"/>
                    </w:rPr>
                    <w:t>3</w:t>
                  </w:r>
                  <w:r>
                    <w:rPr>
                      <w:rFonts w:hint="default" w:ascii="Times New Roman" w:hAnsi="Times New Roman" w:cs="Times New Roman"/>
                      <w:color w:val="auto"/>
                      <w:szCs w:val="21"/>
                    </w:rPr>
                    <w:t>-N</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25</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25</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r>
          </w:tbl>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2.3.2废气</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（1）罐区大小呼吸废气</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本项目粗白油储罐区大小呼吸废气的大小呼吸废气采用中国石油化工系统经验公式法计算废气量。</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1）拱顶罐大呼吸损失</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拱顶罐大呼吸损耗计算公式如下：</w:t>
            </w:r>
          </w:p>
          <w:p>
            <w:pPr>
              <w:pStyle w:val="43"/>
              <w:keepNext w:val="0"/>
              <w:keepLines w:val="0"/>
              <w:pageBreakBefore w:val="0"/>
              <w:widowControl w:val="0"/>
              <w:kinsoku/>
              <w:wordWrap/>
              <w:overflowPunct/>
              <w:topLinePunct w:val="0"/>
              <w:bidi w:val="0"/>
              <w:snapToGrid/>
              <w:spacing w:line="360" w:lineRule="auto"/>
              <w:ind w:left="0" w:leftChars="0" w:right="0" w:right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L</w:t>
            </w:r>
            <w:r>
              <w:rPr>
                <w:rFonts w:hint="default" w:ascii="Times New Roman" w:hAnsi="Times New Roman" w:cs="Times New Roman"/>
                <w:color w:val="auto"/>
                <w:vertAlign w:val="subscript"/>
              </w:rPr>
              <w:t>DW</w:t>
            </w:r>
            <w:r>
              <w:rPr>
                <w:rFonts w:hint="default" w:ascii="Times New Roman" w:hAnsi="Times New Roman" w:cs="Times New Roman"/>
                <w:color w:val="auto"/>
              </w:rPr>
              <w:t>=4.35·10</w:t>
            </w:r>
            <w:r>
              <w:rPr>
                <w:rFonts w:hint="default" w:ascii="Times New Roman" w:hAnsi="Times New Roman" w:cs="Times New Roman"/>
                <w:color w:val="auto"/>
                <w:vertAlign w:val="superscript"/>
              </w:rPr>
              <w:t>-5</w:t>
            </w:r>
            <w:r>
              <w:rPr>
                <w:rFonts w:hint="default" w:ascii="Times New Roman" w:hAnsi="Times New Roman" w:cs="Times New Roman"/>
                <w:color w:val="auto"/>
              </w:rPr>
              <w:t>·P·V</w:t>
            </w:r>
            <w:r>
              <w:rPr>
                <w:rFonts w:hint="default" w:ascii="Times New Roman" w:hAnsi="Times New Roman" w:cs="Times New Roman"/>
                <w:color w:val="auto"/>
                <w:vertAlign w:val="subscript"/>
              </w:rPr>
              <w:t>L</w:t>
            </w:r>
            <w:r>
              <w:rPr>
                <w:rFonts w:hint="default" w:ascii="Times New Roman" w:hAnsi="Times New Roman" w:cs="Times New Roman"/>
                <w:color w:val="auto"/>
              </w:rPr>
              <w:t>·V·K</w:t>
            </w:r>
            <w:r>
              <w:rPr>
                <w:rFonts w:hint="default" w:ascii="Times New Roman" w:hAnsi="Times New Roman" w:cs="Times New Roman"/>
                <w:color w:val="auto"/>
                <w:vertAlign w:val="subscript"/>
              </w:rPr>
              <w:t>T</w:t>
            </w:r>
            <w:r>
              <w:rPr>
                <w:rFonts w:hint="default" w:ascii="Times New Roman" w:hAnsi="Times New Roman" w:cs="Times New Roman"/>
                <w:color w:val="auto"/>
              </w:rPr>
              <w:t>·K</w:t>
            </w:r>
            <w:r>
              <w:rPr>
                <w:rFonts w:hint="default" w:ascii="Times New Roman" w:hAnsi="Times New Roman" w:cs="Times New Roman"/>
                <w:color w:val="auto"/>
                <w:vertAlign w:val="subscript"/>
              </w:rPr>
              <w:t>E</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DW</w:t>
            </w:r>
            <w:r>
              <w:rPr>
                <w:rFonts w:hint="default" w:ascii="Times New Roman" w:hAnsi="Times New Roman" w:cs="Times New Roman"/>
                <w:color w:val="auto"/>
                <w:sz w:val="24"/>
              </w:rPr>
              <w:t>-拱顶罐大呼吸蒸发损耗量(kg/a)；</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 xml:space="preserve"> P-储罐内平均温度下液体的真实蒸汽压(Pa)；</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 xml:space="preserve"> V</w:t>
            </w:r>
            <w:r>
              <w:rPr>
                <w:rFonts w:hint="default" w:ascii="Times New Roman" w:hAnsi="Times New Roman" w:cs="Times New Roman"/>
                <w:color w:val="auto"/>
                <w:sz w:val="24"/>
                <w:vertAlign w:val="subscript"/>
              </w:rPr>
              <w:t>L</w:t>
            </w:r>
            <w:r>
              <w:rPr>
                <w:rFonts w:hint="default" w:ascii="Times New Roman" w:hAnsi="Times New Roman" w:cs="Times New Roman"/>
                <w:color w:val="auto"/>
                <w:sz w:val="24"/>
              </w:rPr>
              <w:t>-泵送液体入罐量(m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V-储存油品的平均重度(t/m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 xml:space="preserve">)； </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K</w:t>
            </w:r>
            <w:r>
              <w:rPr>
                <w:rFonts w:hint="default" w:ascii="Times New Roman" w:hAnsi="Times New Roman" w:cs="Times New Roman"/>
                <w:color w:val="auto"/>
                <w:sz w:val="24"/>
                <w:vertAlign w:val="subscript"/>
              </w:rPr>
              <w:t>T</w:t>
            </w:r>
            <w:r>
              <w:rPr>
                <w:rFonts w:hint="default" w:ascii="Times New Roman" w:hAnsi="Times New Roman" w:cs="Times New Roman"/>
                <w:color w:val="auto"/>
                <w:sz w:val="24"/>
              </w:rPr>
              <w:t>-周转系数，与储罐周转次数有关5；</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 xml:space="preserve"> K</w:t>
            </w:r>
            <w:r>
              <w:rPr>
                <w:rFonts w:hint="default" w:ascii="Times New Roman" w:hAnsi="Times New Roman" w:cs="Times New Roman"/>
                <w:color w:val="auto"/>
                <w:sz w:val="24"/>
                <w:vertAlign w:val="subscript"/>
              </w:rPr>
              <w:t>E</w:t>
            </w:r>
            <w:r>
              <w:rPr>
                <w:rFonts w:hint="default" w:ascii="Times New Roman" w:hAnsi="Times New Roman" w:cs="Times New Roman"/>
                <w:color w:val="auto"/>
                <w:sz w:val="24"/>
              </w:rPr>
              <w:t>-系数(粗白油 K</w:t>
            </w:r>
            <w:r>
              <w:rPr>
                <w:rFonts w:hint="default" w:ascii="Times New Roman" w:hAnsi="Times New Roman" w:cs="Times New Roman"/>
                <w:color w:val="auto"/>
                <w:sz w:val="24"/>
                <w:vertAlign w:val="subscript"/>
              </w:rPr>
              <w:t>E</w:t>
            </w:r>
            <w:r>
              <w:rPr>
                <w:rFonts w:hint="default" w:ascii="Times New Roman" w:hAnsi="Times New Roman" w:cs="Times New Roman"/>
                <w:color w:val="auto"/>
                <w:sz w:val="24"/>
              </w:rPr>
              <w:t>=0.5)。</w:t>
            </w:r>
          </w:p>
          <w:p>
            <w:pPr>
              <w:keepNext w:val="0"/>
              <w:keepLines w:val="0"/>
              <w:pageBreakBefore w:val="0"/>
              <w:widowControl w:val="0"/>
              <w:kinsoku/>
              <w:wordWrap/>
              <w:topLinePunct w:val="0"/>
              <w:autoSpaceDE/>
              <w:autoSpaceDN/>
              <w:bidi w:val="0"/>
              <w:spacing w:line="360" w:lineRule="auto"/>
              <w:ind w:left="0" w:leftChars="0" w:right="0" w:rightChars="0" w:firstLine="480" w:firstLineChars="20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本项目拱顶罐大呼吸蒸发损耗计算参数及结果详见表16。</w:t>
            </w:r>
          </w:p>
          <w:p>
            <w:pPr>
              <w:pStyle w:val="113"/>
              <w:keepNext w:val="0"/>
              <w:keepLines w:val="0"/>
              <w:pageBreakBefore w:val="0"/>
              <w:widowControl w:val="0"/>
              <w:kinsoku/>
              <w:wordWrap/>
              <w:overflowPunct w:val="0"/>
              <w:topLinePunct w:val="0"/>
              <w:autoSpaceDE/>
              <w:autoSpaceDN/>
              <w:bidi w:val="0"/>
              <w:spacing w:line="360" w:lineRule="auto"/>
              <w:ind w:left="0" w:leftChars="0" w:right="0" w:rightChars="0"/>
              <w:textAlignment w:val="auto"/>
              <w:outlineLvl w:val="9"/>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表16   本项目拱顶罐大呼吸蒸发损耗计算参数及结果一览表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951"/>
              <w:gridCol w:w="952"/>
              <w:gridCol w:w="952"/>
              <w:gridCol w:w="952"/>
              <w:gridCol w:w="952"/>
              <w:gridCol w:w="952"/>
              <w:gridCol w:w="952"/>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容积</w:t>
                  </w:r>
                </w:p>
              </w:tc>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个数</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P</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V</w:t>
                  </w:r>
                  <w:r>
                    <w:rPr>
                      <w:rFonts w:hint="default" w:ascii="Times New Roman" w:hAnsi="Times New Roman" w:cs="Times New Roman"/>
                      <w:color w:val="auto"/>
                      <w:sz w:val="21"/>
                      <w:szCs w:val="21"/>
                      <w:vertAlign w:val="subscript"/>
                    </w:rPr>
                    <w:t>L</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V</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w:t>
                  </w:r>
                  <w:r>
                    <w:rPr>
                      <w:rFonts w:hint="default" w:ascii="Times New Roman" w:hAnsi="Times New Roman" w:cs="Times New Roman"/>
                      <w:color w:val="auto"/>
                      <w:sz w:val="21"/>
                      <w:szCs w:val="21"/>
                      <w:vertAlign w:val="subscript"/>
                    </w:rPr>
                    <w:t>T</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w:t>
                  </w:r>
                  <w:r>
                    <w:rPr>
                      <w:rFonts w:hint="default" w:ascii="Times New Roman" w:hAnsi="Times New Roman" w:cs="Times New Roman"/>
                      <w:color w:val="auto"/>
                      <w:sz w:val="21"/>
                      <w:szCs w:val="21"/>
                      <w:vertAlign w:val="subscript"/>
                    </w:rPr>
                    <w:t>E</w:t>
                  </w:r>
                </w:p>
              </w:tc>
              <w:tc>
                <w:tcPr>
                  <w:tcW w:w="1904" w:type="dxa"/>
                  <w:gridSpan w:val="2"/>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L</w:t>
                  </w:r>
                  <w:r>
                    <w:rPr>
                      <w:rFonts w:hint="default" w:ascii="Times New Roman" w:hAnsi="Times New Roman" w:cs="Times New Roman"/>
                      <w:color w:val="auto"/>
                      <w:sz w:val="21"/>
                      <w:szCs w:val="21"/>
                      <w:vertAlign w:val="subscript"/>
                    </w:rPr>
                    <w:t>DW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p>
              </w:tc>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Pa</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vertAlign w:val="baseline"/>
                    </w:rPr>
                    <w:t>/a</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t/m</w:t>
                  </w:r>
                  <w:r>
                    <w:rPr>
                      <w:rFonts w:hint="default" w:ascii="Times New Roman" w:hAnsi="Times New Roman" w:cs="Times New Roman"/>
                      <w:color w:val="auto"/>
                      <w:sz w:val="21"/>
                      <w:szCs w:val="21"/>
                      <w:vertAlign w:val="superscript"/>
                    </w:rPr>
                    <w:t>3</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kg/a</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2000</w:t>
                  </w:r>
                </w:p>
              </w:tc>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4000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0.8937</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116.63</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1000</w:t>
                  </w:r>
                </w:p>
              </w:tc>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8</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8000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0.8937</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233.26</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500</w:t>
                  </w:r>
                </w:p>
              </w:tc>
              <w:tc>
                <w:tcPr>
                  <w:tcW w:w="951"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1000</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0.8937</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0.5</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29.16</w:t>
                  </w:r>
                </w:p>
              </w:tc>
              <w:tc>
                <w:tcPr>
                  <w:tcW w:w="952" w:type="dxa"/>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2" w:type="dxa"/>
                  <w:gridSpan w:val="7"/>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合计</w:t>
                  </w:r>
                </w:p>
              </w:tc>
              <w:tc>
                <w:tcPr>
                  <w:tcW w:w="952" w:type="dxa"/>
                </w:tcPr>
                <w:p>
                  <w:pP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379.05</w:t>
                  </w:r>
                </w:p>
              </w:tc>
              <w:tc>
                <w:tcPr>
                  <w:tcW w:w="952" w:type="dxa"/>
                </w:tcPr>
                <w:p>
                  <w:pP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0.38</w:t>
                  </w:r>
                </w:p>
              </w:tc>
            </w:tr>
          </w:tbl>
          <w:p>
            <w:pPr>
              <w:rPr>
                <w:rFonts w:hint="default" w:ascii="Times New Roman" w:hAnsi="Times New Roman" w:cs="Times New Roman"/>
                <w:color w:val="auto"/>
                <w:sz w:val="24"/>
              </w:rPr>
            </w:pPr>
          </w:p>
          <w:p>
            <w:pPr>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2）拱顶罐小呼吸损失</w:t>
            </w:r>
          </w:p>
          <w:p>
            <w:pPr>
              <w:pStyle w:val="43"/>
              <w:keepNext w:val="0"/>
              <w:keepLines w:val="0"/>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拱顶罐小呼吸损耗计算公式如下：</w:t>
            </w:r>
          </w:p>
          <w:p>
            <w:pPr>
              <w:keepNext w:val="0"/>
              <w:keepLines w:val="0"/>
              <w:pageBreakBefore w:val="0"/>
              <w:widowControl w:val="0"/>
              <w:kinsoku/>
              <w:wordWrap/>
              <w:overflowPunct/>
              <w:topLinePunct w:val="0"/>
              <w:bidi w:val="0"/>
              <w:snapToGrid/>
              <w:spacing w:line="360" w:lineRule="auto"/>
              <w:ind w:left="0" w:leftChars="0" w:right="0" w:rightChars="0"/>
              <w:jc w:val="center"/>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L</w:t>
            </w:r>
            <w:r>
              <w:rPr>
                <w:rFonts w:hint="default" w:ascii="Times New Roman" w:hAnsi="Times New Roman" w:cs="Times New Roman"/>
                <w:color w:val="auto"/>
                <w:sz w:val="24"/>
                <w:szCs w:val="24"/>
                <w:vertAlign w:val="subscript"/>
              </w:rPr>
              <w:t>DS</w:t>
            </w:r>
            <w:r>
              <w:rPr>
                <w:rFonts w:hint="default" w:ascii="Times New Roman" w:hAnsi="Times New Roman" w:cs="Times New Roman"/>
                <w:color w:val="auto"/>
                <w:sz w:val="24"/>
                <w:szCs w:val="24"/>
              </w:rPr>
              <w:t>=12.751·10</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·K</w:t>
            </w:r>
            <w:r>
              <w:rPr>
                <w:rFonts w:hint="default" w:ascii="Times New Roman" w:hAnsi="Times New Roman" w:cs="Times New Roman"/>
                <w:color w:val="auto"/>
                <w:sz w:val="24"/>
                <w:szCs w:val="24"/>
                <w:vertAlign w:val="subscript"/>
              </w:rPr>
              <w:t>E</w:t>
            </w:r>
            <w:r>
              <w:rPr>
                <w:rFonts w:hint="default" w:ascii="Times New Roman" w:hAnsi="Times New Roman" w:cs="Times New Roman"/>
                <w:color w:val="auto"/>
                <w:sz w:val="24"/>
                <w:szCs w:val="24"/>
              </w:rPr>
              <w:t>[P/(760-P)]</w:t>
            </w:r>
            <w:r>
              <w:rPr>
                <w:rFonts w:hint="default" w:ascii="Times New Roman" w:hAnsi="Times New Roman" w:cs="Times New Roman"/>
                <w:color w:val="auto"/>
                <w:sz w:val="24"/>
                <w:szCs w:val="24"/>
                <w:vertAlign w:val="superscript"/>
              </w:rPr>
              <w:t>0.68</w:t>
            </w:r>
            <w:r>
              <w:rPr>
                <w:rFonts w:hint="default" w:ascii="Times New Roman" w:hAnsi="Times New Roman" w:cs="Times New Roman"/>
                <w:color w:val="auto"/>
                <w:sz w:val="24"/>
                <w:szCs w:val="24"/>
              </w:rPr>
              <w:t>·V·D</w:t>
            </w:r>
            <w:r>
              <w:rPr>
                <w:rFonts w:hint="default" w:ascii="Times New Roman" w:hAnsi="Times New Roman" w:cs="Times New Roman"/>
                <w:color w:val="auto"/>
                <w:sz w:val="24"/>
                <w:szCs w:val="24"/>
                <w:vertAlign w:val="superscript"/>
              </w:rPr>
              <w:t>1.73</w:t>
            </w:r>
            <w:r>
              <w:rPr>
                <w:rFonts w:hint="default" w:ascii="Times New Roman" w:hAnsi="Times New Roman" w:cs="Times New Roman"/>
                <w:color w:val="auto"/>
                <w:sz w:val="24"/>
                <w:szCs w:val="24"/>
              </w:rPr>
              <w:t>·H</w:t>
            </w:r>
            <w:r>
              <w:rPr>
                <w:rFonts w:hint="default" w:ascii="Times New Roman" w:hAnsi="Times New Roman" w:cs="Times New Roman"/>
                <w:color w:val="auto"/>
                <w:sz w:val="24"/>
                <w:szCs w:val="24"/>
                <w:vertAlign w:val="superscript"/>
              </w:rPr>
              <w:t>0.51</w:t>
            </w:r>
            <w:r>
              <w:rPr>
                <w:rFonts w:hint="default" w:ascii="Times New Roman" w:hAnsi="Times New Roman" w:cs="Times New Roman"/>
                <w:color w:val="auto"/>
                <w:sz w:val="24"/>
                <w:szCs w:val="24"/>
              </w:rPr>
              <w:t>·T</w:t>
            </w:r>
            <w:r>
              <w:rPr>
                <w:rFonts w:hint="default" w:ascii="Times New Roman" w:hAnsi="Times New Roman" w:cs="Times New Roman"/>
                <w:color w:val="auto"/>
                <w:sz w:val="24"/>
                <w:szCs w:val="24"/>
                <w:vertAlign w:val="superscript"/>
              </w:rPr>
              <w:t>0.5</w:t>
            </w:r>
            <w:r>
              <w:rPr>
                <w:rFonts w:hint="default" w:ascii="Times New Roman" w:hAnsi="Times New Roman" w:cs="Times New Roman"/>
                <w:color w:val="auto"/>
                <w:sz w:val="24"/>
                <w:szCs w:val="24"/>
              </w:rPr>
              <w:t>·F</w:t>
            </w:r>
            <w:r>
              <w:rPr>
                <w:rFonts w:hint="default" w:ascii="Times New Roman" w:hAnsi="Times New Roman" w:cs="Times New Roman"/>
                <w:color w:val="auto"/>
                <w:sz w:val="24"/>
                <w:szCs w:val="24"/>
                <w:vertAlign w:val="subscript"/>
              </w:rPr>
              <w:t>P</w:t>
            </w:r>
            <w:r>
              <w:rPr>
                <w:rFonts w:hint="default" w:ascii="Times New Roman" w:hAnsi="Times New Roman" w:cs="Times New Roman"/>
                <w:color w:val="auto"/>
                <w:sz w:val="24"/>
                <w:szCs w:val="24"/>
              </w:rPr>
              <w:t>·C</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DS</w:t>
            </w:r>
            <w:r>
              <w:rPr>
                <w:rFonts w:hint="default" w:ascii="Times New Roman" w:hAnsi="Times New Roman" w:cs="Times New Roman"/>
                <w:color w:val="auto"/>
                <w:sz w:val="24"/>
              </w:rPr>
              <w:t xml:space="preserve">-拱顶罐小呼吸蒸发损耗量(kg/a)；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K</w:t>
            </w:r>
            <w:r>
              <w:rPr>
                <w:rFonts w:hint="default" w:ascii="Times New Roman" w:hAnsi="Times New Roman" w:cs="Times New Roman"/>
                <w:color w:val="auto"/>
                <w:sz w:val="24"/>
                <w:vertAlign w:val="subscript"/>
              </w:rPr>
              <w:t>E</w:t>
            </w:r>
            <w:r>
              <w:rPr>
                <w:rFonts w:hint="default" w:ascii="Times New Roman" w:hAnsi="Times New Roman" w:cs="Times New Roman"/>
                <w:color w:val="auto"/>
                <w:sz w:val="24"/>
              </w:rPr>
              <w:t>-系数(粗白油 K</w:t>
            </w:r>
            <w:r>
              <w:rPr>
                <w:rFonts w:hint="default" w:ascii="Times New Roman" w:hAnsi="Times New Roman" w:cs="Times New Roman"/>
                <w:color w:val="auto"/>
                <w:sz w:val="24"/>
                <w:vertAlign w:val="subscript"/>
              </w:rPr>
              <w:t>E</w:t>
            </w:r>
            <w:r>
              <w:rPr>
                <w:rFonts w:hint="default" w:ascii="Times New Roman" w:hAnsi="Times New Roman" w:cs="Times New Roman"/>
                <w:color w:val="auto"/>
                <w:sz w:val="24"/>
              </w:rPr>
              <w:t>=14)；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P-储罐内平均温度下液体的真实蒸气压(Pa)；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V-储存油品的平均重度(t/m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D-储罐直径(m)；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H-储罐平均留空高度(m)，包括油罐罐体部分预留容积的高度和罐顶部分容积的换算高度；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T-日环境温度变化(每日最高与最低温度之差)的平均值(℃)；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F</w:t>
            </w:r>
            <w:r>
              <w:rPr>
                <w:rFonts w:hint="default" w:ascii="Times New Roman" w:hAnsi="Times New Roman" w:cs="Times New Roman"/>
                <w:color w:val="auto"/>
                <w:sz w:val="24"/>
                <w:vertAlign w:val="subscript"/>
              </w:rPr>
              <w:t>P</w:t>
            </w:r>
            <w:r>
              <w:rPr>
                <w:rFonts w:hint="default" w:ascii="Times New Roman" w:hAnsi="Times New Roman" w:cs="Times New Roman"/>
                <w:color w:val="auto"/>
                <w:sz w:val="24"/>
              </w:rPr>
              <w:t>-涂料系数；</w:t>
            </w:r>
          </w:p>
          <w:p>
            <w:pPr>
              <w:pStyle w:val="43"/>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C-小直径储罐的修正系数。</w:t>
            </w:r>
          </w:p>
          <w:p>
            <w:pPr>
              <w:pStyle w:val="43"/>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本项目拱顶罐大呼吸蒸发损耗计算参数及结果详见表</w:t>
            </w:r>
            <w:r>
              <w:rPr>
                <w:rFonts w:hint="default" w:ascii="Times New Roman" w:hAnsi="Times New Roman" w:eastAsia="宋体" w:cs="Times New Roman"/>
                <w:color w:val="auto"/>
                <w:kern w:val="2"/>
                <w:sz w:val="24"/>
                <w:szCs w:val="24"/>
                <w:lang w:eastAsia="zh-CN" w:bidi="ar-SA"/>
              </w:rPr>
              <w:t>17</w:t>
            </w:r>
            <w:r>
              <w:rPr>
                <w:rFonts w:hint="default" w:ascii="Times New Roman" w:hAnsi="Times New Roman" w:eastAsia="宋体" w:cs="Times New Roman"/>
                <w:color w:val="auto"/>
                <w:kern w:val="2"/>
                <w:sz w:val="24"/>
                <w:szCs w:val="24"/>
                <w:lang w:val="en-US" w:eastAsia="zh-CN" w:bidi="ar-SA"/>
              </w:rPr>
              <w:t>。</w:t>
            </w:r>
          </w:p>
          <w:p>
            <w:pPr>
              <w:spacing w:line="360" w:lineRule="auto"/>
              <w:jc w:val="center"/>
              <w:rPr>
                <w:rFonts w:hint="default" w:ascii="Times New Roman" w:hAnsi="Times New Roman" w:cs="Times New Roman"/>
                <w:color w:val="auto"/>
                <w:sz w:val="24"/>
              </w:rPr>
            </w:pPr>
            <w:r>
              <w:rPr>
                <w:rFonts w:hint="default" w:ascii="Times New Roman" w:hAnsi="Times New Roman" w:cs="Times New Roman"/>
                <w:b/>
                <w:color w:val="auto"/>
                <w:sz w:val="24"/>
                <w:szCs w:val="24"/>
              </w:rPr>
              <w:t>表17   本项目拱顶罐小呼吸蒸发损耗计算参数及结果一览表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60"/>
              <w:gridCol w:w="665"/>
              <w:gridCol w:w="685"/>
              <w:gridCol w:w="875"/>
              <w:gridCol w:w="660"/>
              <w:gridCol w:w="755"/>
              <w:gridCol w:w="660"/>
              <w:gridCol w:w="698"/>
              <w:gridCol w:w="643"/>
              <w:gridCol w:w="899"/>
              <w:gridCol w:w="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容积</w:t>
                  </w:r>
                </w:p>
              </w:tc>
              <w:tc>
                <w:tcPr>
                  <w:tcW w:w="663"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个数</w:t>
                  </w:r>
                </w:p>
              </w:tc>
              <w:tc>
                <w:tcPr>
                  <w:tcW w:w="66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w:t>
                  </w:r>
                  <w:r>
                    <w:rPr>
                      <w:rFonts w:hint="default" w:ascii="Times New Roman" w:hAnsi="Times New Roman" w:cs="Times New Roman"/>
                      <w:color w:val="auto"/>
                      <w:sz w:val="21"/>
                      <w:szCs w:val="21"/>
                      <w:vertAlign w:val="subscript"/>
                    </w:rPr>
                    <w:t>E</w:t>
                  </w:r>
                </w:p>
              </w:tc>
              <w:tc>
                <w:tcPr>
                  <w:tcW w:w="68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P</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V</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D</w:t>
                  </w:r>
                </w:p>
              </w:tc>
              <w:tc>
                <w:tcPr>
                  <w:tcW w:w="75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H</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w:t>
                  </w:r>
                </w:p>
              </w:tc>
              <w:tc>
                <w:tcPr>
                  <w:tcW w:w="69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F</w:t>
                  </w:r>
                  <w:r>
                    <w:rPr>
                      <w:rFonts w:hint="default" w:ascii="Times New Roman" w:hAnsi="Times New Roman" w:cs="Times New Roman"/>
                      <w:color w:val="auto"/>
                      <w:sz w:val="21"/>
                      <w:szCs w:val="21"/>
                      <w:vertAlign w:val="subscript"/>
                    </w:rPr>
                    <w:t>p</w:t>
                  </w:r>
                </w:p>
              </w:tc>
              <w:tc>
                <w:tcPr>
                  <w:tcW w:w="64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C</w:t>
                  </w:r>
                </w:p>
              </w:tc>
              <w:tc>
                <w:tcPr>
                  <w:tcW w:w="1540" w:type="dxa"/>
                  <w:gridSpan w:val="2"/>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L</w:t>
                  </w:r>
                  <w:r>
                    <w:rPr>
                      <w:rFonts w:hint="default" w:ascii="Times New Roman" w:hAnsi="Times New Roman" w:cs="Times New Roman"/>
                      <w:color w:val="auto"/>
                      <w:sz w:val="21"/>
                      <w:szCs w:val="21"/>
                      <w:vertAlign w:val="subscript"/>
                    </w:rPr>
                    <w:t>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p>
              </w:tc>
              <w:tc>
                <w:tcPr>
                  <w:tcW w:w="663"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w:t>
                  </w:r>
                </w:p>
              </w:tc>
              <w:tc>
                <w:tcPr>
                  <w:tcW w:w="66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w:t>
                  </w:r>
                </w:p>
              </w:tc>
              <w:tc>
                <w:tcPr>
                  <w:tcW w:w="68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Pa</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t/m</w:t>
                  </w:r>
                  <w:r>
                    <w:rPr>
                      <w:rFonts w:hint="default" w:ascii="Times New Roman" w:hAnsi="Times New Roman" w:cs="Times New Roman"/>
                      <w:color w:val="auto"/>
                      <w:sz w:val="21"/>
                      <w:szCs w:val="21"/>
                      <w:vertAlign w:val="superscript"/>
                    </w:rPr>
                    <w:t>3</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p>
              </w:tc>
              <w:tc>
                <w:tcPr>
                  <w:tcW w:w="75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w:t>
                  </w:r>
                </w:p>
              </w:tc>
              <w:tc>
                <w:tcPr>
                  <w:tcW w:w="69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 xml:space="preserve">  /</w:t>
                  </w:r>
                </w:p>
              </w:tc>
              <w:tc>
                <w:tcPr>
                  <w:tcW w:w="64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w:t>
                  </w:r>
                </w:p>
              </w:tc>
              <w:tc>
                <w:tcPr>
                  <w:tcW w:w="876"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kg/a</w:t>
                  </w:r>
                </w:p>
              </w:tc>
              <w:tc>
                <w:tcPr>
                  <w:tcW w:w="664"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2000</w:t>
                  </w:r>
                </w:p>
              </w:tc>
              <w:tc>
                <w:tcPr>
                  <w:tcW w:w="663"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66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68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876" w:type="dxa"/>
                  <w:vAlign w:val="top"/>
                </w:tcPr>
                <w:p>
                  <w:pPr>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cs="Times New Roman"/>
                      <w:color w:val="auto"/>
                      <w:sz w:val="21"/>
                      <w:szCs w:val="21"/>
                      <w:vertAlign w:val="baseline"/>
                    </w:rPr>
                    <w:t>0.8937</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75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10.98</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w:t>
                  </w:r>
                </w:p>
              </w:tc>
              <w:tc>
                <w:tcPr>
                  <w:tcW w:w="69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1.33</w:t>
                  </w:r>
                </w:p>
              </w:tc>
              <w:tc>
                <w:tcPr>
                  <w:tcW w:w="64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326.32</w:t>
                  </w:r>
                </w:p>
              </w:tc>
              <w:tc>
                <w:tcPr>
                  <w:tcW w:w="6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1000</w:t>
                  </w:r>
                </w:p>
              </w:tc>
              <w:tc>
                <w:tcPr>
                  <w:tcW w:w="663"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8</w:t>
                  </w:r>
                </w:p>
              </w:tc>
              <w:tc>
                <w:tcPr>
                  <w:tcW w:w="66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68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876" w:type="dxa"/>
                  <w:vAlign w:val="top"/>
                </w:tcPr>
                <w:p>
                  <w:pPr>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cs="Times New Roman"/>
                      <w:color w:val="auto"/>
                      <w:sz w:val="21"/>
                      <w:szCs w:val="21"/>
                      <w:vertAlign w:val="baseline"/>
                    </w:rPr>
                    <w:t>0.8937</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12</w:t>
                  </w:r>
                </w:p>
              </w:tc>
              <w:tc>
                <w:tcPr>
                  <w:tcW w:w="75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9.4</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w:t>
                  </w:r>
                </w:p>
              </w:tc>
              <w:tc>
                <w:tcPr>
                  <w:tcW w:w="69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1.33</w:t>
                  </w:r>
                </w:p>
              </w:tc>
              <w:tc>
                <w:tcPr>
                  <w:tcW w:w="64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923.6</w:t>
                  </w:r>
                </w:p>
              </w:tc>
              <w:tc>
                <w:tcPr>
                  <w:tcW w:w="6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500</w:t>
                  </w:r>
                </w:p>
              </w:tc>
              <w:tc>
                <w:tcPr>
                  <w:tcW w:w="663" w:type="dxa"/>
                  <w:vAlign w:val="top"/>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66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68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300</w:t>
                  </w:r>
                </w:p>
              </w:tc>
              <w:tc>
                <w:tcPr>
                  <w:tcW w:w="876" w:type="dxa"/>
                  <w:vAlign w:val="top"/>
                </w:tcPr>
                <w:p>
                  <w:pPr>
                    <w:jc w:val="center"/>
                    <w:rPr>
                      <w:rFonts w:hint="default" w:ascii="Times New Roman" w:hAnsi="Times New Roman" w:eastAsia="宋体" w:cs="Times New Roman"/>
                      <w:color w:val="auto"/>
                      <w:kern w:val="2"/>
                      <w:sz w:val="21"/>
                      <w:szCs w:val="21"/>
                      <w:vertAlign w:val="baseline"/>
                      <w:lang w:val="en-US" w:eastAsia="zh-CN" w:bidi="ar-SA"/>
                    </w:rPr>
                  </w:pPr>
                  <w:r>
                    <w:rPr>
                      <w:rFonts w:hint="default" w:ascii="Times New Roman" w:hAnsi="Times New Roman" w:cs="Times New Roman"/>
                      <w:color w:val="auto"/>
                      <w:sz w:val="21"/>
                      <w:szCs w:val="21"/>
                      <w:vertAlign w:val="baseline"/>
                    </w:rPr>
                    <w:t>0.8937</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9</w:t>
                  </w:r>
                </w:p>
              </w:tc>
              <w:tc>
                <w:tcPr>
                  <w:tcW w:w="75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7.05</w:t>
                  </w:r>
                </w:p>
              </w:tc>
              <w:tc>
                <w:tcPr>
                  <w:tcW w:w="663"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w:t>
                  </w:r>
                </w:p>
              </w:tc>
              <w:tc>
                <w:tcPr>
                  <w:tcW w:w="69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1.33</w:t>
                  </w:r>
                </w:p>
              </w:tc>
              <w:tc>
                <w:tcPr>
                  <w:tcW w:w="64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121.22</w:t>
                  </w:r>
                </w:p>
              </w:tc>
              <w:tc>
                <w:tcPr>
                  <w:tcW w:w="6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2" w:type="dxa"/>
                  <w:gridSpan w:val="10"/>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合计</w:t>
                  </w:r>
                </w:p>
              </w:tc>
              <w:tc>
                <w:tcPr>
                  <w:tcW w:w="87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1371.14</w:t>
                  </w:r>
                </w:p>
              </w:tc>
              <w:tc>
                <w:tcPr>
                  <w:tcW w:w="6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1.37</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3）内浮顶罐大呼吸损失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内浮顶罐大呼吸损耗计算公式如下：</w:t>
            </w:r>
          </w:p>
          <w:p>
            <w:pPr>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LFW=4·Q·C·V/D</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FW</w:t>
            </w:r>
            <w:r>
              <w:rPr>
                <w:rFonts w:hint="default" w:ascii="Times New Roman" w:hAnsi="Times New Roman" w:cs="Times New Roman"/>
                <w:color w:val="auto"/>
                <w:sz w:val="24"/>
              </w:rPr>
              <w:t>-内浮顶罐大呼吸蒸发损耗量(kg/a)；</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 Q-平均输油量(m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C-油罐壁粘附系数(m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/1000m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V-储存油品的平均重度(t/m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D-油罐直径(m)。</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本项目内浮顶罐大呼吸损耗计算参数及结果详见表18。</w:t>
            </w:r>
          </w:p>
          <w:p>
            <w:pPr>
              <w:spacing w:line="360" w:lineRule="auto"/>
              <w:jc w:val="center"/>
              <w:rPr>
                <w:rFonts w:hint="default" w:ascii="Times New Roman" w:hAnsi="Times New Roman" w:cs="Times New Roman"/>
                <w:color w:val="auto"/>
                <w:sz w:val="24"/>
              </w:rPr>
            </w:pPr>
            <w:r>
              <w:rPr>
                <w:rFonts w:hint="default" w:ascii="Times New Roman" w:hAnsi="Times New Roman" w:cs="Times New Roman"/>
                <w:b/>
                <w:color w:val="auto"/>
                <w:sz w:val="24"/>
                <w:szCs w:val="24"/>
              </w:rPr>
              <w:t>表18   本项目内浮顶罐大呼吸损耗计算参数及结果一览表</w:t>
            </w:r>
          </w:p>
          <w:tbl>
            <w:tblPr>
              <w:tblStyle w:val="34"/>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51"/>
              <w:gridCol w:w="1056"/>
              <w:gridCol w:w="1158"/>
              <w:gridCol w:w="1056"/>
              <w:gridCol w:w="1047"/>
              <w:gridCol w:w="105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容积</w:t>
                  </w:r>
                </w:p>
              </w:tc>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个数</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Q</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C</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V</w:t>
                  </w:r>
                </w:p>
              </w:tc>
              <w:tc>
                <w:tcPr>
                  <w:tcW w:w="623"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D</w:t>
                  </w:r>
                </w:p>
              </w:tc>
              <w:tc>
                <w:tcPr>
                  <w:tcW w:w="1224" w:type="pct"/>
                  <w:gridSpan w:val="2"/>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L</w:t>
                  </w:r>
                  <w:r>
                    <w:rPr>
                      <w:rFonts w:hint="default" w:ascii="Times New Roman" w:hAnsi="Times New Roman" w:cs="Times New Roman"/>
                      <w:color w:val="auto"/>
                      <w:sz w:val="21"/>
                      <w:szCs w:val="21"/>
                      <w:vertAlign w:val="subscript"/>
                    </w:rPr>
                    <w:t>DW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p>
              </w:tc>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个</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vertAlign w:val="baseline"/>
                    </w:rPr>
                    <w:t>/a</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vertAlign w:val="baseline"/>
                    </w:rPr>
                    <w:t>/1000m</w:t>
                  </w:r>
                  <w:r>
                    <w:rPr>
                      <w:rFonts w:hint="default" w:ascii="Times New Roman" w:hAnsi="Times New Roman" w:cs="Times New Roman"/>
                      <w:color w:val="auto"/>
                      <w:sz w:val="21"/>
                      <w:szCs w:val="21"/>
                      <w:vertAlign w:val="superscript"/>
                    </w:rPr>
                    <w:t>2</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t/m</w:t>
                  </w:r>
                  <w:r>
                    <w:rPr>
                      <w:rFonts w:hint="default" w:ascii="Times New Roman" w:hAnsi="Times New Roman" w:cs="Times New Roman"/>
                      <w:color w:val="auto"/>
                      <w:sz w:val="21"/>
                      <w:szCs w:val="21"/>
                      <w:vertAlign w:val="superscript"/>
                    </w:rPr>
                    <w:t>3</w:t>
                  </w:r>
                </w:p>
              </w:tc>
              <w:tc>
                <w:tcPr>
                  <w:tcW w:w="623"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m</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kg/a</w:t>
                  </w:r>
                </w:p>
              </w:tc>
              <w:tc>
                <w:tcPr>
                  <w:tcW w:w="592"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2000</w:t>
                  </w:r>
                </w:p>
              </w:tc>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10000</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0.0257</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0.8937</w:t>
                  </w:r>
                </w:p>
              </w:tc>
              <w:tc>
                <w:tcPr>
                  <w:tcW w:w="623"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131.25</w:t>
                  </w:r>
                </w:p>
              </w:tc>
              <w:tc>
                <w:tcPr>
                  <w:tcW w:w="592"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1000</w:t>
                  </w:r>
                </w:p>
              </w:tc>
              <w:tc>
                <w:tcPr>
                  <w:tcW w:w="628"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5000</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0.0257</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0.8937</w:t>
                  </w:r>
                </w:p>
              </w:tc>
              <w:tc>
                <w:tcPr>
                  <w:tcW w:w="623"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12</w:t>
                  </w:r>
                </w:p>
              </w:tc>
              <w:tc>
                <w:tcPr>
                  <w:tcW w:w="631"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76.56</w:t>
                  </w:r>
                </w:p>
              </w:tc>
              <w:tc>
                <w:tcPr>
                  <w:tcW w:w="592" w:type="pct"/>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5" w:type="pct"/>
                  <w:gridSpan w:val="6"/>
                </w:tcPr>
                <w:p>
                  <w:pPr>
                    <w:jc w:val="center"/>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合计</w:t>
                  </w:r>
                </w:p>
              </w:tc>
              <w:tc>
                <w:tcPr>
                  <w:tcW w:w="631" w:type="pct"/>
                </w:tcPr>
                <w:p>
                  <w:pPr>
                    <w:ind w:firstLine="105" w:firstLineChars="50"/>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207.81</w:t>
                  </w:r>
                </w:p>
              </w:tc>
              <w:tc>
                <w:tcPr>
                  <w:tcW w:w="592" w:type="pct"/>
                </w:tcPr>
                <w:p>
                  <w:pPr>
                    <w:ind w:firstLine="210" w:firstLineChars="100"/>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0.21</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4）内浮顶罐小呼吸损失</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default" w:ascii="Times New Roman" w:hAnsi="Times New Roman" w:cs="Times New Roman"/>
                <w:color w:val="auto"/>
              </w:rPr>
            </w:pPr>
            <w:r>
              <w:rPr>
                <w:rFonts w:hint="default" w:ascii="Times New Roman" w:hAnsi="Times New Roman" w:eastAsia="宋体" w:cs="Times New Roman"/>
                <w:color w:val="auto"/>
                <w:kern w:val="0"/>
                <w:sz w:val="24"/>
                <w:szCs w:val="24"/>
                <w:lang w:val="en-US" w:eastAsia="zh-CN" w:bidi="ar"/>
              </w:rPr>
              <w:t>内浮顶罐小呼吸损耗计算公式如下：</w:t>
            </w:r>
          </w:p>
          <w:p>
            <w:pPr>
              <w:spacing w:line="360" w:lineRule="auto"/>
              <w:jc w:val="center"/>
              <w:rPr>
                <w:rFonts w:hint="default" w:ascii="Times New Roman" w:hAnsi="Times New Roman" w:cs="Times New Roman"/>
                <w:color w:val="auto"/>
                <w:sz w:val="24"/>
                <w:vertAlign w:val="subscript"/>
              </w:rPr>
            </w:pPr>
            <w:r>
              <w:rPr>
                <w:rFonts w:hint="default" w:ascii="Times New Roman" w:hAnsi="Times New Roman" w:cs="Times New Roman"/>
                <w:color w:val="auto"/>
                <w:sz w:val="24"/>
              </w:rPr>
              <w:t>L</w:t>
            </w:r>
            <w:r>
              <w:rPr>
                <w:rFonts w:hint="default" w:ascii="Times New Roman" w:hAnsi="Times New Roman" w:cs="Times New Roman"/>
                <w:color w:val="auto"/>
                <w:sz w:val="24"/>
                <w:vertAlign w:val="subscript"/>
              </w:rPr>
              <w:t>FS</w:t>
            </w:r>
            <w:r>
              <w:rPr>
                <w:rFonts w:hint="default" w:ascii="Times New Roman" w:hAnsi="Times New Roman" w:cs="Times New Roman"/>
                <w:color w:val="auto"/>
                <w:sz w:val="24"/>
              </w:rPr>
              <w:t>=K·V</w:t>
            </w:r>
            <w:r>
              <w:rPr>
                <w:rFonts w:hint="default" w:ascii="Times New Roman" w:hAnsi="Times New Roman" w:cs="Times New Roman"/>
                <w:color w:val="auto"/>
                <w:sz w:val="24"/>
                <w:vertAlign w:val="superscript"/>
              </w:rPr>
              <w:t>n</w:t>
            </w:r>
            <w:r>
              <w:rPr>
                <w:rFonts w:hint="default" w:ascii="Times New Roman" w:hAnsi="Times New Roman" w:cs="Times New Roman"/>
                <w:color w:val="auto"/>
                <w:sz w:val="24"/>
              </w:rPr>
              <w:t>·P</w:t>
            </w:r>
            <w:r>
              <w:rPr>
                <w:rFonts w:hint="default" w:ascii="Times New Roman" w:hAnsi="Times New Roman" w:cs="Times New Roman"/>
                <w:color w:val="auto"/>
                <w:sz w:val="24"/>
                <w:vertAlign w:val="subscript"/>
              </w:rPr>
              <w:t>X</w:t>
            </w:r>
            <w:r>
              <w:rPr>
                <w:rFonts w:hint="default" w:ascii="Times New Roman" w:hAnsi="Times New Roman" w:cs="Times New Roman"/>
                <w:color w:val="auto"/>
                <w:sz w:val="24"/>
              </w:rPr>
              <w:t>·D·M</w:t>
            </w:r>
            <w:r>
              <w:rPr>
                <w:rFonts w:hint="default" w:ascii="Times New Roman" w:hAnsi="Times New Roman" w:cs="Times New Roman"/>
                <w:color w:val="auto"/>
                <w:sz w:val="24"/>
                <w:vertAlign w:val="subscript"/>
              </w:rPr>
              <w:t>V</w:t>
            </w:r>
            <w:r>
              <w:rPr>
                <w:rFonts w:hint="default" w:ascii="Times New Roman" w:hAnsi="Times New Roman" w:cs="Times New Roman"/>
                <w:color w:val="auto"/>
                <w:sz w:val="24"/>
              </w:rPr>
              <w:t>·K</w:t>
            </w:r>
            <w:r>
              <w:rPr>
                <w:rFonts w:hint="default" w:ascii="Times New Roman" w:hAnsi="Times New Roman" w:cs="Times New Roman"/>
                <w:color w:val="auto"/>
                <w:sz w:val="24"/>
                <w:vertAlign w:val="subscript"/>
              </w:rPr>
              <w:t>S</w:t>
            </w:r>
            <w:r>
              <w:rPr>
                <w:rFonts w:hint="default" w:ascii="Times New Roman" w:hAnsi="Times New Roman" w:cs="Times New Roman"/>
                <w:color w:val="auto"/>
                <w:sz w:val="24"/>
              </w:rPr>
              <w:t>·K</w:t>
            </w:r>
            <w:r>
              <w:rPr>
                <w:rFonts w:hint="default" w:ascii="Times New Roman" w:hAnsi="Times New Roman" w:cs="Times New Roman"/>
                <w:color w:val="auto"/>
                <w:sz w:val="24"/>
                <w:vertAlign w:val="subscript"/>
              </w:rPr>
              <w:t>C</w:t>
            </w:r>
            <w:r>
              <w:rPr>
                <w:rFonts w:hint="default" w:ascii="Times New Roman" w:hAnsi="Times New Roman" w:cs="Times New Roman"/>
                <w:color w:val="auto"/>
                <w:sz w:val="24"/>
              </w:rPr>
              <w:t>·E</w:t>
            </w:r>
            <w:r>
              <w:rPr>
                <w:rFonts w:hint="default" w:ascii="Times New Roman" w:hAnsi="Times New Roman" w:cs="Times New Roman"/>
                <w:color w:val="auto"/>
                <w:sz w:val="24"/>
                <w:vertAlign w:val="subscript"/>
              </w:rPr>
              <w:t>f</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FS</w:t>
            </w:r>
            <w:r>
              <w:rPr>
                <w:rFonts w:hint="default" w:ascii="Times New Roman" w:hAnsi="Times New Roman" w:cs="Times New Roman"/>
                <w:color w:val="auto"/>
                <w:sz w:val="24"/>
              </w:rPr>
              <w:t>-小呼吸蒸发损耗量(kg/a)；</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K-系数(内浮顶罐 K=2.05)；</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V-罐外平均风速(m/s)；</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n-与密封有关的风速指数(内浮顶罐 n=0.4)；</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P</w:t>
            </w:r>
            <w:r>
              <w:rPr>
                <w:rFonts w:hint="default" w:ascii="Times New Roman" w:hAnsi="Times New Roman" w:cs="Times New Roman"/>
                <w:color w:val="auto"/>
                <w:sz w:val="24"/>
                <w:vertAlign w:val="subscript"/>
              </w:rPr>
              <w:t>X</w:t>
            </w:r>
            <w:r>
              <w:rPr>
                <w:rFonts w:hint="default" w:ascii="Times New Roman" w:hAnsi="Times New Roman" w:cs="Times New Roman"/>
                <w:color w:val="auto"/>
                <w:sz w:val="24"/>
              </w:rPr>
              <w:t>=(P/Pa)/(1+(1-P/Pa)</w:t>
            </w:r>
            <w:r>
              <w:rPr>
                <w:rFonts w:hint="default" w:ascii="Times New Roman" w:hAnsi="Times New Roman" w:cs="Times New Roman"/>
                <w:color w:val="auto"/>
                <w:sz w:val="24"/>
                <w:vertAlign w:val="superscript"/>
              </w:rPr>
              <w:t>0.5</w:t>
            </w:r>
            <w:r>
              <w:rPr>
                <w:rFonts w:hint="default" w:ascii="Times New Roman" w:hAnsi="Times New Roman" w:cs="Times New Roman"/>
                <w:color w:val="auto"/>
                <w:sz w:val="24"/>
              </w:rPr>
              <w:t>)</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其中：P-物料在平均储存温度下的真实蒸汽压，Pa；</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Pa-储罐所在地的平均大气压，pa；</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D-储罐直径(m)；</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 M</w:t>
            </w:r>
            <w:r>
              <w:rPr>
                <w:rFonts w:hint="default" w:ascii="Times New Roman" w:hAnsi="Times New Roman" w:cs="Times New Roman"/>
                <w:color w:val="auto"/>
                <w:sz w:val="24"/>
                <w:vertAlign w:val="subscript"/>
              </w:rPr>
              <w:t>V</w:t>
            </w:r>
            <w:r>
              <w:rPr>
                <w:rFonts w:hint="default" w:ascii="Times New Roman" w:hAnsi="Times New Roman" w:cs="Times New Roman"/>
                <w:color w:val="auto"/>
                <w:sz w:val="24"/>
              </w:rPr>
              <w:t>-油品蒸汽的平均分子量，kg/kmol；</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 xml:space="preserve"> K</w:t>
            </w:r>
            <w:r>
              <w:rPr>
                <w:rFonts w:hint="default" w:ascii="Times New Roman" w:hAnsi="Times New Roman" w:cs="Times New Roman"/>
                <w:color w:val="auto"/>
                <w:sz w:val="24"/>
                <w:vertAlign w:val="subscript"/>
              </w:rPr>
              <w:t>S</w:t>
            </w:r>
            <w:r>
              <w:rPr>
                <w:rFonts w:hint="default" w:ascii="Times New Roman" w:hAnsi="Times New Roman" w:cs="Times New Roman"/>
                <w:color w:val="auto"/>
                <w:sz w:val="24"/>
              </w:rPr>
              <w:t>-密封系数，取 0.7[《炼油厂储运系统油品蒸发损耗及计算》(徐文琪，2004 年)]；</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K</w:t>
            </w:r>
            <w:r>
              <w:rPr>
                <w:rFonts w:hint="default" w:ascii="Times New Roman" w:hAnsi="Times New Roman" w:cs="Times New Roman"/>
                <w:color w:val="auto"/>
                <w:sz w:val="24"/>
                <w:vertAlign w:val="subscript"/>
              </w:rPr>
              <w:t>C</w:t>
            </w:r>
            <w:r>
              <w:rPr>
                <w:rFonts w:hint="default" w:ascii="Times New Roman" w:hAnsi="Times New Roman" w:cs="Times New Roman"/>
                <w:color w:val="auto"/>
                <w:sz w:val="24"/>
              </w:rPr>
              <w:t>-油品系数，对于粗白油 K</w:t>
            </w:r>
            <w:r>
              <w:rPr>
                <w:rFonts w:hint="default" w:ascii="Times New Roman" w:hAnsi="Times New Roman" w:cs="Times New Roman"/>
                <w:color w:val="auto"/>
                <w:sz w:val="24"/>
                <w:vertAlign w:val="subscript"/>
              </w:rPr>
              <w:t>C</w:t>
            </w:r>
            <w:r>
              <w:rPr>
                <w:rFonts w:hint="default" w:ascii="Times New Roman" w:hAnsi="Times New Roman" w:cs="Times New Roman"/>
                <w:color w:val="auto"/>
                <w:sz w:val="24"/>
              </w:rPr>
              <w:t>=0.4；</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E</w:t>
            </w:r>
            <w:r>
              <w:rPr>
                <w:rFonts w:hint="default" w:ascii="Times New Roman" w:hAnsi="Times New Roman" w:cs="Times New Roman"/>
                <w:color w:val="auto"/>
                <w:sz w:val="24"/>
                <w:vertAlign w:val="subscript"/>
              </w:rPr>
              <w:t>f</w:t>
            </w:r>
            <w:r>
              <w:rPr>
                <w:rFonts w:hint="default" w:ascii="Times New Roman" w:hAnsi="Times New Roman" w:cs="Times New Roman"/>
                <w:color w:val="auto"/>
                <w:sz w:val="24"/>
              </w:rPr>
              <w:t>-二次密封系数，取 0.25[《炼油厂储运系统油品蒸发损耗及计算》(徐文琪，2004 年)]。</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本项目内浮顶罐小呼吸蒸发损耗计算参数及结果详见表19。</w:t>
            </w:r>
          </w:p>
          <w:p>
            <w:pPr>
              <w:spacing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表19   本项目内浮顶罐小呼吸蒸发损耗计算参数及结果一览表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478"/>
              <w:gridCol w:w="590"/>
              <w:gridCol w:w="547"/>
              <w:gridCol w:w="503"/>
              <w:gridCol w:w="473"/>
              <w:gridCol w:w="511"/>
              <w:gridCol w:w="512"/>
              <w:gridCol w:w="584"/>
              <w:gridCol w:w="701"/>
              <w:gridCol w:w="794"/>
              <w:gridCol w:w="952"/>
              <w:gridCol w:w="689"/>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容积</w:t>
                  </w:r>
                </w:p>
              </w:tc>
              <w:tc>
                <w:tcPr>
                  <w:tcW w:w="53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个数</w:t>
                  </w:r>
                </w:p>
              </w:tc>
              <w:tc>
                <w:tcPr>
                  <w:tcW w:w="59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K</w:t>
                  </w:r>
                </w:p>
              </w:tc>
              <w:tc>
                <w:tcPr>
                  <w:tcW w:w="5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V</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n</w:t>
                  </w:r>
                </w:p>
              </w:tc>
              <w:tc>
                <w:tcPr>
                  <w:tcW w:w="520"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D</w:t>
                  </w:r>
                </w:p>
              </w:tc>
              <w:tc>
                <w:tcPr>
                  <w:tcW w:w="54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K</w:t>
                  </w:r>
                  <w:r>
                    <w:rPr>
                      <w:rFonts w:hint="default" w:ascii="Times New Roman" w:hAnsi="Times New Roman" w:cs="Times New Roman"/>
                      <w:b/>
                      <w:color w:val="auto"/>
                      <w:sz w:val="21"/>
                      <w:szCs w:val="21"/>
                      <w:vertAlign w:val="subscript"/>
                    </w:rPr>
                    <w:t>S</w:t>
                  </w:r>
                </w:p>
              </w:tc>
              <w:tc>
                <w:tcPr>
                  <w:tcW w:w="54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K</w:t>
                  </w:r>
                  <w:r>
                    <w:rPr>
                      <w:rFonts w:hint="default" w:ascii="Times New Roman" w:hAnsi="Times New Roman" w:cs="Times New Roman"/>
                      <w:b/>
                      <w:color w:val="auto"/>
                      <w:sz w:val="21"/>
                      <w:szCs w:val="21"/>
                      <w:vertAlign w:val="subscript"/>
                    </w:rPr>
                    <w:t>C</w:t>
                  </w:r>
                </w:p>
              </w:tc>
              <w:tc>
                <w:tcPr>
                  <w:tcW w:w="58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E</w:t>
                  </w:r>
                  <w:r>
                    <w:rPr>
                      <w:rFonts w:hint="default" w:ascii="Times New Roman" w:hAnsi="Times New Roman" w:cs="Times New Roman"/>
                      <w:b/>
                      <w:color w:val="auto"/>
                      <w:sz w:val="21"/>
                      <w:szCs w:val="21"/>
                      <w:vertAlign w:val="subscript"/>
                    </w:rPr>
                    <w:t>f</w:t>
                  </w:r>
                </w:p>
              </w:tc>
              <w:tc>
                <w:tcPr>
                  <w:tcW w:w="68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105" w:firstLineChars="5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P</w:t>
                  </w:r>
                </w:p>
              </w:tc>
              <w:tc>
                <w:tcPr>
                  <w:tcW w:w="79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Pa</w:t>
                  </w:r>
                </w:p>
              </w:tc>
              <w:tc>
                <w:tcPr>
                  <w:tcW w:w="881"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M</w:t>
                  </w:r>
                  <w:r>
                    <w:rPr>
                      <w:rFonts w:hint="default" w:ascii="Times New Roman" w:hAnsi="Times New Roman" w:cs="Times New Roman"/>
                      <w:b/>
                      <w:color w:val="auto"/>
                      <w:sz w:val="21"/>
                      <w:szCs w:val="21"/>
                      <w:vertAlign w:val="subscript"/>
                    </w:rPr>
                    <w:t>V</w:t>
                  </w:r>
                </w:p>
              </w:tc>
              <w:tc>
                <w:tcPr>
                  <w:tcW w:w="1125" w:type="dxa"/>
                  <w:gridSpan w:val="2"/>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L</w:t>
                  </w:r>
                  <w:r>
                    <w:rPr>
                      <w:rFonts w:hint="default" w:ascii="Times New Roman" w:hAnsi="Times New Roman" w:cs="Times New Roman"/>
                      <w:color w:val="auto"/>
                      <w:sz w:val="21"/>
                      <w:szCs w:val="21"/>
                      <w:vertAlign w:val="subscript"/>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m</w:t>
                  </w:r>
                  <w:r>
                    <w:rPr>
                      <w:rFonts w:hint="default" w:ascii="Times New Roman" w:hAnsi="Times New Roman" w:cs="Times New Roman"/>
                      <w:color w:val="auto"/>
                      <w:sz w:val="21"/>
                      <w:szCs w:val="21"/>
                      <w:vertAlign w:val="superscript"/>
                    </w:rPr>
                    <w:t>3</w:t>
                  </w:r>
                </w:p>
              </w:tc>
              <w:tc>
                <w:tcPr>
                  <w:tcW w:w="53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个</w:t>
                  </w:r>
                </w:p>
              </w:tc>
              <w:tc>
                <w:tcPr>
                  <w:tcW w:w="59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w:t>
                  </w:r>
                </w:p>
              </w:tc>
              <w:tc>
                <w:tcPr>
                  <w:tcW w:w="5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m/s</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w:t>
                  </w:r>
                </w:p>
              </w:tc>
              <w:tc>
                <w:tcPr>
                  <w:tcW w:w="520"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m</w:t>
                  </w:r>
                </w:p>
              </w:tc>
              <w:tc>
                <w:tcPr>
                  <w:tcW w:w="54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w:t>
                  </w:r>
                </w:p>
              </w:tc>
              <w:tc>
                <w:tcPr>
                  <w:tcW w:w="54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w:t>
                  </w:r>
                </w:p>
              </w:tc>
              <w:tc>
                <w:tcPr>
                  <w:tcW w:w="58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w:t>
                  </w:r>
                </w:p>
              </w:tc>
              <w:tc>
                <w:tcPr>
                  <w:tcW w:w="68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 xml:space="preserve">  k</w:t>
                  </w:r>
                  <w:r>
                    <w:rPr>
                      <w:rFonts w:hint="default" w:ascii="Times New Roman" w:hAnsi="Times New Roman" w:cs="Times New Roman"/>
                      <w:color w:val="auto"/>
                      <w:sz w:val="21"/>
                      <w:szCs w:val="21"/>
                      <w:vertAlign w:val="baseline"/>
                    </w:rPr>
                    <w:t>Pa</w:t>
                  </w:r>
                </w:p>
              </w:tc>
              <w:tc>
                <w:tcPr>
                  <w:tcW w:w="79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k</w:t>
                  </w:r>
                  <w:r>
                    <w:rPr>
                      <w:rFonts w:hint="default" w:ascii="Times New Roman" w:hAnsi="Times New Roman" w:cs="Times New Roman"/>
                      <w:color w:val="auto"/>
                      <w:sz w:val="21"/>
                      <w:szCs w:val="21"/>
                      <w:vertAlign w:val="baseline"/>
                    </w:rPr>
                    <w:t>Pa</w:t>
                  </w:r>
                </w:p>
              </w:tc>
              <w:tc>
                <w:tcPr>
                  <w:tcW w:w="881"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color w:val="auto"/>
                      <w:sz w:val="21"/>
                      <w:szCs w:val="21"/>
                      <w:vertAlign w:val="baseline"/>
                    </w:rPr>
                    <w:t>kg/kmol</w:t>
                  </w:r>
                </w:p>
              </w:tc>
              <w:tc>
                <w:tcPr>
                  <w:tcW w:w="598"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kg/a</w:t>
                  </w:r>
                </w:p>
              </w:tc>
              <w:tc>
                <w:tcPr>
                  <w:tcW w:w="527"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2000</w:t>
                  </w:r>
                </w:p>
              </w:tc>
              <w:tc>
                <w:tcPr>
                  <w:tcW w:w="53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2</w:t>
                  </w:r>
                </w:p>
              </w:tc>
              <w:tc>
                <w:tcPr>
                  <w:tcW w:w="59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2.05</w:t>
                  </w:r>
                </w:p>
              </w:tc>
              <w:tc>
                <w:tcPr>
                  <w:tcW w:w="5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3.1</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0.4</w:t>
                  </w:r>
                </w:p>
              </w:tc>
              <w:tc>
                <w:tcPr>
                  <w:tcW w:w="520"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w:t>
                  </w:r>
                </w:p>
              </w:tc>
              <w:tc>
                <w:tcPr>
                  <w:tcW w:w="54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0.7</w:t>
                  </w:r>
                </w:p>
              </w:tc>
              <w:tc>
                <w:tcPr>
                  <w:tcW w:w="54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0.4</w:t>
                  </w:r>
                </w:p>
              </w:tc>
              <w:tc>
                <w:tcPr>
                  <w:tcW w:w="58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0.25</w:t>
                  </w:r>
                </w:p>
              </w:tc>
              <w:tc>
                <w:tcPr>
                  <w:tcW w:w="68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10.1</w:t>
                  </w:r>
                </w:p>
              </w:tc>
              <w:tc>
                <w:tcPr>
                  <w:tcW w:w="79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101.15</w:t>
                  </w:r>
                </w:p>
              </w:tc>
              <w:tc>
                <w:tcPr>
                  <w:tcW w:w="881"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200</w:t>
                  </w:r>
                </w:p>
              </w:tc>
              <w:tc>
                <w:tcPr>
                  <w:tcW w:w="59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32.8</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1000</w:t>
                  </w:r>
                </w:p>
              </w:tc>
              <w:tc>
                <w:tcPr>
                  <w:tcW w:w="531" w:type="dxa"/>
                  <w:vAlign w:val="top"/>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color w:val="auto"/>
                      <w:sz w:val="21"/>
                      <w:szCs w:val="21"/>
                      <w:vertAlign w:val="baseline"/>
                    </w:rPr>
                    <w:t>2</w:t>
                  </w:r>
                </w:p>
              </w:tc>
              <w:tc>
                <w:tcPr>
                  <w:tcW w:w="59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2.05</w:t>
                  </w:r>
                </w:p>
              </w:tc>
              <w:tc>
                <w:tcPr>
                  <w:tcW w:w="56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3.1</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0.4</w:t>
                  </w:r>
                </w:p>
              </w:tc>
              <w:tc>
                <w:tcPr>
                  <w:tcW w:w="520"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12</w:t>
                  </w:r>
                </w:p>
              </w:tc>
              <w:tc>
                <w:tcPr>
                  <w:tcW w:w="54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0.7</w:t>
                  </w:r>
                </w:p>
              </w:tc>
              <w:tc>
                <w:tcPr>
                  <w:tcW w:w="546"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0.4</w:t>
                  </w:r>
                </w:p>
              </w:tc>
              <w:tc>
                <w:tcPr>
                  <w:tcW w:w="58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0.25</w:t>
                  </w:r>
                </w:p>
              </w:tc>
              <w:tc>
                <w:tcPr>
                  <w:tcW w:w="689"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10.1</w:t>
                  </w:r>
                </w:p>
              </w:tc>
              <w:tc>
                <w:tcPr>
                  <w:tcW w:w="794"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101.15</w:t>
                  </w:r>
                </w:p>
              </w:tc>
              <w:tc>
                <w:tcPr>
                  <w:tcW w:w="881"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200</w:t>
                  </w:r>
                </w:p>
              </w:tc>
              <w:tc>
                <w:tcPr>
                  <w:tcW w:w="59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14.06</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7" w:type="dxa"/>
                  <w:gridSpan w:val="12"/>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b/>
                      <w:color w:val="auto"/>
                      <w:sz w:val="21"/>
                      <w:szCs w:val="21"/>
                      <w:vertAlign w:val="baseline"/>
                    </w:rPr>
                  </w:pPr>
                  <w:r>
                    <w:rPr>
                      <w:rFonts w:hint="default" w:ascii="Times New Roman" w:hAnsi="Times New Roman" w:cs="Times New Roman"/>
                      <w:b w:val="0"/>
                      <w:bCs/>
                      <w:color w:val="auto"/>
                      <w:sz w:val="21"/>
                      <w:szCs w:val="21"/>
                      <w:vertAlign w:val="baseline"/>
                    </w:rPr>
                    <w:t>合计</w:t>
                  </w:r>
                </w:p>
              </w:tc>
              <w:tc>
                <w:tcPr>
                  <w:tcW w:w="598"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46.86</w:t>
                  </w:r>
                </w:p>
              </w:tc>
              <w:tc>
                <w:tcPr>
                  <w:tcW w:w="527" w:type="dxa"/>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sz w:val="21"/>
                      <w:szCs w:val="21"/>
                      <w:vertAlign w:val="baseline"/>
                    </w:rPr>
                  </w:pPr>
                  <w:r>
                    <w:rPr>
                      <w:rFonts w:hint="default" w:ascii="Times New Roman" w:hAnsi="Times New Roman" w:cs="Times New Roman"/>
                      <w:color w:val="auto"/>
                      <w:sz w:val="21"/>
                      <w:szCs w:val="21"/>
                      <w:vertAlign w:val="baseline"/>
                    </w:rPr>
                    <w:t>0.04</w:t>
                  </w:r>
                </w:p>
              </w:tc>
            </w:tr>
          </w:tbl>
          <w:p>
            <w:pPr>
              <w:spacing w:line="360" w:lineRule="auto"/>
              <w:ind w:firstLine="480" w:firstLineChars="200"/>
              <w:rPr>
                <w:rFonts w:hint="default" w:ascii="Times New Roman" w:hAnsi="Times New Roman" w:cs="Times New Roman" w:eastAsiaTheme="minorEastAsia"/>
                <w:b w:val="0"/>
                <w:bCs/>
                <w:color w:val="auto"/>
                <w:sz w:val="24"/>
                <w:szCs w:val="24"/>
                <w:vertAlign w:val="baseline"/>
              </w:rPr>
            </w:pPr>
            <w:r>
              <w:rPr>
                <w:rFonts w:hint="default" w:ascii="Times New Roman" w:hAnsi="Times New Roman" w:cs="Times New Roman" w:eastAsiaTheme="minorEastAsia"/>
                <w:color w:val="auto"/>
                <w:sz w:val="24"/>
              </w:rPr>
              <w:t>根据表16至表19计算结果可知，本项目储罐区拱顶罐产生VOC</w:t>
            </w:r>
            <w:r>
              <w:rPr>
                <w:rFonts w:hint="default" w:ascii="Times New Roman" w:hAnsi="Times New Roman" w:cs="Times New Roman" w:eastAsiaTheme="minorEastAsia"/>
                <w:color w:val="auto"/>
                <w:sz w:val="24"/>
                <w:vertAlign w:val="subscript"/>
              </w:rPr>
              <w:t xml:space="preserve">S </w:t>
            </w:r>
            <w:r>
              <w:rPr>
                <w:rFonts w:hint="default" w:ascii="Times New Roman" w:hAnsi="Times New Roman" w:cs="Times New Roman" w:eastAsiaTheme="minorEastAsia"/>
                <w:color w:val="auto"/>
                <w:sz w:val="24"/>
                <w:vertAlign w:val="baseline"/>
              </w:rPr>
              <w:t>1.75t/a，内浮顶罐</w:t>
            </w:r>
            <w:r>
              <w:rPr>
                <w:rFonts w:hint="default" w:ascii="Times New Roman" w:hAnsi="Times New Roman" w:cs="Times New Roman" w:eastAsiaTheme="minorEastAsia"/>
                <w:color w:val="auto"/>
                <w:sz w:val="24"/>
              </w:rPr>
              <w:t>产生VOC</w:t>
            </w:r>
            <w:r>
              <w:rPr>
                <w:rFonts w:hint="default" w:ascii="Times New Roman" w:hAnsi="Times New Roman" w:cs="Times New Roman" w:eastAsiaTheme="minorEastAsia"/>
                <w:color w:val="auto"/>
                <w:sz w:val="24"/>
                <w:vertAlign w:val="subscript"/>
              </w:rPr>
              <w:t xml:space="preserve">S </w:t>
            </w:r>
            <w:r>
              <w:rPr>
                <w:rFonts w:hint="default" w:ascii="Times New Roman" w:hAnsi="Times New Roman" w:cs="Times New Roman" w:eastAsiaTheme="minorEastAsia"/>
                <w:color w:val="auto"/>
                <w:sz w:val="24"/>
                <w:vertAlign w:val="baseline"/>
              </w:rPr>
              <w:t>0.25t/a。《排污许可证申请与核发技术规范 储油库、加油站》（HJ 1118-2020）中规定储罐无组织排放应满足GB 37822要求，行业污染物排放标准发布实施后从其规定。地方污染物排放标准有更严要求的从其规定。</w:t>
            </w:r>
            <w:r>
              <w:rPr>
                <w:rFonts w:hint="default" w:ascii="Times New Roman" w:hAnsi="Times New Roman" w:cs="Times New Roman" w:eastAsiaTheme="minorEastAsia"/>
                <w:color w:val="auto"/>
                <w:sz w:val="24"/>
                <w:szCs w:val="24"/>
              </w:rPr>
              <w:t>《挥发性有机物无组织排放控制标准》（</w:t>
            </w:r>
            <w:r>
              <w:rPr>
                <w:rFonts w:hint="default" w:ascii="Times New Roman" w:hAnsi="Times New Roman" w:cs="Times New Roman" w:eastAsiaTheme="minorEastAsia"/>
                <w:color w:val="auto"/>
                <w:sz w:val="24"/>
                <w:vertAlign w:val="baseline"/>
              </w:rPr>
              <w:t>GB37822-2019</w:t>
            </w:r>
            <w:r>
              <w:rPr>
                <w:rFonts w:hint="default" w:ascii="Times New Roman" w:hAnsi="Times New Roman" w:cs="Times New Roman" w:eastAsiaTheme="minorEastAsia"/>
                <w:color w:val="auto"/>
                <w:sz w:val="24"/>
                <w:szCs w:val="24"/>
              </w:rPr>
              <w:t>）要求对于内浮顶罐，浮顶与罐壁之间应采用浸液式密封、机械式鞋形密封等高效密封方式。采用固定顶罐，排放的废气应收集处理后并满足相关行业排放标准的要求（无行业排放标准的应满足GB 16297的要求），或者处理效率不低于80%。本项目内浮顶罐</w:t>
            </w:r>
            <w:r>
              <w:rPr>
                <w:rFonts w:hint="default" w:ascii="Times New Roman" w:hAnsi="Times New Roman" w:cs="Times New Roman" w:eastAsiaTheme="minorEastAsia"/>
                <w:b w:val="0"/>
                <w:bCs/>
                <w:color w:val="auto"/>
                <w:sz w:val="24"/>
                <w:szCs w:val="24"/>
                <w:vertAlign w:val="baseline"/>
              </w:rPr>
              <w:t>采用氮封装置，在储罐内压力降低时，开启阀门，向罐内充注氮气；当储罐内压力升高时，由储罐呼吸阀排出的气体为氮气，因此在储罐呼吸过程中可减少有机溶剂蒸汽外排。类比同类储罐项目，储罐采用氮封装置可减少无组织排放达 60%以上。建设单位拟在储罐区设置一套油气回收装置，项目拱顶罐采用密闭管道输送至油气回收装置（处理效率90%以上，本项目处理效率按照90%计算）处理后无组织排放。</w:t>
            </w:r>
          </w:p>
          <w:p>
            <w:pPr>
              <w:pStyle w:val="43"/>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cs="Times New Roman" w:eastAsiaTheme="minorEastAsia"/>
                <w:b w:val="0"/>
                <w:bCs/>
                <w:color w:val="auto"/>
                <w:sz w:val="24"/>
                <w:szCs w:val="24"/>
                <w:vertAlign w:val="baseline"/>
              </w:rPr>
              <w:t>综上，经采取措施后，</w:t>
            </w:r>
            <w:r>
              <w:rPr>
                <w:rFonts w:hint="default" w:ascii="Times New Roman" w:hAnsi="Times New Roman" w:cs="Times New Roman" w:eastAsiaTheme="minorEastAsia"/>
                <w:color w:val="auto"/>
                <w:sz w:val="24"/>
              </w:rPr>
              <w:t>本项目储罐区拱顶罐VOC</w:t>
            </w:r>
            <w:r>
              <w:rPr>
                <w:rFonts w:hint="default" w:ascii="Times New Roman" w:hAnsi="Times New Roman" w:cs="Times New Roman" w:eastAsiaTheme="minorEastAsia"/>
                <w:color w:val="auto"/>
                <w:sz w:val="24"/>
                <w:vertAlign w:val="subscript"/>
              </w:rPr>
              <w:t xml:space="preserve">S </w:t>
            </w:r>
            <w:r>
              <w:rPr>
                <w:rFonts w:hint="default" w:ascii="Times New Roman" w:hAnsi="Times New Roman" w:cs="Times New Roman" w:eastAsiaTheme="minorEastAsia"/>
                <w:color w:val="auto"/>
                <w:sz w:val="24"/>
                <w:vertAlign w:val="baseline"/>
              </w:rPr>
              <w:t>排放量为0.175t/a，内浮顶罐</w:t>
            </w:r>
            <w:r>
              <w:rPr>
                <w:rFonts w:hint="default" w:ascii="Times New Roman" w:hAnsi="Times New Roman" w:cs="Times New Roman" w:eastAsiaTheme="minorEastAsia"/>
                <w:color w:val="auto"/>
                <w:sz w:val="24"/>
              </w:rPr>
              <w:t>产生VOC</w:t>
            </w:r>
            <w:r>
              <w:rPr>
                <w:rFonts w:hint="default" w:ascii="Times New Roman" w:hAnsi="Times New Roman" w:cs="Times New Roman" w:eastAsiaTheme="minorEastAsia"/>
                <w:color w:val="auto"/>
                <w:sz w:val="24"/>
                <w:vertAlign w:val="subscript"/>
              </w:rPr>
              <w:t xml:space="preserve">S </w:t>
            </w:r>
            <w:r>
              <w:rPr>
                <w:rFonts w:hint="default" w:ascii="Times New Roman" w:hAnsi="Times New Roman" w:cs="Times New Roman" w:eastAsiaTheme="minorEastAsia"/>
                <w:color w:val="auto"/>
                <w:sz w:val="24"/>
                <w:vertAlign w:val="baseline"/>
              </w:rPr>
              <w:t>0.1t/a。</w:t>
            </w:r>
          </w:p>
          <w:p>
            <w:pPr>
              <w:keepNext w:val="0"/>
              <w:keepLines w:val="0"/>
              <w:pageBreakBefore w:val="0"/>
              <w:widowControl w:val="0"/>
              <w:numPr>
                <w:ilvl w:val="0"/>
                <w:numId w:val="3"/>
              </w:numPr>
              <w:kinsoku/>
              <w:wordWrap/>
              <w:overflowPunct/>
              <w:topLinePunct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装卸废气</w:t>
            </w:r>
          </w:p>
          <w:p>
            <w:pPr>
              <w:pStyle w:val="43"/>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cs="Times New Roman"/>
                <w:color w:val="auto"/>
              </w:rPr>
              <w:t>粗白油装卸车鹤管采用下部密闭装车鹤管，装卸车过程处于密闭系统内，无组织挥发量极少，可忽略不计。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kern w:val="0"/>
                <w:sz w:val="24"/>
              </w:rPr>
            </w:pPr>
            <w:r>
              <w:rPr>
                <w:rFonts w:hint="default" w:ascii="Times New Roman" w:hAnsi="Times New Roman" w:cs="Times New Roman"/>
                <w:color w:val="auto"/>
                <w:sz w:val="24"/>
              </w:rPr>
              <w:t>（3）</w:t>
            </w:r>
            <w:r>
              <w:rPr>
                <w:rFonts w:hint="default" w:ascii="Times New Roman" w:hAnsi="Times New Roman" w:cs="Times New Roman"/>
                <w:snapToGrid w:val="0"/>
                <w:color w:val="auto"/>
                <w:kern w:val="0"/>
                <w:sz w:val="24"/>
              </w:rPr>
              <w:t>食堂油烟</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kern w:val="0"/>
                <w:sz w:val="24"/>
              </w:rPr>
            </w:pPr>
            <w:r>
              <w:rPr>
                <w:rFonts w:hint="default" w:ascii="Times New Roman" w:hAnsi="Times New Roman" w:cs="Times New Roman"/>
                <w:snapToGrid w:val="0"/>
                <w:color w:val="auto"/>
                <w:kern w:val="0"/>
                <w:sz w:val="24"/>
              </w:rPr>
              <w:t>本项目劳动定员20人，根据居民及餐饮企业的类比调查，目前居民人均食用油用量约30g/人·d，低于纯餐饮企业。本项目食用油用量约0.168t/a。根据对餐饮行业调查，油烟挥发量一般占食用油用量的2～4％，由于本项目炒、炸、煎等烹调工序较少，职工食堂油烟挥发量低于餐饮行业油烟挥发量，故职工食堂油烟挥发量按2％计算，则油烟产生量为0.0034t/a。本项目食堂现已安装一套油烟净化器，风量约为3000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/h，故产生浓度为1.01mg/m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。油烟处理效率约为75％，油烟经处理后，排放浓度可降至0.25mg/m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（0.0008t/a），满足《饮食业油烟排放标准》（GB18483-2001）相关要求，食堂烹饪油烟为间隙、不定量排放，油烟经油烟净化器处理后通过专用烟道引至食堂屋顶排放，不会降低该区域大气环境质量。</w:t>
            </w:r>
          </w:p>
          <w:p>
            <w:pPr>
              <w:pStyle w:val="2"/>
              <w:tabs>
                <w:tab w:val="left" w:pos="535"/>
              </w:tabs>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（4）尾气</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在运输粗白油的过程中会产生少量汽车尾气。车辆在项目区内道路上怠速和慢速行驶时将会产生并排放尾气，该尾气包括排气管尾气、曲轴箱漏气及油箱泄漏气等。车辆产生并排放尾气属流动、间歇、不定量、无组织排放，其中主要污染因子为CO、C</w:t>
            </w:r>
            <w:r>
              <w:rPr>
                <w:rFonts w:hint="default" w:ascii="Times New Roman" w:hAnsi="Times New Roman" w:cs="Times New Roman"/>
                <w:color w:val="auto"/>
                <w:sz w:val="24"/>
                <w:vertAlign w:val="subscript"/>
              </w:rPr>
              <w:t>m</w:t>
            </w:r>
            <w:r>
              <w:rPr>
                <w:rFonts w:hint="default" w:ascii="Times New Roman" w:hAnsi="Times New Roman" w:cs="Times New Roman"/>
                <w:color w:val="auto"/>
                <w:sz w:val="24"/>
              </w:rPr>
              <w:t>H</w:t>
            </w:r>
            <w:r>
              <w:rPr>
                <w:rFonts w:hint="default" w:ascii="Times New Roman" w:hAnsi="Times New Roman" w:cs="Times New Roman"/>
                <w:color w:val="auto"/>
                <w:sz w:val="24"/>
                <w:vertAlign w:val="subscript"/>
              </w:rPr>
              <w:t>n</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x</w:t>
            </w:r>
            <w:r>
              <w:rPr>
                <w:rFonts w:hint="default" w:ascii="Times New Roman" w:hAnsi="Times New Roman" w:cs="Times New Roman"/>
                <w:color w:val="auto"/>
                <w:sz w:val="24"/>
              </w:rPr>
              <w:t xml:space="preserve">等。 </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2.3.3噪声</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本项目在正常运行时，主要噪声设备为泵和风机及进出车辆的噪声。噪声源强约为65～75dB(A)。</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2.3.4固废</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本项目固体废物主要为生活垃圾。</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本项目劳动定员20人，以每人每天0.5kg计，则生活垃圾产生量约2.8t/a，集中收集后交由环卫工人拉运至垃圾填埋场卫生填埋。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rPr>
            </w:pPr>
            <w:r>
              <w:rPr>
                <w:rFonts w:hint="default" w:ascii="Times New Roman" w:hAnsi="Times New Roman" w:cs="Times New Roman"/>
                <w:bCs/>
                <w:color w:val="auto"/>
                <w:sz w:val="24"/>
              </w:rPr>
              <w:t>项目改扩建前后“三废”排放三本账详见表20所示。</w:t>
            </w:r>
          </w:p>
          <w:p>
            <w:pPr>
              <w:adjustRightInd w:val="0"/>
              <w:snapToGrid w:val="0"/>
              <w:spacing w:line="360" w:lineRule="auto"/>
              <w:ind w:firstLine="1205" w:firstLineChars="500"/>
              <w:jc w:val="center"/>
              <w:rPr>
                <w:rFonts w:hint="default" w:ascii="Times New Roman" w:hAnsi="Times New Roman" w:cs="Times New Roman"/>
                <w:color w:val="auto"/>
                <w:sz w:val="24"/>
              </w:rPr>
            </w:pPr>
            <w:r>
              <w:rPr>
                <w:rFonts w:hint="default" w:ascii="Times New Roman" w:hAnsi="Times New Roman" w:cs="Times New Roman"/>
                <w:b/>
                <w:color w:val="auto"/>
                <w:sz w:val="24"/>
              </w:rPr>
              <w:t>表20   “三本账”排放情况统计表</w:t>
            </w:r>
          </w:p>
          <w:tbl>
            <w:tblPr>
              <w:tblStyle w:val="33"/>
              <w:tblW w:w="49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699"/>
              <w:gridCol w:w="1297"/>
              <w:gridCol w:w="1377"/>
              <w:gridCol w:w="1407"/>
              <w:gridCol w:w="1294"/>
              <w:gridCol w:w="1208"/>
              <w:gridCol w:w="12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409"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项目</w:t>
                  </w:r>
                </w:p>
              </w:tc>
              <w:tc>
                <w:tcPr>
                  <w:tcW w:w="759"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污染因子</w:t>
                  </w:r>
                </w:p>
              </w:tc>
              <w:tc>
                <w:tcPr>
                  <w:tcW w:w="806"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原有工程</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排放量</w:t>
                  </w:r>
                  <w:r>
                    <w:rPr>
                      <w:rFonts w:hint="default" w:ascii="Times New Roman" w:hAnsi="Times New Roman" w:cs="Times New Roman"/>
                      <w:color w:val="auto"/>
                      <w:szCs w:val="21"/>
                    </w:rPr>
                    <w:t>（t/a）</w:t>
                  </w:r>
                </w:p>
              </w:tc>
              <w:tc>
                <w:tcPr>
                  <w:tcW w:w="823"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改建工程</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排放量</w:t>
                  </w:r>
                  <w:r>
                    <w:rPr>
                      <w:rFonts w:hint="default" w:ascii="Times New Roman" w:hAnsi="Times New Roman" w:cs="Times New Roman"/>
                      <w:color w:val="auto"/>
                      <w:szCs w:val="21"/>
                    </w:rPr>
                    <w:t>（t/a）</w:t>
                  </w:r>
                </w:p>
              </w:tc>
              <w:tc>
                <w:tcPr>
                  <w:tcW w:w="757"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“以新带老”削减量</w:t>
                  </w:r>
                  <w:r>
                    <w:rPr>
                      <w:rFonts w:hint="default" w:ascii="Times New Roman" w:hAnsi="Times New Roman" w:cs="Times New Roman"/>
                      <w:color w:val="auto"/>
                      <w:szCs w:val="21"/>
                    </w:rPr>
                    <w:t>（t/a）</w:t>
                  </w:r>
                </w:p>
              </w:tc>
              <w:tc>
                <w:tcPr>
                  <w:tcW w:w="707"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bCs/>
                      <w:color w:val="auto"/>
                      <w:szCs w:val="21"/>
                    </w:rPr>
                    <w:t>排放总量</w:t>
                  </w:r>
                  <w:r>
                    <w:rPr>
                      <w:rFonts w:hint="default" w:ascii="Times New Roman" w:hAnsi="Times New Roman" w:cs="Times New Roman"/>
                      <w:color w:val="auto"/>
                      <w:szCs w:val="21"/>
                    </w:rPr>
                    <w:t>（t/a）</w:t>
                  </w:r>
                </w:p>
              </w:tc>
              <w:tc>
                <w:tcPr>
                  <w:tcW w:w="736"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bCs/>
                      <w:color w:val="auto"/>
                      <w:szCs w:val="21"/>
                    </w:rPr>
                    <w:t>增减量变化</w:t>
                  </w:r>
                  <w:r>
                    <w:rPr>
                      <w:rFonts w:hint="default" w:ascii="Times New Roman" w:hAnsi="Times New Roman" w:cs="Times New Roman"/>
                      <w:color w:val="auto"/>
                      <w:szCs w:val="21"/>
                    </w:rPr>
                    <w:t>（t/a）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24" w:hRule="atLeast"/>
                <w:jc w:val="center"/>
              </w:trPr>
              <w:tc>
                <w:tcPr>
                  <w:tcW w:w="409" w:type="pct"/>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废气</w:t>
                  </w:r>
                </w:p>
              </w:tc>
              <w:tc>
                <w:tcPr>
                  <w:tcW w:w="759"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VOC</w:t>
                  </w:r>
                  <w:r>
                    <w:rPr>
                      <w:rFonts w:hint="default" w:ascii="Times New Roman" w:hAnsi="Times New Roman" w:cs="Times New Roman"/>
                      <w:color w:val="auto"/>
                      <w:vertAlign w:val="subscript"/>
                    </w:rPr>
                    <w:t>s</w:t>
                  </w:r>
                </w:p>
              </w:tc>
              <w:tc>
                <w:tcPr>
                  <w:tcW w:w="80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2</w:t>
                  </w:r>
                </w:p>
              </w:tc>
              <w:tc>
                <w:tcPr>
                  <w:tcW w:w="823"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0.275</w:t>
                  </w:r>
                </w:p>
              </w:tc>
              <w:tc>
                <w:tcPr>
                  <w:tcW w:w="75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eastAsia" w:ascii="Times New Roman" w:hAnsi="Times New Roman" w:eastAsia="宋体" w:cs="Times New Roman"/>
                      <w:color w:val="auto"/>
                      <w:lang w:eastAsia="zh-CN"/>
                    </w:rPr>
                  </w:pPr>
                  <w:r>
                    <w:rPr>
                      <w:rFonts w:hint="eastAsia" w:cs="Times New Roman"/>
                      <w:color w:val="auto"/>
                      <w:lang w:val="en-US" w:eastAsia="zh-CN"/>
                    </w:rPr>
                    <w:t>2</w:t>
                  </w:r>
                </w:p>
              </w:tc>
              <w:tc>
                <w:tcPr>
                  <w:tcW w:w="707"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0.275</w:t>
                  </w:r>
                </w:p>
              </w:tc>
              <w:tc>
                <w:tcPr>
                  <w:tcW w:w="736"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center"/>
                    <w:textAlignment w:val="auto"/>
                    <w:outlineLvl w:val="9"/>
                    <w:rPr>
                      <w:rFonts w:hint="default" w:ascii="Times New Roman" w:hAnsi="Times New Roman" w:cs="Times New Roman"/>
                      <w:color w:val="auto"/>
                    </w:rPr>
                  </w:pPr>
                  <w:r>
                    <w:rPr>
                      <w:rFonts w:hint="default" w:ascii="Times New Roman" w:hAnsi="Times New Roman" w:cs="Times New Roman"/>
                      <w:color w:val="auto"/>
                    </w:rPr>
                    <w:t>-1.725</w:t>
                  </w:r>
                </w:p>
              </w:tc>
            </w:tr>
          </w:tbl>
          <w:p>
            <w:pPr>
              <w:adjustRightInd w:val="0"/>
              <w:snapToGrid w:val="0"/>
              <w:spacing w:line="360" w:lineRule="auto"/>
              <w:ind w:firstLine="480" w:firstLineChars="200"/>
              <w:rPr>
                <w:rFonts w:hint="default" w:ascii="Times New Roman" w:hAnsi="Times New Roman" w:cs="Times New Roman"/>
                <w:color w:val="auto"/>
                <w:sz w:val="24"/>
              </w:rPr>
            </w:pPr>
          </w:p>
        </w:tc>
      </w:tr>
    </w:tbl>
    <w:p>
      <w:pPr>
        <w:rPr>
          <w:rFonts w:hint="default" w:ascii="Times New Roman" w:hAnsi="Times New Roman" w:eastAsia="黑体" w:cs="Times New Roman"/>
          <w:b/>
          <w:color w:val="auto"/>
          <w:sz w:val="30"/>
        </w:rPr>
      </w:pPr>
    </w:p>
    <w:p>
      <w:pPr>
        <w:rPr>
          <w:rFonts w:hint="default" w:ascii="Times New Roman" w:hAnsi="Times New Roman" w:eastAsia="黑体" w:cs="Times New Roman"/>
          <w:b/>
          <w:color w:val="auto"/>
          <w:sz w:val="30"/>
        </w:rPr>
      </w:pPr>
      <w:r>
        <w:rPr>
          <w:rFonts w:hint="default" w:ascii="Times New Roman" w:hAnsi="Times New Roman" w:eastAsia="黑体" w:cs="Times New Roman"/>
          <w:b/>
          <w:color w:val="auto"/>
          <w:sz w:val="30"/>
        </w:rPr>
        <w:t>项目主要污染物产生及预计排放情况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8"/>
        <w:gridCol w:w="1032"/>
        <w:gridCol w:w="1513"/>
        <w:gridCol w:w="1707"/>
        <w:gridCol w:w="1621"/>
        <w:gridCol w:w="175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24" w:hRule="atLeast"/>
        </w:trPr>
        <w:tc>
          <w:tcPr>
            <w:tcW w:w="898" w:type="dxa"/>
            <w:tcBorders>
              <w:tl2br w:val="single" w:color="auto" w:sz="4" w:space="0"/>
            </w:tcBorders>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 xml:space="preserve">  内容</w:t>
            </w:r>
          </w:p>
          <w:p>
            <w:pPr>
              <w:rPr>
                <w:rFonts w:hint="default" w:ascii="Times New Roman" w:hAnsi="Times New Roman" w:cs="Times New Roman"/>
                <w:b/>
                <w:color w:val="auto"/>
                <w:szCs w:val="21"/>
              </w:rPr>
            </w:pPr>
            <w:r>
              <w:rPr>
                <w:rFonts w:hint="default" w:ascii="Times New Roman" w:hAnsi="Times New Roman" w:cs="Times New Roman"/>
                <w:b/>
                <w:color w:val="auto"/>
                <w:szCs w:val="21"/>
              </w:rPr>
              <w:t>类型</w:t>
            </w:r>
          </w:p>
        </w:tc>
        <w:tc>
          <w:tcPr>
            <w:tcW w:w="2545" w:type="dxa"/>
            <w:gridSpan w:val="2"/>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pacing w:val="4"/>
                <w:szCs w:val="21"/>
              </w:rPr>
              <w:t>排放源</w:t>
            </w:r>
          </w:p>
        </w:tc>
        <w:tc>
          <w:tcPr>
            <w:tcW w:w="1707"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污染物名称</w:t>
            </w:r>
          </w:p>
        </w:tc>
        <w:tc>
          <w:tcPr>
            <w:tcW w:w="1621"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处理前产生浓度及产生量</w:t>
            </w:r>
          </w:p>
        </w:tc>
        <w:tc>
          <w:tcPr>
            <w:tcW w:w="1757"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排放浓度及排放量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84" w:hRule="atLeast"/>
        </w:trPr>
        <w:tc>
          <w:tcPr>
            <w:tcW w:w="898" w:type="dxa"/>
            <w:vMerge w:val="restart"/>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大气污染物</w:t>
            </w:r>
          </w:p>
        </w:tc>
        <w:tc>
          <w:tcPr>
            <w:tcW w:w="1032" w:type="dxa"/>
            <w:vMerge w:val="restart"/>
            <w:vAlign w:val="center"/>
          </w:tcPr>
          <w:p>
            <w:pPr>
              <w:pStyle w:val="19"/>
              <w:jc w:val="center"/>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营运期</w:t>
            </w:r>
          </w:p>
        </w:tc>
        <w:tc>
          <w:tcPr>
            <w:tcW w:w="1513"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储罐废气</w:t>
            </w:r>
          </w:p>
        </w:tc>
        <w:tc>
          <w:tcPr>
            <w:tcW w:w="1707"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sz w:val="21"/>
                <w:szCs w:val="21"/>
              </w:rPr>
              <w:t>VOC</w:t>
            </w:r>
            <w:r>
              <w:rPr>
                <w:rFonts w:hint="default" w:ascii="Times New Roman" w:hAnsi="Times New Roman" w:cs="Times New Roman"/>
                <w:color w:val="auto"/>
                <w:sz w:val="21"/>
                <w:szCs w:val="21"/>
                <w:vertAlign w:val="subscript"/>
              </w:rPr>
              <w:t>s</w:t>
            </w:r>
          </w:p>
        </w:tc>
        <w:tc>
          <w:tcPr>
            <w:tcW w:w="1621"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2t/a</w:t>
            </w:r>
          </w:p>
        </w:tc>
        <w:tc>
          <w:tcPr>
            <w:tcW w:w="1757"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kern w:val="24"/>
                <w:sz w:val="21"/>
                <w:szCs w:val="21"/>
              </w:rPr>
              <w:t>0.275t/a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84" w:hRule="atLeast"/>
        </w:trPr>
        <w:tc>
          <w:tcPr>
            <w:tcW w:w="898" w:type="dxa"/>
            <w:vMerge w:val="continue"/>
            <w:vAlign w:val="center"/>
          </w:tcPr>
          <w:p>
            <w:pPr>
              <w:jc w:val="center"/>
              <w:rPr>
                <w:rFonts w:hint="default" w:ascii="Times New Roman" w:hAnsi="Times New Roman" w:cs="Times New Roman"/>
                <w:b/>
                <w:color w:val="auto"/>
                <w:szCs w:val="21"/>
              </w:rPr>
            </w:pPr>
          </w:p>
        </w:tc>
        <w:tc>
          <w:tcPr>
            <w:tcW w:w="1032" w:type="dxa"/>
            <w:vMerge w:val="continue"/>
            <w:vAlign w:val="center"/>
          </w:tcPr>
          <w:p>
            <w:pPr>
              <w:pStyle w:val="19"/>
              <w:jc w:val="center"/>
              <w:rPr>
                <w:rFonts w:hint="default" w:ascii="Times New Roman" w:hAnsi="Times New Roman" w:cs="Times New Roman"/>
                <w:color w:val="auto"/>
                <w:kern w:val="24"/>
                <w:sz w:val="21"/>
                <w:szCs w:val="21"/>
              </w:rPr>
            </w:pPr>
          </w:p>
        </w:tc>
        <w:tc>
          <w:tcPr>
            <w:tcW w:w="1513"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食堂油烟</w:t>
            </w:r>
          </w:p>
        </w:tc>
        <w:tc>
          <w:tcPr>
            <w:tcW w:w="1707"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油烟</w:t>
            </w:r>
          </w:p>
        </w:tc>
        <w:tc>
          <w:tcPr>
            <w:tcW w:w="1621"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0.0034t/a</w:t>
            </w:r>
          </w:p>
        </w:tc>
        <w:tc>
          <w:tcPr>
            <w:tcW w:w="1757"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0.0008t/a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84" w:hRule="atLeast"/>
        </w:trPr>
        <w:tc>
          <w:tcPr>
            <w:tcW w:w="898" w:type="dxa"/>
            <w:vMerge w:val="continue"/>
            <w:vAlign w:val="center"/>
          </w:tcPr>
          <w:p>
            <w:pPr>
              <w:jc w:val="center"/>
              <w:rPr>
                <w:rFonts w:hint="default" w:ascii="Times New Roman" w:hAnsi="Times New Roman" w:cs="Times New Roman"/>
                <w:b/>
                <w:color w:val="auto"/>
                <w:szCs w:val="21"/>
              </w:rPr>
            </w:pPr>
          </w:p>
        </w:tc>
        <w:tc>
          <w:tcPr>
            <w:tcW w:w="1032" w:type="dxa"/>
            <w:vMerge w:val="continue"/>
            <w:vAlign w:val="center"/>
          </w:tcPr>
          <w:p>
            <w:pPr>
              <w:pStyle w:val="19"/>
              <w:jc w:val="center"/>
              <w:rPr>
                <w:rFonts w:hint="default" w:ascii="Times New Roman" w:hAnsi="Times New Roman" w:cs="Times New Roman"/>
                <w:color w:val="auto"/>
                <w:kern w:val="24"/>
                <w:sz w:val="21"/>
                <w:szCs w:val="21"/>
              </w:rPr>
            </w:pPr>
          </w:p>
        </w:tc>
        <w:tc>
          <w:tcPr>
            <w:tcW w:w="1513" w:type="dxa"/>
            <w:vAlign w:val="center"/>
          </w:tcPr>
          <w:p>
            <w:pPr>
              <w:jc w:val="center"/>
              <w:rPr>
                <w:rFonts w:hint="default" w:ascii="Times New Roman" w:hAnsi="Times New Roman" w:cs="Times New Roman"/>
                <w:color w:val="auto"/>
                <w:kern w:val="24"/>
                <w:szCs w:val="21"/>
              </w:rPr>
            </w:pPr>
            <w:r>
              <w:rPr>
                <w:rFonts w:hint="default" w:ascii="Times New Roman" w:hAnsi="Times New Roman" w:cs="Times New Roman"/>
                <w:color w:val="auto"/>
                <w:kern w:val="24"/>
                <w:szCs w:val="21"/>
              </w:rPr>
              <w:t>汽车尾气</w:t>
            </w:r>
          </w:p>
        </w:tc>
        <w:tc>
          <w:tcPr>
            <w:tcW w:w="1707" w:type="dxa"/>
            <w:vAlign w:val="center"/>
          </w:tcPr>
          <w:p>
            <w:pPr>
              <w:pStyle w:val="59"/>
              <w:rPr>
                <w:rFonts w:hint="default" w:ascii="Times New Roman" w:hAnsi="Times New Roman" w:cs="Times New Roman"/>
                <w:color w:val="auto"/>
                <w:kern w:val="24"/>
                <w:sz w:val="21"/>
                <w:szCs w:val="21"/>
                <w:lang w:val="en-GB"/>
              </w:rPr>
            </w:pPr>
            <w:r>
              <w:rPr>
                <w:rFonts w:hint="default" w:ascii="Times New Roman" w:hAnsi="Times New Roman" w:cs="Times New Roman"/>
                <w:color w:val="auto"/>
                <w:kern w:val="24"/>
                <w:sz w:val="21"/>
                <w:szCs w:val="21"/>
                <w:lang w:val="en-GB"/>
              </w:rPr>
              <w:t>汽车尾气</w:t>
            </w:r>
          </w:p>
        </w:tc>
        <w:tc>
          <w:tcPr>
            <w:tcW w:w="1621"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少量</w:t>
            </w:r>
          </w:p>
        </w:tc>
        <w:tc>
          <w:tcPr>
            <w:tcW w:w="1757" w:type="dxa"/>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少量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78" w:hRule="atLeast"/>
        </w:trPr>
        <w:tc>
          <w:tcPr>
            <w:tcW w:w="898" w:type="dxa"/>
            <w:vMerge w:val="restart"/>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水</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污</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染</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物</w:t>
            </w:r>
          </w:p>
        </w:tc>
        <w:tc>
          <w:tcPr>
            <w:tcW w:w="1032" w:type="dxa"/>
            <w:vMerge w:val="restart"/>
            <w:vAlign w:val="center"/>
          </w:tcPr>
          <w:p>
            <w:pPr>
              <w:pStyle w:val="19"/>
              <w:jc w:val="center"/>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运营期</w:t>
            </w:r>
          </w:p>
        </w:tc>
        <w:tc>
          <w:tcPr>
            <w:tcW w:w="1513" w:type="dxa"/>
            <w:vMerge w:val="restart"/>
            <w:vAlign w:val="center"/>
          </w:tcPr>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生活污水</w:t>
            </w:r>
          </w:p>
          <w:p>
            <w:pPr>
              <w:pStyle w:val="59"/>
              <w:rPr>
                <w:rFonts w:hint="default" w:ascii="Times New Roman" w:hAnsi="Times New Roman" w:cs="Times New Roman"/>
                <w:color w:val="auto"/>
                <w:kern w:val="24"/>
                <w:sz w:val="21"/>
                <w:szCs w:val="21"/>
              </w:rPr>
            </w:pPr>
            <w:r>
              <w:rPr>
                <w:rFonts w:hint="default" w:ascii="Times New Roman" w:hAnsi="Times New Roman" w:cs="Times New Roman"/>
                <w:color w:val="auto"/>
                <w:kern w:val="24"/>
                <w:sz w:val="21"/>
                <w:szCs w:val="21"/>
              </w:rPr>
              <w:t>（238m</w:t>
            </w:r>
            <w:r>
              <w:rPr>
                <w:rFonts w:hint="default" w:ascii="Times New Roman" w:hAnsi="Times New Roman" w:cs="Times New Roman"/>
                <w:color w:val="auto"/>
                <w:kern w:val="24"/>
                <w:sz w:val="21"/>
                <w:szCs w:val="21"/>
                <w:vertAlign w:val="superscript"/>
              </w:rPr>
              <w:t>3</w:t>
            </w:r>
            <w:r>
              <w:rPr>
                <w:rFonts w:hint="default" w:ascii="Times New Roman" w:hAnsi="Times New Roman" w:cs="Times New Roman"/>
                <w:color w:val="auto"/>
                <w:kern w:val="24"/>
                <w:sz w:val="21"/>
                <w:szCs w:val="21"/>
              </w:rPr>
              <w:t>/a）</w:t>
            </w:r>
          </w:p>
        </w:tc>
        <w:tc>
          <w:tcPr>
            <w:tcW w:w="1707" w:type="dxa"/>
            <w:vAlign w:val="center"/>
          </w:tcPr>
          <w:p>
            <w:pPr>
              <w:topLinePunct/>
              <w:adjustRightInd w:val="0"/>
              <w:snapToGrid w:val="0"/>
              <w:jc w:val="center"/>
              <w:rPr>
                <w:rFonts w:hint="default" w:ascii="Times New Roman" w:hAnsi="Times New Roman" w:cs="Times New Roman"/>
                <w:color w:val="auto"/>
                <w:kern w:val="24"/>
                <w:szCs w:val="21"/>
              </w:rPr>
            </w:pPr>
            <w:r>
              <w:rPr>
                <w:rFonts w:hint="default" w:ascii="Times New Roman" w:hAnsi="Times New Roman" w:cs="Times New Roman"/>
                <w:color w:val="auto"/>
                <w:szCs w:val="21"/>
              </w:rPr>
              <w:t>SS</w:t>
            </w:r>
          </w:p>
        </w:tc>
        <w:tc>
          <w:tcPr>
            <w:tcW w:w="162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200mg/L</w:t>
            </w:r>
          </w:p>
          <w:p>
            <w:pPr>
              <w:jc w:val="center"/>
              <w:rPr>
                <w:rFonts w:hint="default" w:ascii="Times New Roman" w:hAnsi="Times New Roman" w:cs="Times New Roman"/>
                <w:color w:val="auto"/>
                <w:kern w:val="24"/>
                <w:szCs w:val="21"/>
              </w:rPr>
            </w:pPr>
            <w:r>
              <w:rPr>
                <w:rFonts w:hint="default" w:ascii="Times New Roman" w:hAnsi="Times New Roman" w:cs="Times New Roman"/>
                <w:color w:val="auto"/>
                <w:szCs w:val="21"/>
              </w:rPr>
              <w:t>0.048t/a</w:t>
            </w:r>
          </w:p>
        </w:tc>
        <w:tc>
          <w:tcPr>
            <w:tcW w:w="1757"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200mg/L</w:t>
            </w:r>
          </w:p>
          <w:p>
            <w:pPr>
              <w:jc w:val="center"/>
              <w:rPr>
                <w:rFonts w:hint="default" w:ascii="Times New Roman" w:hAnsi="Times New Roman" w:cs="Times New Roman"/>
                <w:color w:val="auto"/>
                <w:kern w:val="24"/>
                <w:szCs w:val="21"/>
              </w:rPr>
            </w:pPr>
            <w:r>
              <w:rPr>
                <w:rFonts w:hint="default" w:ascii="Times New Roman" w:hAnsi="Times New Roman" w:cs="Times New Roman"/>
                <w:color w:val="auto"/>
                <w:szCs w:val="21"/>
              </w:rPr>
              <w:t>0.048t/a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8" w:hRule="atLeast"/>
        </w:trPr>
        <w:tc>
          <w:tcPr>
            <w:tcW w:w="898" w:type="dxa"/>
            <w:vMerge w:val="continue"/>
            <w:vAlign w:val="center"/>
          </w:tcPr>
          <w:p>
            <w:pPr>
              <w:pStyle w:val="59"/>
              <w:rPr>
                <w:rFonts w:hint="default" w:ascii="Times New Roman" w:hAnsi="Times New Roman" w:cs="Times New Roman"/>
                <w:color w:val="auto"/>
                <w:sz w:val="21"/>
                <w:szCs w:val="21"/>
              </w:rPr>
            </w:pPr>
          </w:p>
        </w:tc>
        <w:tc>
          <w:tcPr>
            <w:tcW w:w="1032" w:type="dxa"/>
            <w:vMerge w:val="continue"/>
            <w:vAlign w:val="center"/>
          </w:tcPr>
          <w:p>
            <w:pPr>
              <w:pStyle w:val="59"/>
              <w:rPr>
                <w:rFonts w:hint="default" w:ascii="Times New Roman" w:hAnsi="Times New Roman" w:cs="Times New Roman"/>
                <w:color w:val="auto"/>
                <w:sz w:val="21"/>
                <w:szCs w:val="21"/>
              </w:rPr>
            </w:pPr>
          </w:p>
        </w:tc>
        <w:tc>
          <w:tcPr>
            <w:tcW w:w="1513" w:type="dxa"/>
            <w:vMerge w:val="continue"/>
            <w:vAlign w:val="center"/>
          </w:tcPr>
          <w:p>
            <w:pPr>
              <w:pStyle w:val="59"/>
              <w:rPr>
                <w:rFonts w:hint="default" w:ascii="Times New Roman" w:hAnsi="Times New Roman" w:cs="Times New Roman"/>
                <w:color w:val="auto"/>
                <w:sz w:val="21"/>
                <w:szCs w:val="21"/>
              </w:rPr>
            </w:pPr>
          </w:p>
        </w:tc>
        <w:tc>
          <w:tcPr>
            <w:tcW w:w="1707"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BOD</w:t>
            </w:r>
            <w:r>
              <w:rPr>
                <w:rFonts w:hint="default" w:ascii="Times New Roman" w:hAnsi="Times New Roman" w:cs="Times New Roman"/>
                <w:color w:val="auto"/>
                <w:szCs w:val="21"/>
                <w:vertAlign w:val="subscript"/>
              </w:rPr>
              <w:t>5</w:t>
            </w:r>
          </w:p>
        </w:tc>
        <w:tc>
          <w:tcPr>
            <w:tcW w:w="162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400mg/L</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0.095t/a</w:t>
            </w:r>
          </w:p>
        </w:tc>
        <w:tc>
          <w:tcPr>
            <w:tcW w:w="1757"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400mg/L</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0.095t/a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8" w:hRule="atLeast"/>
        </w:trPr>
        <w:tc>
          <w:tcPr>
            <w:tcW w:w="898" w:type="dxa"/>
            <w:vMerge w:val="continue"/>
            <w:vAlign w:val="center"/>
          </w:tcPr>
          <w:p>
            <w:pPr>
              <w:pStyle w:val="59"/>
              <w:rPr>
                <w:rFonts w:hint="default" w:ascii="Times New Roman" w:hAnsi="Times New Roman" w:cs="Times New Roman"/>
                <w:color w:val="auto"/>
                <w:sz w:val="21"/>
                <w:szCs w:val="21"/>
              </w:rPr>
            </w:pPr>
          </w:p>
        </w:tc>
        <w:tc>
          <w:tcPr>
            <w:tcW w:w="1032" w:type="dxa"/>
            <w:vMerge w:val="continue"/>
            <w:vAlign w:val="center"/>
          </w:tcPr>
          <w:p>
            <w:pPr>
              <w:pStyle w:val="59"/>
              <w:rPr>
                <w:rFonts w:hint="default" w:ascii="Times New Roman" w:hAnsi="Times New Roman" w:cs="Times New Roman"/>
                <w:color w:val="auto"/>
                <w:sz w:val="21"/>
                <w:szCs w:val="21"/>
              </w:rPr>
            </w:pPr>
          </w:p>
        </w:tc>
        <w:tc>
          <w:tcPr>
            <w:tcW w:w="1513" w:type="dxa"/>
            <w:vMerge w:val="continue"/>
            <w:vAlign w:val="center"/>
          </w:tcPr>
          <w:p>
            <w:pPr>
              <w:pStyle w:val="59"/>
              <w:rPr>
                <w:rFonts w:hint="default" w:ascii="Times New Roman" w:hAnsi="Times New Roman" w:cs="Times New Roman"/>
                <w:color w:val="auto"/>
                <w:sz w:val="21"/>
                <w:szCs w:val="21"/>
              </w:rPr>
            </w:pPr>
          </w:p>
        </w:tc>
        <w:tc>
          <w:tcPr>
            <w:tcW w:w="1707"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COD</w:t>
            </w:r>
            <w:r>
              <w:rPr>
                <w:rFonts w:hint="default" w:ascii="Times New Roman" w:hAnsi="Times New Roman" w:cs="Times New Roman"/>
                <w:color w:val="auto"/>
                <w:szCs w:val="21"/>
                <w:vertAlign w:val="subscript"/>
              </w:rPr>
              <w:t>cr</w:t>
            </w:r>
          </w:p>
        </w:tc>
        <w:tc>
          <w:tcPr>
            <w:tcW w:w="162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200mg/L</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0.018t/a</w:t>
            </w:r>
          </w:p>
        </w:tc>
        <w:tc>
          <w:tcPr>
            <w:tcW w:w="1757"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200mg/L</w:t>
            </w:r>
          </w:p>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0.018t/a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8" w:hRule="atLeast"/>
        </w:trPr>
        <w:tc>
          <w:tcPr>
            <w:tcW w:w="898" w:type="dxa"/>
            <w:vMerge w:val="continue"/>
            <w:vAlign w:val="center"/>
          </w:tcPr>
          <w:p>
            <w:pPr>
              <w:pStyle w:val="59"/>
              <w:rPr>
                <w:rFonts w:hint="default" w:ascii="Times New Roman" w:hAnsi="Times New Roman" w:cs="Times New Roman"/>
                <w:color w:val="auto"/>
                <w:sz w:val="21"/>
                <w:szCs w:val="21"/>
              </w:rPr>
            </w:pPr>
          </w:p>
        </w:tc>
        <w:tc>
          <w:tcPr>
            <w:tcW w:w="1032" w:type="dxa"/>
            <w:vMerge w:val="continue"/>
            <w:vAlign w:val="center"/>
          </w:tcPr>
          <w:p>
            <w:pPr>
              <w:pStyle w:val="59"/>
              <w:rPr>
                <w:rFonts w:hint="default" w:ascii="Times New Roman" w:hAnsi="Times New Roman" w:cs="Times New Roman"/>
                <w:color w:val="auto"/>
                <w:sz w:val="21"/>
                <w:szCs w:val="21"/>
              </w:rPr>
            </w:pPr>
          </w:p>
        </w:tc>
        <w:tc>
          <w:tcPr>
            <w:tcW w:w="1513" w:type="dxa"/>
            <w:vMerge w:val="continue"/>
            <w:vAlign w:val="center"/>
          </w:tcPr>
          <w:p>
            <w:pPr>
              <w:pStyle w:val="59"/>
              <w:rPr>
                <w:rFonts w:hint="default" w:ascii="Times New Roman" w:hAnsi="Times New Roman" w:cs="Times New Roman"/>
                <w:color w:val="auto"/>
                <w:sz w:val="21"/>
                <w:szCs w:val="21"/>
              </w:rPr>
            </w:pPr>
          </w:p>
        </w:tc>
        <w:tc>
          <w:tcPr>
            <w:tcW w:w="1707"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NH</w:t>
            </w:r>
            <w:r>
              <w:rPr>
                <w:rFonts w:hint="default" w:ascii="Times New Roman" w:hAnsi="Times New Roman" w:cs="Times New Roman"/>
                <w:color w:val="auto"/>
                <w:szCs w:val="21"/>
                <w:vertAlign w:val="subscript"/>
              </w:rPr>
              <w:t>3</w:t>
            </w:r>
            <w:r>
              <w:rPr>
                <w:rFonts w:hint="default" w:ascii="Times New Roman" w:hAnsi="Times New Roman" w:cs="Times New Roman"/>
                <w:color w:val="auto"/>
                <w:szCs w:val="21"/>
              </w:rPr>
              <w:t>-N</w:t>
            </w:r>
          </w:p>
        </w:tc>
        <w:tc>
          <w:tcPr>
            <w:tcW w:w="1621" w:type="dxa"/>
            <w:vAlign w:val="center"/>
          </w:tcPr>
          <w:p>
            <w:pPr>
              <w:ind w:firstLine="105" w:firstLineChars="50"/>
              <w:jc w:val="center"/>
              <w:rPr>
                <w:rFonts w:hint="default" w:ascii="Times New Roman" w:hAnsi="Times New Roman" w:cs="Times New Roman"/>
                <w:color w:val="auto"/>
                <w:szCs w:val="21"/>
              </w:rPr>
            </w:pPr>
            <w:r>
              <w:rPr>
                <w:rFonts w:hint="default" w:ascii="Times New Roman" w:hAnsi="Times New Roman" w:cs="Times New Roman"/>
                <w:color w:val="auto"/>
                <w:szCs w:val="21"/>
              </w:rPr>
              <w:t>25mg/L</w:t>
            </w:r>
          </w:p>
          <w:p>
            <w:pPr>
              <w:ind w:firstLine="105" w:firstLineChars="50"/>
              <w:jc w:val="center"/>
              <w:rPr>
                <w:rFonts w:hint="default" w:ascii="Times New Roman" w:hAnsi="Times New Roman" w:cs="Times New Roman"/>
                <w:color w:val="auto"/>
                <w:szCs w:val="21"/>
              </w:rPr>
            </w:pPr>
            <w:r>
              <w:rPr>
                <w:rFonts w:hint="default" w:ascii="Times New Roman" w:hAnsi="Times New Roman" w:cs="Times New Roman"/>
                <w:color w:val="auto"/>
                <w:szCs w:val="21"/>
              </w:rPr>
              <w:t>0.006t/a</w:t>
            </w:r>
          </w:p>
        </w:tc>
        <w:tc>
          <w:tcPr>
            <w:tcW w:w="1757" w:type="dxa"/>
            <w:vAlign w:val="center"/>
          </w:tcPr>
          <w:p>
            <w:pPr>
              <w:ind w:firstLine="105" w:firstLineChars="50"/>
              <w:jc w:val="center"/>
              <w:rPr>
                <w:rFonts w:hint="default" w:ascii="Times New Roman" w:hAnsi="Times New Roman" w:cs="Times New Roman"/>
                <w:color w:val="auto"/>
                <w:szCs w:val="21"/>
              </w:rPr>
            </w:pPr>
            <w:r>
              <w:rPr>
                <w:rFonts w:hint="default" w:ascii="Times New Roman" w:hAnsi="Times New Roman" w:cs="Times New Roman"/>
                <w:color w:val="auto"/>
                <w:szCs w:val="21"/>
              </w:rPr>
              <w:t>25mg/L</w:t>
            </w:r>
          </w:p>
          <w:p>
            <w:pPr>
              <w:ind w:firstLine="105" w:firstLineChars="50"/>
              <w:jc w:val="center"/>
              <w:rPr>
                <w:rFonts w:hint="default" w:ascii="Times New Roman" w:hAnsi="Times New Roman" w:cs="Times New Roman"/>
                <w:color w:val="auto"/>
                <w:szCs w:val="21"/>
              </w:rPr>
            </w:pPr>
            <w:r>
              <w:rPr>
                <w:rFonts w:hint="default" w:ascii="Times New Roman" w:hAnsi="Times New Roman" w:cs="Times New Roman"/>
                <w:color w:val="auto"/>
                <w:szCs w:val="21"/>
              </w:rPr>
              <w:t>0.006t/a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9" w:hRule="atLeast"/>
        </w:trPr>
        <w:tc>
          <w:tcPr>
            <w:tcW w:w="898"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固</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体</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废</w:t>
            </w:r>
          </w:p>
          <w:p>
            <w:pPr>
              <w:pStyle w:val="59"/>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物</w:t>
            </w:r>
          </w:p>
        </w:tc>
        <w:tc>
          <w:tcPr>
            <w:tcW w:w="1032"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kern w:val="24"/>
                <w:sz w:val="21"/>
                <w:szCs w:val="21"/>
              </w:rPr>
              <w:t>营运期</w:t>
            </w:r>
          </w:p>
        </w:tc>
        <w:tc>
          <w:tcPr>
            <w:tcW w:w="1513"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固体废物</w:t>
            </w:r>
          </w:p>
        </w:tc>
        <w:tc>
          <w:tcPr>
            <w:tcW w:w="1707"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生活垃圾</w:t>
            </w:r>
          </w:p>
        </w:tc>
        <w:tc>
          <w:tcPr>
            <w:tcW w:w="1621"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2.8t/a</w:t>
            </w:r>
          </w:p>
        </w:tc>
        <w:tc>
          <w:tcPr>
            <w:tcW w:w="1757"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2.8t/a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898"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噪声</w:t>
            </w:r>
          </w:p>
        </w:tc>
        <w:tc>
          <w:tcPr>
            <w:tcW w:w="1032"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营运期</w:t>
            </w:r>
          </w:p>
        </w:tc>
        <w:tc>
          <w:tcPr>
            <w:tcW w:w="6598" w:type="dxa"/>
            <w:gridSpan w:val="4"/>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本项目营运期主要为生产设备运行，其噪声源强在65～75dB(A)左右。</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2" w:hRule="atLeast"/>
        </w:trPr>
        <w:tc>
          <w:tcPr>
            <w:tcW w:w="898"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其</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他</w:t>
            </w:r>
          </w:p>
        </w:tc>
        <w:tc>
          <w:tcPr>
            <w:tcW w:w="7630" w:type="dxa"/>
            <w:gridSpan w:val="5"/>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82" w:hRule="atLeast"/>
        </w:trPr>
        <w:tc>
          <w:tcPr>
            <w:tcW w:w="8528" w:type="dxa"/>
            <w:gridSpan w:val="6"/>
            <w:vAlign w:val="center"/>
          </w:tcPr>
          <w:p>
            <w:pPr>
              <w:spacing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主要生态影响</w:t>
            </w:r>
            <w:r>
              <w:rPr>
                <w:rFonts w:hint="default" w:ascii="Times New Roman" w:hAnsi="Times New Roman" w:cs="Times New Roman"/>
                <w:color w:val="auto"/>
                <w:sz w:val="24"/>
              </w:rPr>
              <w:t>（不够时可附另页）</w:t>
            </w:r>
          </w:p>
          <w:p>
            <w:pPr>
              <w:spacing w:line="360" w:lineRule="auto"/>
              <w:ind w:firstLine="480" w:firstLineChars="200"/>
              <w:jc w:val="left"/>
              <w:rPr>
                <w:rFonts w:hint="default" w:ascii="Times New Roman" w:hAnsi="Times New Roman" w:cs="Times New Roman"/>
                <w:color w:val="auto"/>
                <w:sz w:val="24"/>
              </w:rPr>
            </w:pPr>
            <w:r>
              <w:rPr>
                <w:rFonts w:hint="default" w:ascii="Times New Roman" w:hAnsi="Times New Roman" w:cs="Times New Roman"/>
                <w:color w:val="auto"/>
                <w:sz w:val="24"/>
              </w:rPr>
              <w:t>本项目占用土地为工业用地，已清理平整，基本无自然植被分布和野生动物活动。生产过程中污染物的排放量不大，只要落实相应的环保治理措施，加强管理，则本项目不会对企业周边的植被等生态环境产生明显的影响。</w:t>
            </w:r>
          </w:p>
          <w:p>
            <w:pPr>
              <w:pStyle w:val="3"/>
              <w:rPr>
                <w:rFonts w:hint="default" w:ascii="Times New Roman" w:hAnsi="Times New Roman" w:cs="Times New Roman"/>
                <w:color w:val="auto"/>
              </w:rPr>
            </w:pPr>
          </w:p>
          <w:p>
            <w:pPr>
              <w:rPr>
                <w:rFonts w:hint="default" w:ascii="Times New Roman" w:hAnsi="Times New Roman" w:cs="Times New Roman"/>
                <w:color w:val="auto"/>
              </w:rPr>
            </w:pPr>
          </w:p>
          <w:p>
            <w:pPr>
              <w:pStyle w:val="3"/>
              <w:rPr>
                <w:rFonts w:hint="default" w:ascii="Times New Roman" w:hAnsi="Times New Roman" w:cs="Times New Roman"/>
                <w:color w:val="auto"/>
              </w:rPr>
            </w:pPr>
          </w:p>
        </w:tc>
      </w:tr>
    </w:tbl>
    <w:p>
      <w:pP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环境影响分析</w:t>
      </w:r>
    </w:p>
    <w:tbl>
      <w:tblPr>
        <w:tblStyle w:val="33"/>
        <w:tblW w:w="0" w:type="auto"/>
        <w:tblInd w:w="-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8" w:hRule="atLeast"/>
        </w:trPr>
        <w:tc>
          <w:tcPr>
            <w:tcW w:w="8760" w:type="dxa"/>
          </w:tcPr>
          <w:p>
            <w:pPr>
              <w:spacing w:line="360" w:lineRule="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施工期环境影响简要分析：</w:t>
            </w:r>
          </w:p>
          <w:p>
            <w:pPr>
              <w:pStyle w:val="12"/>
              <w:spacing w:line="360" w:lineRule="auto"/>
              <w:ind w:firstLine="480"/>
              <w:rPr>
                <w:rFonts w:hint="default" w:ascii="Times New Roman" w:hAnsi="Times New Roman" w:cs="Times New Roman"/>
                <w:b/>
                <w:color w:val="auto"/>
                <w:sz w:val="28"/>
                <w:szCs w:val="28"/>
              </w:rPr>
            </w:pPr>
            <w:r>
              <w:rPr>
                <w:rFonts w:hint="default" w:ascii="Times New Roman" w:hAnsi="Times New Roman" w:cs="Times New Roman"/>
                <w:color w:val="auto"/>
                <w:sz w:val="24"/>
              </w:rPr>
              <w:t>本项目为改建项目，本项目施工期主要通过对厂区现有罐区内16个储罐（4个2000m³，10个1000m³，2个500m³）进行管道技术改造，新建装卸鹤管至储罐的管道，新建装卸泵及装卸站台，完善储罐利用效率，达到年储存10万m³粗白油的能力。所以施工期较短，环境影响较小，且施工结束后相关环境影响随之消失，因此不再单独进行分析。</w:t>
            </w:r>
          </w:p>
          <w:p>
            <w:pPr>
              <w:spacing w:line="360" w:lineRule="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营运期环境影响分析：</w:t>
            </w:r>
          </w:p>
          <w:p>
            <w:pPr>
              <w:overflowPunct w:val="0"/>
              <w:adjustRightIn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1．大气环境影响分析</w:t>
            </w:r>
          </w:p>
          <w:p>
            <w:pPr>
              <w:keepNext w:val="0"/>
              <w:keepLines w:val="0"/>
              <w:pageBreakBefore w:val="0"/>
              <w:widowControl w:val="0"/>
              <w:kinsoku/>
              <w:wordWrap/>
              <w:overflowPunct/>
              <w:topLinePunct w:val="0"/>
              <w:bidi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（1）储罐区废气环境影响分析</w:t>
            </w:r>
          </w:p>
          <w:p>
            <w:pPr>
              <w:pStyle w:val="43"/>
              <w:keepNext w:val="0"/>
              <w:keepLines w:val="0"/>
              <w:pageBreakBefore w:val="0"/>
              <w:widowControl w:val="0"/>
              <w:kinsoku/>
              <w:wordWrap/>
              <w:overflowPunct/>
              <w:topLinePunct w:val="0"/>
              <w:bidi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1）预测因子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根据本项目大气污染物的产排特征，本项目确定选取VOC</w:t>
            </w:r>
            <w:r>
              <w:rPr>
                <w:rFonts w:hint="default" w:ascii="Times New Roman" w:hAnsi="Times New Roman" w:cs="Times New Roman"/>
                <w:color w:val="auto"/>
                <w:sz w:val="24"/>
                <w:szCs w:val="24"/>
                <w:vertAlign w:val="subscript"/>
              </w:rPr>
              <w:t>s</w:t>
            </w:r>
            <w:r>
              <w:rPr>
                <w:rFonts w:hint="default" w:ascii="Times New Roman" w:hAnsi="Times New Roman" w:cs="Times New Roman"/>
                <w:color w:val="auto"/>
                <w:sz w:val="24"/>
                <w:szCs w:val="24"/>
                <w:vertAlign w:val="baseline"/>
              </w:rPr>
              <w:t>（以</w:t>
            </w:r>
            <w:r>
              <w:rPr>
                <w:rFonts w:hint="default" w:ascii="Times New Roman" w:hAnsi="Times New Roman" w:cs="Times New Roman"/>
                <w:color w:val="auto"/>
                <w:sz w:val="24"/>
                <w:szCs w:val="24"/>
              </w:rPr>
              <w:t>非甲烷总烃计）作为本次大气环境影响评价的预测因子。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2）评价标准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依据导则，本次环境影响预测及评价采用的大气环境质量标准详见下表</w:t>
            </w:r>
          </w:p>
          <w:tbl>
            <w:tblPr>
              <w:tblStyle w:val="33"/>
              <w:tblpPr w:leftFromText="180" w:rightFromText="180" w:vertAnchor="text" w:horzAnchor="page" w:tblpX="106" w:tblpY="4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17"/>
              <w:gridCol w:w="1174"/>
              <w:gridCol w:w="1638"/>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noWrap w:val="0"/>
                  <w:vAlign w:val="center"/>
                </w:tcPr>
                <w:p>
                  <w:pPr>
                    <w:pStyle w:val="143"/>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b w:val="0"/>
                      <w:color w:val="auto"/>
                    </w:rPr>
                  </w:pPr>
                  <w:r>
                    <w:rPr>
                      <w:rFonts w:hint="default" w:ascii="Times New Roman" w:hAnsi="Times New Roman" w:cs="Times New Roman"/>
                      <w:b w:val="0"/>
                      <w:color w:val="auto"/>
                    </w:rPr>
                    <w:t>污染物名称</w:t>
                  </w:r>
                </w:p>
              </w:tc>
              <w:tc>
                <w:tcPr>
                  <w:tcW w:w="1217" w:type="dxa"/>
                  <w:noWrap w:val="0"/>
                  <w:vAlign w:val="center"/>
                </w:tcPr>
                <w:p>
                  <w:pPr>
                    <w:pStyle w:val="143"/>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b w:val="0"/>
                      <w:color w:val="auto"/>
                    </w:rPr>
                  </w:pPr>
                  <w:r>
                    <w:rPr>
                      <w:rFonts w:hint="default" w:ascii="Times New Roman" w:hAnsi="Times New Roman" w:cs="Times New Roman"/>
                      <w:b w:val="0"/>
                      <w:color w:val="auto"/>
                    </w:rPr>
                    <w:t>功能区</w:t>
                  </w:r>
                </w:p>
              </w:tc>
              <w:tc>
                <w:tcPr>
                  <w:tcW w:w="1174" w:type="dxa"/>
                  <w:noWrap w:val="0"/>
                  <w:vAlign w:val="center"/>
                </w:tcPr>
                <w:p>
                  <w:pPr>
                    <w:pStyle w:val="143"/>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b w:val="0"/>
                      <w:color w:val="auto"/>
                    </w:rPr>
                  </w:pPr>
                  <w:r>
                    <w:rPr>
                      <w:rFonts w:hint="default" w:ascii="Times New Roman" w:hAnsi="Times New Roman" w:cs="Times New Roman"/>
                      <w:b w:val="0"/>
                      <w:color w:val="auto"/>
                    </w:rPr>
                    <w:t>取值时间</w:t>
                  </w:r>
                </w:p>
              </w:tc>
              <w:tc>
                <w:tcPr>
                  <w:tcW w:w="1638" w:type="dxa"/>
                  <w:noWrap w:val="0"/>
                  <w:vAlign w:val="center"/>
                </w:tcPr>
                <w:p>
                  <w:pPr>
                    <w:pStyle w:val="143"/>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b w:val="0"/>
                      <w:color w:val="auto"/>
                    </w:rPr>
                  </w:pPr>
                  <w:bookmarkStart w:id="14" w:name="OLE_LINK4"/>
                  <w:bookmarkStart w:id="15" w:name="OLE_LINK5"/>
                  <w:r>
                    <w:rPr>
                      <w:rFonts w:hint="default" w:ascii="Times New Roman" w:hAnsi="Times New Roman" w:cs="Times New Roman"/>
                      <w:b w:val="0"/>
                      <w:color w:val="auto"/>
                    </w:rPr>
                    <w:t>标准值</w:t>
                  </w:r>
                  <w:bookmarkEnd w:id="14"/>
                  <w:bookmarkEnd w:id="15"/>
                  <w:bookmarkStart w:id="16" w:name="OLE_LINK14"/>
                  <w:bookmarkStart w:id="17" w:name="OLE_LINK15"/>
                  <w:r>
                    <w:rPr>
                      <w:rFonts w:hint="default" w:ascii="Times New Roman" w:hAnsi="Times New Roman" w:cs="Times New Roman"/>
                      <w:b w:val="0"/>
                      <w:color w:val="auto"/>
                    </w:rPr>
                    <w:t>（μg/m</w:t>
                  </w:r>
                  <w:r>
                    <w:rPr>
                      <w:rFonts w:hint="default" w:ascii="Times New Roman" w:hAnsi="Times New Roman" w:cs="Times New Roman"/>
                      <w:b w:val="0"/>
                      <w:color w:val="auto"/>
                      <w:vertAlign w:val="superscript"/>
                    </w:rPr>
                    <w:t>3</w:t>
                  </w:r>
                  <w:r>
                    <w:rPr>
                      <w:rFonts w:hint="default" w:ascii="Times New Roman" w:hAnsi="Times New Roman" w:cs="Times New Roman"/>
                      <w:b w:val="0"/>
                      <w:color w:val="auto"/>
                    </w:rPr>
                    <w:t>）</w:t>
                  </w:r>
                  <w:bookmarkEnd w:id="16"/>
                  <w:bookmarkEnd w:id="17"/>
                </w:p>
              </w:tc>
              <w:tc>
                <w:tcPr>
                  <w:tcW w:w="2923" w:type="dxa"/>
                  <w:noWrap w:val="0"/>
                  <w:vAlign w:val="center"/>
                </w:tcPr>
                <w:p>
                  <w:pPr>
                    <w:pStyle w:val="143"/>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b w:val="0"/>
                      <w:color w:val="auto"/>
                    </w:rPr>
                  </w:pPr>
                  <w:r>
                    <w:rPr>
                      <w:rFonts w:hint="default" w:ascii="Times New Roman" w:hAnsi="Times New Roman" w:cs="Times New Roman"/>
                      <w:b w:val="0"/>
                      <w:color w:val="auto"/>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82" w:type="dxa"/>
                  <w:noWrap w:val="0"/>
                  <w:vAlign w:val="center"/>
                </w:tcPr>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NMHC</w:t>
                  </w:r>
                </w:p>
              </w:tc>
              <w:tc>
                <w:tcPr>
                  <w:tcW w:w="1217" w:type="dxa"/>
                  <w:noWrap w:val="0"/>
                  <w:vAlign w:val="center"/>
                </w:tcPr>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二类限区</w:t>
                  </w:r>
                </w:p>
              </w:tc>
              <w:tc>
                <w:tcPr>
                  <w:tcW w:w="1174" w:type="dxa"/>
                  <w:noWrap w:val="0"/>
                  <w:vAlign w:val="center"/>
                </w:tcPr>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一小时</w:t>
                  </w:r>
                </w:p>
              </w:tc>
              <w:tc>
                <w:tcPr>
                  <w:tcW w:w="1638" w:type="dxa"/>
                  <w:noWrap w:val="0"/>
                  <w:vAlign w:val="center"/>
                </w:tcPr>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2000.0</w:t>
                  </w:r>
                </w:p>
              </w:tc>
              <w:tc>
                <w:tcPr>
                  <w:tcW w:w="2923" w:type="dxa"/>
                  <w:noWrap w:val="0"/>
                  <w:vAlign w:val="center"/>
                </w:tcPr>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大气污染物综合排放标准</w:t>
                  </w:r>
                </w:p>
                <w:p>
                  <w:pPr>
                    <w:pStyle w:val="87"/>
                    <w:keepNext w:val="0"/>
                    <w:keepLines w:val="0"/>
                    <w:pageBreakBefore w:val="0"/>
                    <w:widowControl w:val="0"/>
                    <w:kinsoku/>
                    <w:wordWrap/>
                    <w:overflowPunct/>
                    <w:topLinePunct w:val="0"/>
                    <w:bidi w:val="0"/>
                    <w:adjustRightInd w:val="0"/>
                    <w:spacing w:line="300" w:lineRule="auto"/>
                    <w:ind w:left="0" w:leftChars="0" w:right="0" w:rightChars="0" w:firstLine="0" w:firstLineChars="0"/>
                    <w:jc w:val="center"/>
                    <w:outlineLvl w:val="9"/>
                    <w:rPr>
                      <w:rFonts w:hint="default" w:ascii="Times New Roman" w:hAnsi="Times New Roman" w:cs="Times New Roman"/>
                      <w:color w:val="auto"/>
                    </w:rPr>
                  </w:pPr>
                  <w:r>
                    <w:rPr>
                      <w:rFonts w:hint="default" w:ascii="Times New Roman" w:hAnsi="Times New Roman" w:cs="Times New Roman"/>
                      <w:color w:val="auto"/>
                    </w:rPr>
                    <w:t>详解</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9"/>
              <w:rPr>
                <w:rFonts w:hint="default" w:ascii="Times New Roman" w:hAnsi="Times New Roman" w:cs="Times New Roman"/>
                <w:color w:val="auto"/>
                <w:sz w:val="24"/>
              </w:rPr>
            </w:pPr>
            <w:r>
              <w:rPr>
                <w:rFonts w:hint="default" w:ascii="Times New Roman" w:hAnsi="Times New Roman" w:cs="Times New Roman"/>
                <w:b/>
                <w:color w:val="auto"/>
                <w:sz w:val="24"/>
              </w:rPr>
              <w:t>表21   环境空气质量标准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3）污染源计算清单</w:t>
            </w:r>
          </w:p>
          <w:p>
            <w:pPr>
              <w:pStyle w:val="31"/>
              <w:keepNext w:val="0"/>
              <w:keepLines w:val="0"/>
              <w:pageBreakBefore w:val="0"/>
              <w:widowControl w:val="0"/>
              <w:kinsoku/>
              <w:wordWrap/>
              <w:overflowPunct/>
              <w:topLinePunct w:val="0"/>
              <w:autoSpaceDE/>
              <w:autoSpaceDN/>
              <w:bidi w:val="0"/>
              <w:spacing w:line="360" w:lineRule="auto"/>
              <w:ind w:left="0" w:leftChars="0" w:right="0" w:rightChars="0" w:firstLine="480"/>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本项目污染源详细参数见表2</w:t>
            </w:r>
            <w:r>
              <w:rPr>
                <w:rFonts w:hint="default" w:ascii="Times New Roman" w:hAnsi="Times New Roman" w:cs="Times New Roman"/>
                <w:color w:val="auto"/>
                <w:sz w:val="24"/>
                <w:szCs w:val="24"/>
                <w:lang w:eastAsia="zh-CN"/>
              </w:rPr>
              <w:t>2</w:t>
            </w:r>
            <w:r>
              <w:rPr>
                <w:rFonts w:hint="default" w:ascii="Times New Roman" w:hAnsi="Times New Roman" w:cs="Times New Roman"/>
                <w:color w:val="auto"/>
                <w:sz w:val="24"/>
                <w:szCs w:val="24"/>
              </w:rPr>
              <w:t>。</w:t>
            </w:r>
          </w:p>
          <w:p>
            <w:pPr>
              <w:pStyle w:val="143"/>
              <w:keepNext w:val="0"/>
              <w:keepLines w:val="0"/>
              <w:pageBreakBefore w:val="0"/>
              <w:widowControl w:val="0"/>
              <w:kinsoku/>
              <w:wordWrap/>
              <w:overflowPunct/>
              <w:topLinePunct w:val="0"/>
              <w:autoSpaceDE/>
              <w:autoSpaceDN/>
              <w:bidi w:val="0"/>
              <w:spacing w:line="360" w:lineRule="auto"/>
              <w:ind w:left="0" w:leftChars="0" w:right="0" w:rightChars="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表2</w:t>
            </w:r>
            <w:r>
              <w:rPr>
                <w:rFonts w:hint="default" w:ascii="Times New Roman" w:hAnsi="Times New Roman" w:cs="Times New Roman"/>
                <w:color w:val="auto"/>
                <w:sz w:val="24"/>
                <w:lang w:eastAsia="zh-CN"/>
              </w:rPr>
              <w:t>2</w:t>
            </w:r>
            <w:r>
              <w:rPr>
                <w:rFonts w:hint="default" w:ascii="Times New Roman" w:hAnsi="Times New Roman" w:cs="Times New Roman"/>
                <w:color w:val="auto"/>
                <w:sz w:val="24"/>
              </w:rPr>
              <w:t xml:space="preserve">  主要废气污染源参数一览表</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
              <w:gridCol w:w="951"/>
              <w:gridCol w:w="1188"/>
              <w:gridCol w:w="1181"/>
              <w:gridCol w:w="1034"/>
              <w:gridCol w:w="886"/>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56"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面源名称</w:t>
                  </w:r>
                </w:p>
              </w:tc>
              <w:tc>
                <w:tcPr>
                  <w:tcW w:w="555"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面源长度</w:t>
                  </w:r>
                  <w:r>
                    <w:rPr>
                      <w:rFonts w:hint="default" w:ascii="Times New Roman" w:hAnsi="Times New Roman" w:cs="Times New Roman"/>
                      <w:color w:val="auto"/>
                    </w:rPr>
                    <w:t>（m）</w:t>
                  </w:r>
                </w:p>
              </w:tc>
              <w:tc>
                <w:tcPr>
                  <w:tcW w:w="693"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面源宽度</w:t>
                  </w:r>
                  <w:r>
                    <w:rPr>
                      <w:rFonts w:hint="default" w:ascii="Times New Roman" w:hAnsi="Times New Roman" w:cs="Times New Roman"/>
                      <w:color w:val="auto"/>
                    </w:rPr>
                    <w:t>（m）</w:t>
                  </w:r>
                </w:p>
              </w:tc>
              <w:tc>
                <w:tcPr>
                  <w:tcW w:w="689"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排放高度</w:t>
                  </w:r>
                </w:p>
                <w:p>
                  <w:pPr>
                    <w:pStyle w:val="87"/>
                    <w:spacing w:line="300" w:lineRule="auto"/>
                    <w:rPr>
                      <w:rFonts w:hint="default" w:ascii="Times New Roman" w:hAnsi="Times New Roman" w:cs="Times New Roman"/>
                      <w:color w:val="auto"/>
                    </w:rPr>
                  </w:pPr>
                  <w:r>
                    <w:rPr>
                      <w:rFonts w:hint="default" w:ascii="Times New Roman" w:hAnsi="Times New Roman" w:cs="Times New Roman"/>
                      <w:color w:val="auto"/>
                    </w:rPr>
                    <w:t>（m）</w:t>
                  </w:r>
                </w:p>
              </w:tc>
              <w:tc>
                <w:tcPr>
                  <w:tcW w:w="603"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年排放</w:t>
                  </w:r>
                </w:p>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小时数</w:t>
                  </w:r>
                </w:p>
              </w:tc>
              <w:tc>
                <w:tcPr>
                  <w:tcW w:w="517" w:type="pct"/>
                  <w:vMerge w:val="restar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排放</w:t>
                  </w:r>
                </w:p>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工况</w:t>
                  </w:r>
                </w:p>
              </w:tc>
              <w:tc>
                <w:tcPr>
                  <w:tcW w:w="1387" w:type="pc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评价因子源强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56" w:type="pct"/>
                  <w:vMerge w:val="continue"/>
                  <w:noWrap w:val="0"/>
                  <w:vAlign w:val="center"/>
                </w:tcPr>
                <w:p>
                  <w:pPr>
                    <w:pStyle w:val="87"/>
                    <w:spacing w:line="300" w:lineRule="auto"/>
                    <w:rPr>
                      <w:rFonts w:hint="default" w:ascii="Times New Roman" w:hAnsi="Times New Roman" w:cs="Times New Roman"/>
                      <w:bCs/>
                      <w:color w:val="auto"/>
                    </w:rPr>
                  </w:pPr>
                </w:p>
              </w:tc>
              <w:tc>
                <w:tcPr>
                  <w:tcW w:w="555" w:type="pct"/>
                  <w:vMerge w:val="continue"/>
                  <w:noWrap w:val="0"/>
                  <w:vAlign w:val="center"/>
                </w:tcPr>
                <w:p>
                  <w:pPr>
                    <w:pStyle w:val="87"/>
                    <w:spacing w:line="300" w:lineRule="auto"/>
                    <w:rPr>
                      <w:rFonts w:hint="default" w:ascii="Times New Roman" w:hAnsi="Times New Roman" w:cs="Times New Roman"/>
                      <w:bCs/>
                      <w:color w:val="auto"/>
                    </w:rPr>
                  </w:pPr>
                </w:p>
              </w:tc>
              <w:tc>
                <w:tcPr>
                  <w:tcW w:w="693" w:type="pct"/>
                  <w:vMerge w:val="continue"/>
                  <w:noWrap w:val="0"/>
                  <w:vAlign w:val="center"/>
                </w:tcPr>
                <w:p>
                  <w:pPr>
                    <w:pStyle w:val="87"/>
                    <w:spacing w:line="300" w:lineRule="auto"/>
                    <w:rPr>
                      <w:rFonts w:hint="default" w:ascii="Times New Roman" w:hAnsi="Times New Roman" w:cs="Times New Roman"/>
                      <w:bCs/>
                      <w:color w:val="auto"/>
                    </w:rPr>
                  </w:pPr>
                </w:p>
              </w:tc>
              <w:tc>
                <w:tcPr>
                  <w:tcW w:w="689" w:type="pct"/>
                  <w:vMerge w:val="continue"/>
                  <w:noWrap w:val="0"/>
                  <w:vAlign w:val="center"/>
                </w:tcPr>
                <w:p>
                  <w:pPr>
                    <w:pStyle w:val="87"/>
                    <w:spacing w:line="300" w:lineRule="auto"/>
                    <w:rPr>
                      <w:rFonts w:hint="default" w:ascii="Times New Roman" w:hAnsi="Times New Roman" w:cs="Times New Roman"/>
                      <w:bCs/>
                      <w:color w:val="auto"/>
                    </w:rPr>
                  </w:pPr>
                </w:p>
              </w:tc>
              <w:tc>
                <w:tcPr>
                  <w:tcW w:w="603" w:type="pct"/>
                  <w:vMerge w:val="continue"/>
                  <w:noWrap w:val="0"/>
                  <w:vAlign w:val="center"/>
                </w:tcPr>
                <w:p>
                  <w:pPr>
                    <w:pStyle w:val="87"/>
                    <w:spacing w:line="300" w:lineRule="auto"/>
                    <w:rPr>
                      <w:rFonts w:hint="default" w:ascii="Times New Roman" w:hAnsi="Times New Roman" w:cs="Times New Roman"/>
                      <w:bCs/>
                      <w:color w:val="auto"/>
                    </w:rPr>
                  </w:pPr>
                </w:p>
              </w:tc>
              <w:tc>
                <w:tcPr>
                  <w:tcW w:w="517" w:type="pct"/>
                  <w:vMerge w:val="continue"/>
                  <w:noWrap w:val="0"/>
                  <w:vAlign w:val="center"/>
                </w:tcPr>
                <w:p>
                  <w:pPr>
                    <w:pStyle w:val="87"/>
                    <w:spacing w:line="300" w:lineRule="auto"/>
                    <w:rPr>
                      <w:rFonts w:hint="default" w:ascii="Times New Roman" w:hAnsi="Times New Roman" w:cs="Times New Roman"/>
                      <w:bCs/>
                      <w:color w:val="auto"/>
                    </w:rPr>
                  </w:pPr>
                </w:p>
              </w:tc>
              <w:tc>
                <w:tcPr>
                  <w:tcW w:w="1387" w:type="pct"/>
                  <w:noWrap w:val="0"/>
                  <w:vAlign w:val="center"/>
                </w:tcPr>
                <w:p>
                  <w:pPr>
                    <w:pStyle w:val="87"/>
                    <w:spacing w:line="300" w:lineRule="auto"/>
                    <w:rPr>
                      <w:rFonts w:hint="default" w:ascii="Times New Roman" w:hAnsi="Times New Roman" w:cs="Times New Roman"/>
                      <w:bCs/>
                      <w:color w:val="auto"/>
                    </w:rPr>
                  </w:pPr>
                  <w:r>
                    <w:rPr>
                      <w:rFonts w:hint="default" w:ascii="Times New Roman" w:hAnsi="Times New Roman" w:cs="Times New Roman"/>
                      <w:bCs/>
                      <w:color w:val="auto"/>
                    </w:rPr>
                    <w:t>NMHC（kg/h）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noWrap w:val="0"/>
                  <w:vAlign w:val="center"/>
                </w:tcPr>
                <w:p>
                  <w:pPr>
                    <w:pStyle w:val="87"/>
                    <w:spacing w:line="300" w:lineRule="auto"/>
                    <w:jc w:val="both"/>
                    <w:rPr>
                      <w:rFonts w:hint="default" w:ascii="Times New Roman" w:hAnsi="Times New Roman" w:cs="Times New Roman"/>
                      <w:color w:val="auto"/>
                    </w:rPr>
                  </w:pPr>
                  <w:r>
                    <w:rPr>
                      <w:rFonts w:hint="default" w:ascii="Times New Roman" w:hAnsi="Times New Roman" w:cs="Times New Roman"/>
                      <w:color w:val="auto"/>
                    </w:rPr>
                    <w:t>罐区</w:t>
                  </w:r>
                </w:p>
              </w:tc>
              <w:tc>
                <w:tcPr>
                  <w:tcW w:w="555" w:type="pct"/>
                  <w:noWrap w:val="0"/>
                  <w:vAlign w:val="center"/>
                </w:tcPr>
                <w:p>
                  <w:pPr>
                    <w:pStyle w:val="87"/>
                    <w:spacing w:line="300" w:lineRule="auto"/>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145.6</w:t>
                  </w:r>
                </w:p>
              </w:tc>
              <w:tc>
                <w:tcPr>
                  <w:tcW w:w="693" w:type="pct"/>
                  <w:noWrap w:val="0"/>
                  <w:vAlign w:val="center"/>
                </w:tcPr>
                <w:p>
                  <w:pPr>
                    <w:pStyle w:val="87"/>
                    <w:spacing w:line="300" w:lineRule="auto"/>
                    <w:rPr>
                      <w:rFonts w:hint="default" w:ascii="Times New Roman" w:hAnsi="Times New Roman" w:cs="Times New Roman"/>
                      <w:color w:val="auto"/>
                    </w:rPr>
                  </w:pPr>
                  <w:r>
                    <w:rPr>
                      <w:rFonts w:hint="default" w:ascii="Times New Roman" w:hAnsi="Times New Roman" w:cs="Times New Roman"/>
                      <w:color w:val="auto"/>
                    </w:rPr>
                    <w:t>48.2</w:t>
                  </w:r>
                </w:p>
              </w:tc>
              <w:tc>
                <w:tcPr>
                  <w:tcW w:w="689" w:type="pct"/>
                  <w:noWrap w:val="0"/>
                  <w:vAlign w:val="center"/>
                </w:tcPr>
                <w:p>
                  <w:pPr>
                    <w:pStyle w:val="87"/>
                    <w:spacing w:line="300" w:lineRule="auto"/>
                    <w:rPr>
                      <w:rFonts w:hint="default" w:ascii="Times New Roman" w:hAnsi="Times New Roman" w:cs="Times New Roman"/>
                      <w:color w:val="auto"/>
                    </w:rPr>
                  </w:pPr>
                  <w:r>
                    <w:rPr>
                      <w:rFonts w:hint="default" w:ascii="Times New Roman" w:hAnsi="Times New Roman" w:cs="Times New Roman"/>
                      <w:color w:val="auto"/>
                    </w:rPr>
                    <w:t>12</w:t>
                  </w:r>
                </w:p>
              </w:tc>
              <w:tc>
                <w:tcPr>
                  <w:tcW w:w="603" w:type="pct"/>
                  <w:noWrap w:val="0"/>
                  <w:vAlign w:val="center"/>
                </w:tcPr>
                <w:p>
                  <w:pPr>
                    <w:pStyle w:val="87"/>
                    <w:spacing w:line="300" w:lineRule="auto"/>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8760</w:t>
                  </w:r>
                </w:p>
              </w:tc>
              <w:tc>
                <w:tcPr>
                  <w:tcW w:w="517" w:type="pct"/>
                  <w:noWrap w:val="0"/>
                  <w:vAlign w:val="center"/>
                </w:tcPr>
                <w:p>
                  <w:pPr>
                    <w:pStyle w:val="87"/>
                    <w:spacing w:line="300" w:lineRule="auto"/>
                    <w:rPr>
                      <w:rFonts w:hint="default" w:ascii="Times New Roman" w:hAnsi="Times New Roman" w:cs="Times New Roman"/>
                      <w:color w:val="auto"/>
                    </w:rPr>
                  </w:pPr>
                  <w:r>
                    <w:rPr>
                      <w:rFonts w:hint="default" w:ascii="Times New Roman" w:hAnsi="Times New Roman" w:cs="Times New Roman"/>
                      <w:color w:val="auto"/>
                    </w:rPr>
                    <w:t>连续</w:t>
                  </w:r>
                </w:p>
              </w:tc>
              <w:tc>
                <w:tcPr>
                  <w:tcW w:w="1387" w:type="pct"/>
                  <w:noWrap w:val="0"/>
                  <w:vAlign w:val="center"/>
                </w:tcPr>
                <w:p>
                  <w:pPr>
                    <w:pStyle w:val="87"/>
                    <w:spacing w:line="300" w:lineRule="auto"/>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0.03</w:t>
                  </w:r>
                </w:p>
              </w:tc>
            </w:tr>
          </w:tbl>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4）预测模式</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依据《环境影响评价技术导则 大气环境》（HJ2.2-2018）评价工资等级的划分原则和方法，对项目选取的预测因子，利用附录A推荐模型中的AERSCREEN估算模式对项目的大气环境评价工作进行分级。</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本项目预测相关参数及选项如下表所示。</w:t>
            </w:r>
          </w:p>
          <w:p>
            <w:pPr>
              <w:pStyle w:val="143"/>
              <w:keepNext w:val="0"/>
              <w:keepLines w:val="0"/>
              <w:pageBreakBefore w:val="0"/>
              <w:widowControl w:val="0"/>
              <w:kinsoku/>
              <w:wordWrap/>
              <w:overflowPunct/>
              <w:topLinePunct w:val="0"/>
              <w:autoSpaceDE/>
              <w:autoSpaceDN/>
              <w:bidi w:val="0"/>
              <w:spacing w:line="360" w:lineRule="auto"/>
              <w:ind w:left="0" w:leftChars="0" w:right="0" w:rightChars="0"/>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表</w:t>
            </w:r>
            <w:r>
              <w:rPr>
                <w:rFonts w:hint="default" w:ascii="Times New Roman" w:hAnsi="Times New Roman" w:cs="Times New Roman"/>
                <w:color w:val="auto"/>
                <w:sz w:val="24"/>
                <w:lang w:val="en-US" w:eastAsia="zh-CN"/>
              </w:rPr>
              <w:t>2</w:t>
            </w:r>
            <w:r>
              <w:rPr>
                <w:rFonts w:hint="default" w:ascii="Times New Roman" w:hAnsi="Times New Roman" w:cs="Times New Roman"/>
                <w:color w:val="auto"/>
                <w:sz w:val="24"/>
                <w:lang w:eastAsia="zh-CN"/>
              </w:rPr>
              <w:t>3</w:t>
            </w:r>
            <w:r>
              <w:rPr>
                <w:rFonts w:hint="default" w:ascii="Times New Roman" w:hAnsi="Times New Roman" w:cs="Times New Roman"/>
                <w:color w:val="auto"/>
                <w:sz w:val="24"/>
              </w:rPr>
              <w:t xml:space="preserve">     估算模型参数表</w:t>
            </w:r>
          </w:p>
          <w:tbl>
            <w:tblPr>
              <w:tblStyle w:val="3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8"/>
              <w:gridCol w:w="2339"/>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32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参数</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取值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restart"/>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城市农村/选项</w:t>
                  </w: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城市/农村</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农村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continue"/>
                  <w:noWrap w:val="0"/>
                  <w:vAlign w:val="center"/>
                </w:tcPr>
                <w:p>
                  <w:pPr>
                    <w:pStyle w:val="87"/>
                    <w:rPr>
                      <w:rFonts w:hint="default" w:ascii="Times New Roman" w:hAnsi="Times New Roman" w:cs="Times New Roman"/>
                      <w:color w:val="auto"/>
                    </w:rPr>
                  </w:pP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人口数（城市人口数）</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32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最高环境温度</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40.6℃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32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最低环境温度</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-36.5℃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32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土地利用类型</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荒漠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32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区域湿度条件</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干燥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988" w:type="dxa"/>
                  <w:vMerge w:val="restart"/>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是否考虑地形</w:t>
                  </w: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考虑地形</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continue"/>
                  <w:noWrap w:val="0"/>
                  <w:vAlign w:val="center"/>
                </w:tcPr>
                <w:p>
                  <w:pPr>
                    <w:pStyle w:val="87"/>
                    <w:rPr>
                      <w:rFonts w:hint="default" w:ascii="Times New Roman" w:hAnsi="Times New Roman" w:cs="Times New Roman"/>
                      <w:color w:val="auto"/>
                    </w:rPr>
                  </w:pP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地形数据分辨率（m）</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restart"/>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是否考虑岸线熏烟</w:t>
                  </w: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考虑岸线熏烟</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continue"/>
                  <w:noWrap w:val="0"/>
                  <w:vAlign w:val="center"/>
                </w:tcPr>
                <w:p>
                  <w:pPr>
                    <w:pStyle w:val="87"/>
                    <w:rPr>
                      <w:rFonts w:hint="default" w:ascii="Times New Roman" w:hAnsi="Times New Roman" w:cs="Times New Roman"/>
                      <w:color w:val="auto"/>
                    </w:rPr>
                  </w:pP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岸线距离/km</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8" w:type="dxa"/>
                  <w:vMerge w:val="continue"/>
                  <w:noWrap w:val="0"/>
                  <w:vAlign w:val="center"/>
                </w:tcPr>
                <w:p>
                  <w:pPr>
                    <w:pStyle w:val="87"/>
                    <w:rPr>
                      <w:rFonts w:hint="default" w:ascii="Times New Roman" w:hAnsi="Times New Roman" w:cs="Times New Roman"/>
                      <w:color w:val="auto"/>
                    </w:rPr>
                  </w:pPr>
                </w:p>
              </w:tc>
              <w:tc>
                <w:tcPr>
                  <w:tcW w:w="233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岸线方向/o</w:t>
                  </w:r>
                </w:p>
              </w:tc>
              <w:tc>
                <w:tcPr>
                  <w:tcW w:w="417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w:t>
                  </w:r>
                </w:p>
              </w:tc>
            </w:tr>
          </w:tbl>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5）预测结果</w:t>
            </w:r>
          </w:p>
          <w:p>
            <w:pPr>
              <w:pStyle w:val="31"/>
              <w:ind w:firstLine="480"/>
              <w:jc w:val="center"/>
              <w:rPr>
                <w:rFonts w:hint="default" w:ascii="Times New Roman" w:hAnsi="Times New Roman" w:cs="Times New Roman"/>
                <w:i w:val="0"/>
                <w:color w:val="auto"/>
                <w:sz w:val="24"/>
                <w:szCs w:val="24"/>
              </w:rPr>
            </w:pPr>
            <m:oMathPara>
              <m:oMath>
                <m:sSub>
                  <m:sSubPr>
                    <m:ctrlPr>
                      <w:rPr>
                        <w:rFonts w:hint="default" w:ascii="Cambria Math" w:hAnsi="Cambria Math" w:cs="Times New Roman"/>
                        <w:color w:val="auto"/>
                        <w:sz w:val="24"/>
                        <w:szCs w:val="24"/>
                      </w:rPr>
                    </m:ctrlPr>
                  </m:sSubPr>
                  <m:e>
                    <m:r>
                      <w:rPr>
                        <w:rFonts w:hint="default" w:ascii="Cambria Math" w:hAnsi="Cambria Math" w:cs="Times New Roman"/>
                        <w:color w:val="auto"/>
                        <w:sz w:val="24"/>
                        <w:szCs w:val="24"/>
                      </w:rPr>
                      <m:t>P</m:t>
                    </m:r>
                    <m:ctrlPr>
                      <w:rPr>
                        <w:rFonts w:hint="default" w:ascii="Cambria Math" w:hAnsi="Cambria Math" w:cs="Times New Roman"/>
                        <w:color w:val="auto"/>
                        <w:sz w:val="24"/>
                        <w:szCs w:val="24"/>
                      </w:rPr>
                    </m:ctrlPr>
                  </m:e>
                  <m:sub>
                    <m:r>
                      <w:rPr>
                        <w:rFonts w:hint="default" w:ascii="Cambria Math" w:hAnsi="Cambria Math" w:cs="Times New Roman"/>
                        <w:color w:val="auto"/>
                        <w:sz w:val="24"/>
                        <w:szCs w:val="24"/>
                      </w:rPr>
                      <m:t>i</m:t>
                    </m:r>
                    <m:ctrlPr>
                      <w:rPr>
                        <w:rFonts w:hint="default" w:ascii="Cambria Math" w:hAnsi="Cambria Math" w:cs="Times New Roman"/>
                        <w:color w:val="auto"/>
                        <w:sz w:val="24"/>
                        <w:szCs w:val="24"/>
                      </w:rPr>
                    </m:ctrlPr>
                  </m:sub>
                </m:sSub>
                <m:r>
                  <m:rPr>
                    <m:sty m:val="p"/>
                  </m:rPr>
                  <w:rPr>
                    <w:rFonts w:hint="default" w:ascii="Cambria Math" w:hAnsi="Cambria Math" w:cs="Times New Roman"/>
                    <w:color w:val="auto"/>
                    <w:sz w:val="24"/>
                    <w:szCs w:val="24"/>
                  </w:rPr>
                  <m:t>=</m:t>
                </m:r>
                <m:f>
                  <m:fPr>
                    <m:ctrlPr>
                      <w:rPr>
                        <w:rFonts w:hint="default" w:ascii="Cambria Math" w:hAnsi="Cambria Math" w:cs="Times New Roman"/>
                        <w:color w:val="auto"/>
                        <w:sz w:val="24"/>
                        <w:szCs w:val="24"/>
                      </w:rPr>
                    </m:ctrlPr>
                  </m:fPr>
                  <m:num>
                    <m:sSub>
                      <m:sSubPr>
                        <m:ctrlPr>
                          <w:rPr>
                            <w:rFonts w:hint="default" w:ascii="Cambria Math" w:hAnsi="Cambria Math" w:cs="Times New Roman"/>
                            <w:i/>
                            <w:color w:val="auto"/>
                            <w:sz w:val="24"/>
                            <w:szCs w:val="24"/>
                          </w:rPr>
                        </m:ctrlPr>
                      </m:sSubPr>
                      <m:e>
                        <m:r>
                          <w:rPr>
                            <w:rFonts w:hint="default" w:ascii="Cambria Math" w:hAnsi="Cambria Math" w:cs="Times New Roman"/>
                            <w:color w:val="auto"/>
                            <w:sz w:val="24"/>
                            <w:szCs w:val="24"/>
                          </w:rPr>
                          <m:t>C</m:t>
                        </m:r>
                        <m:ctrlPr>
                          <w:rPr>
                            <w:rFonts w:hint="default" w:ascii="Cambria Math" w:hAnsi="Cambria Math" w:cs="Times New Roman"/>
                            <w:i/>
                            <w:color w:val="auto"/>
                            <w:sz w:val="24"/>
                            <w:szCs w:val="24"/>
                          </w:rPr>
                        </m:ctrlPr>
                      </m:e>
                      <m:sub>
                        <m:r>
                          <w:rPr>
                            <w:rFonts w:hint="default" w:ascii="Cambria Math" w:hAnsi="Cambria Math" w:cs="Times New Roman"/>
                            <w:color w:val="auto"/>
                            <w:sz w:val="24"/>
                            <w:szCs w:val="24"/>
                          </w:rPr>
                          <m:t>i</m:t>
                        </m:r>
                        <m:ctrlPr>
                          <w:rPr>
                            <w:rFonts w:hint="default" w:ascii="Cambria Math" w:hAnsi="Cambria Math" w:cs="Times New Roman"/>
                            <w:i/>
                            <w:color w:val="auto"/>
                            <w:sz w:val="24"/>
                            <w:szCs w:val="24"/>
                          </w:rPr>
                        </m:ctrlPr>
                      </m:sub>
                    </m:sSub>
                    <m:ctrlPr>
                      <w:rPr>
                        <w:rFonts w:hint="default" w:ascii="Cambria Math" w:hAnsi="Cambria Math" w:cs="Times New Roman"/>
                        <w:color w:val="auto"/>
                        <w:sz w:val="24"/>
                        <w:szCs w:val="24"/>
                      </w:rPr>
                    </m:ctrlPr>
                  </m:num>
                  <m:den>
                    <m:sSub>
                      <m:sSubPr>
                        <m:ctrlPr>
                          <w:rPr>
                            <w:rFonts w:hint="default" w:ascii="Cambria Math" w:hAnsi="Cambria Math" w:cs="Times New Roman"/>
                            <w:i/>
                            <w:color w:val="auto"/>
                            <w:sz w:val="24"/>
                            <w:szCs w:val="24"/>
                          </w:rPr>
                        </m:ctrlPr>
                      </m:sSubPr>
                      <m:e>
                        <m:r>
                          <w:rPr>
                            <w:rFonts w:hint="default" w:ascii="Cambria Math" w:hAnsi="Cambria Math" w:cs="Times New Roman"/>
                            <w:color w:val="auto"/>
                            <w:sz w:val="24"/>
                            <w:szCs w:val="24"/>
                          </w:rPr>
                          <m:t>C</m:t>
                        </m:r>
                        <m:ctrlPr>
                          <w:rPr>
                            <w:rFonts w:hint="default" w:ascii="Cambria Math" w:hAnsi="Cambria Math" w:cs="Times New Roman"/>
                            <w:i/>
                            <w:color w:val="auto"/>
                            <w:sz w:val="24"/>
                            <w:szCs w:val="24"/>
                          </w:rPr>
                        </m:ctrlPr>
                      </m:e>
                      <m:sub>
                        <m:r>
                          <w:rPr>
                            <w:rFonts w:hint="default" w:ascii="Cambria Math" w:hAnsi="Cambria Math" w:cs="Times New Roman"/>
                            <w:color w:val="auto"/>
                            <w:sz w:val="24"/>
                            <w:szCs w:val="24"/>
                          </w:rPr>
                          <m:t>0i</m:t>
                        </m:r>
                        <m:ctrlPr>
                          <w:rPr>
                            <w:rFonts w:hint="default" w:ascii="Cambria Math" w:hAnsi="Cambria Math" w:cs="Times New Roman"/>
                            <w:i/>
                            <w:color w:val="auto"/>
                            <w:sz w:val="24"/>
                            <w:szCs w:val="24"/>
                          </w:rPr>
                        </m:ctrlPr>
                      </m:sub>
                    </m:sSub>
                    <m:ctrlPr>
                      <w:rPr>
                        <w:rFonts w:hint="default" w:ascii="Cambria Math" w:hAnsi="Cambria Math" w:cs="Times New Roman"/>
                        <w:color w:val="auto"/>
                        <w:sz w:val="24"/>
                        <w:szCs w:val="24"/>
                      </w:rPr>
                    </m:ctrlPr>
                  </m:den>
                </m:f>
                <m:r>
                  <w:rPr>
                    <w:rFonts w:hint="default" w:ascii="Cambria Math" w:hAnsi="Cambria Math" w:cs="Times New Roman"/>
                    <w:color w:val="auto"/>
                    <w:sz w:val="24"/>
                    <w:szCs w:val="24"/>
                  </w:rPr>
                  <m:t>×100%</m:t>
                </m:r>
              </m:oMath>
            </m:oMathPara>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依据《环境影响评价技术导则 大气环境》（HJ2.2-2018）中最大地面浓度占标率Pi定义如下：</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Pi—第i个污染物的最大地面空气质量浓度占标率，%；</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Ci—采用估算模型计算出的第i个污染物的最大1h地面空气质量浓度，μg/m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Coi—第i个污染物的环境空气质量浓度标准，μg/m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评价等级按下表的分级判据进行划分。</w:t>
            </w:r>
          </w:p>
          <w:p>
            <w:pPr>
              <w:pStyle w:val="143"/>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表</w:t>
            </w:r>
            <w:r>
              <w:rPr>
                <w:rFonts w:hint="default" w:ascii="Times New Roman" w:hAnsi="Times New Roman" w:cs="Times New Roman"/>
                <w:color w:val="auto"/>
                <w:sz w:val="24"/>
                <w:lang w:val="en-US" w:eastAsia="zh-CN"/>
              </w:rPr>
              <w:t>2</w:t>
            </w:r>
            <w:r>
              <w:rPr>
                <w:rFonts w:hint="default" w:ascii="Times New Roman" w:hAnsi="Times New Roman" w:cs="Times New Roman"/>
                <w:color w:val="auto"/>
                <w:sz w:val="24"/>
                <w:lang w:eastAsia="zh-CN"/>
              </w:rPr>
              <w:t>4</w:t>
            </w:r>
            <w:r>
              <w:rPr>
                <w:rFonts w:hint="default" w:ascii="Times New Roman" w:hAnsi="Times New Roman" w:cs="Times New Roman"/>
                <w:color w:val="auto"/>
                <w:sz w:val="24"/>
              </w:rPr>
              <w:t xml:space="preserve">   评价等级判别表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252" w:type="dxa"/>
                  <w:noWrap w:val="0"/>
                  <w:vAlign w:val="center"/>
                </w:tcPr>
                <w:p>
                  <w:pPr>
                    <w:pStyle w:val="143"/>
                    <w:rPr>
                      <w:rFonts w:hint="default" w:ascii="Times New Roman" w:hAnsi="Times New Roman" w:cs="Times New Roman"/>
                      <w:b w:val="0"/>
                      <w:color w:val="auto"/>
                    </w:rPr>
                  </w:pPr>
                  <w:r>
                    <w:rPr>
                      <w:rFonts w:hint="default" w:ascii="Times New Roman" w:hAnsi="Times New Roman" w:cs="Times New Roman"/>
                      <w:b w:val="0"/>
                      <w:color w:val="auto"/>
                    </w:rPr>
                    <w:t>评价工作等级</w:t>
                  </w:r>
                </w:p>
              </w:tc>
              <w:tc>
                <w:tcPr>
                  <w:tcW w:w="4252" w:type="dxa"/>
                  <w:noWrap w:val="0"/>
                  <w:vAlign w:val="center"/>
                </w:tcPr>
                <w:p>
                  <w:pPr>
                    <w:pStyle w:val="143"/>
                    <w:rPr>
                      <w:rFonts w:hint="default" w:ascii="Times New Roman" w:hAnsi="Times New Roman" w:cs="Times New Roman"/>
                      <w:b w:val="0"/>
                      <w:color w:val="auto"/>
                    </w:rPr>
                  </w:pPr>
                  <w:r>
                    <w:rPr>
                      <w:rFonts w:hint="default" w:ascii="Times New Roman" w:hAnsi="Times New Roman" w:cs="Times New Roman"/>
                      <w:b w:val="0"/>
                      <w:color w:val="auto"/>
                    </w:rPr>
                    <w:t>评价工作分级判据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一级评价</w:t>
                  </w:r>
                </w:p>
              </w:tc>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二级评价</w:t>
                  </w:r>
                </w:p>
              </w:tc>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1%≦Pmax&lt;10%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三级评价</w:t>
                  </w:r>
                </w:p>
              </w:tc>
              <w:tc>
                <w:tcPr>
                  <w:tcW w:w="425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Pmax&lt;1%</w:t>
                  </w:r>
                </w:p>
              </w:tc>
            </w:tr>
          </w:tbl>
          <w:p>
            <w:pPr>
              <w:pStyle w:val="31"/>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根据以上原则，采用估算模式计算本项目各废气源最大影响程度和最远影响程度，从而确定评价等级，计算结果见表</w:t>
            </w: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lang w:eastAsia="zh-CN"/>
              </w:rPr>
              <w:t>5</w:t>
            </w:r>
            <w:r>
              <w:rPr>
                <w:rFonts w:hint="default" w:ascii="Times New Roman" w:hAnsi="Times New Roman" w:cs="Times New Roman"/>
                <w:color w:val="auto"/>
                <w:sz w:val="24"/>
                <w:szCs w:val="24"/>
              </w:rPr>
              <w:t>和表</w:t>
            </w: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lang w:eastAsia="zh-CN"/>
              </w:rPr>
              <w:t>6</w:t>
            </w:r>
            <w:r>
              <w:rPr>
                <w:rFonts w:hint="default" w:ascii="Times New Roman" w:hAnsi="Times New Roman" w:cs="Times New Roman"/>
                <w:color w:val="auto"/>
                <w:sz w:val="24"/>
                <w:szCs w:val="24"/>
              </w:rPr>
              <w:t>。</w:t>
            </w:r>
          </w:p>
          <w:p>
            <w:pPr>
              <w:pStyle w:val="87"/>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表</w:t>
            </w:r>
            <w:r>
              <w:rPr>
                <w:rFonts w:hint="default" w:ascii="Times New Roman" w:hAnsi="Times New Roman" w:cs="Times New Roman"/>
                <w:b/>
                <w:bCs/>
                <w:color w:val="auto"/>
                <w:sz w:val="24"/>
                <w:lang w:val="en-US" w:eastAsia="zh-CN"/>
              </w:rPr>
              <w:t>2</w:t>
            </w:r>
            <w:r>
              <w:rPr>
                <w:rFonts w:hint="default" w:ascii="Times New Roman" w:hAnsi="Times New Roman" w:cs="Times New Roman"/>
                <w:b/>
                <w:bCs/>
                <w:color w:val="auto"/>
                <w:sz w:val="24"/>
                <w:lang w:eastAsia="zh-CN"/>
              </w:rPr>
              <w:t>5</w:t>
            </w:r>
            <w:r>
              <w:rPr>
                <w:rFonts w:hint="default" w:ascii="Times New Roman" w:hAnsi="Times New Roman" w:cs="Times New Roman"/>
                <w:b/>
                <w:bCs/>
                <w:color w:val="auto"/>
                <w:sz w:val="24"/>
              </w:rPr>
              <w:t xml:space="preserve">   Pmax和D</w:t>
            </w:r>
            <w:r>
              <w:rPr>
                <w:rFonts w:hint="default" w:ascii="Times New Roman" w:hAnsi="Times New Roman" w:cs="Times New Roman"/>
                <w:b/>
                <w:bCs/>
                <w:color w:val="auto"/>
                <w:sz w:val="24"/>
                <w:vertAlign w:val="subscript"/>
              </w:rPr>
              <w:t>10%</w:t>
            </w:r>
            <w:r>
              <w:rPr>
                <w:rFonts w:hint="default" w:ascii="Times New Roman" w:hAnsi="Times New Roman" w:cs="Times New Roman"/>
                <w:b/>
                <w:bCs/>
                <w:color w:val="auto"/>
                <w:sz w:val="24"/>
              </w:rPr>
              <w:t>预测和计算结果一览表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8"/>
              <w:gridCol w:w="1419"/>
              <w:gridCol w:w="1417"/>
              <w:gridCol w:w="1418"/>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417"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污染源名称</w:t>
                  </w:r>
                </w:p>
              </w:tc>
              <w:tc>
                <w:tcPr>
                  <w:tcW w:w="1418"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评价因子</w:t>
                  </w:r>
                </w:p>
              </w:tc>
              <w:tc>
                <w:tcPr>
                  <w:tcW w:w="1419"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评价标准（μg/m</w:t>
                  </w:r>
                  <w:r>
                    <w:rPr>
                      <w:rFonts w:hint="default" w:ascii="Times New Roman" w:hAnsi="Times New Roman" w:cs="Times New Roman"/>
                      <w:bCs/>
                      <w:color w:val="auto"/>
                      <w:vertAlign w:val="superscript"/>
                    </w:rPr>
                    <w:t>3</w:t>
                  </w:r>
                  <w:r>
                    <w:rPr>
                      <w:rFonts w:hint="default" w:ascii="Times New Roman" w:hAnsi="Times New Roman" w:cs="Times New Roman"/>
                      <w:bCs/>
                      <w:color w:val="auto"/>
                    </w:rPr>
                    <w:t>）</w:t>
                  </w:r>
                </w:p>
              </w:tc>
              <w:tc>
                <w:tcPr>
                  <w:tcW w:w="1417"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Cmax</w:t>
                  </w:r>
                </w:p>
                <w:p>
                  <w:pPr>
                    <w:pStyle w:val="87"/>
                    <w:rPr>
                      <w:rFonts w:hint="default" w:ascii="Times New Roman" w:hAnsi="Times New Roman" w:cs="Times New Roman"/>
                      <w:bCs/>
                      <w:color w:val="auto"/>
                    </w:rPr>
                  </w:pPr>
                  <w:r>
                    <w:rPr>
                      <w:rFonts w:hint="default" w:ascii="Times New Roman" w:hAnsi="Times New Roman" w:cs="Times New Roman"/>
                      <w:bCs/>
                      <w:color w:val="auto"/>
                    </w:rPr>
                    <w:t>（μg/m</w:t>
                  </w:r>
                  <w:r>
                    <w:rPr>
                      <w:rFonts w:hint="default" w:ascii="Times New Roman" w:hAnsi="Times New Roman" w:cs="Times New Roman"/>
                      <w:bCs/>
                      <w:color w:val="auto"/>
                      <w:vertAlign w:val="superscript"/>
                    </w:rPr>
                    <w:t>3</w:t>
                  </w:r>
                  <w:r>
                    <w:rPr>
                      <w:rFonts w:hint="default" w:ascii="Times New Roman" w:hAnsi="Times New Roman" w:cs="Times New Roman"/>
                      <w:bCs/>
                      <w:color w:val="auto"/>
                    </w:rPr>
                    <w:t>）</w:t>
                  </w:r>
                </w:p>
              </w:tc>
              <w:tc>
                <w:tcPr>
                  <w:tcW w:w="1418"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Pmax（%）</w:t>
                  </w:r>
                </w:p>
              </w:tc>
              <w:tc>
                <w:tcPr>
                  <w:tcW w:w="1415" w:type="dxa"/>
                  <w:noWrap w:val="0"/>
                  <w:vAlign w:val="center"/>
                </w:tcPr>
                <w:p>
                  <w:pPr>
                    <w:pStyle w:val="87"/>
                    <w:rPr>
                      <w:rFonts w:hint="default" w:ascii="Times New Roman" w:hAnsi="Times New Roman" w:cs="Times New Roman"/>
                      <w:bCs/>
                      <w:color w:val="auto"/>
                    </w:rPr>
                  </w:pPr>
                  <w:r>
                    <w:rPr>
                      <w:rFonts w:hint="default" w:ascii="Times New Roman" w:hAnsi="Times New Roman" w:cs="Times New Roman"/>
                      <w:bCs/>
                      <w:color w:val="auto"/>
                    </w:rPr>
                    <w:t>D</w:t>
                  </w:r>
                  <w:r>
                    <w:rPr>
                      <w:rFonts w:hint="default" w:ascii="Times New Roman" w:hAnsi="Times New Roman" w:cs="Times New Roman"/>
                      <w:bCs/>
                      <w:color w:val="auto"/>
                      <w:vertAlign w:val="subscript"/>
                    </w:rPr>
                    <w:t>10%</w:t>
                  </w:r>
                  <w:r>
                    <w:rPr>
                      <w:rFonts w:hint="default" w:ascii="Times New Roman" w:hAnsi="Times New Roman" w:cs="Times New Roman"/>
                      <w:bCs/>
                      <w:color w:val="aut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41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矩形面源</w:t>
                  </w:r>
                </w:p>
              </w:tc>
              <w:tc>
                <w:tcPr>
                  <w:tcW w:w="1418"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NMHC</w:t>
                  </w:r>
                </w:p>
              </w:tc>
              <w:tc>
                <w:tcPr>
                  <w:tcW w:w="141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2000.0</w:t>
                  </w:r>
                </w:p>
              </w:tc>
              <w:tc>
                <w:tcPr>
                  <w:tcW w:w="141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24.71</w:t>
                  </w:r>
                </w:p>
              </w:tc>
              <w:tc>
                <w:tcPr>
                  <w:tcW w:w="1418"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1.24</w:t>
                  </w:r>
                </w:p>
              </w:tc>
              <w:tc>
                <w:tcPr>
                  <w:tcW w:w="14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w:t>
                  </w:r>
                </w:p>
              </w:tc>
            </w:tr>
          </w:tbl>
          <w:p>
            <w:pPr>
              <w:pStyle w:val="143"/>
              <w:spacing w:before="166" w:beforeLines="50"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表</w:t>
            </w: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lang w:eastAsia="zh-CN"/>
              </w:rPr>
              <w:t>6</w:t>
            </w:r>
            <w:r>
              <w:rPr>
                <w:rFonts w:hint="default" w:ascii="Times New Roman" w:hAnsi="Times New Roman" w:cs="Times New Roman"/>
                <w:color w:val="auto"/>
                <w:sz w:val="24"/>
                <w:szCs w:val="24"/>
              </w:rPr>
              <w:t xml:space="preserve">      矩形面源结果表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2716"/>
              <w:gridCol w:w="2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2815" w:type="dxa"/>
                  <w:vMerge w:val="restart"/>
                  <w:noWrap w:val="0"/>
                  <w:vAlign w:val="center"/>
                </w:tcPr>
                <w:p>
                  <w:pPr>
                    <w:pStyle w:val="87"/>
                    <w:rPr>
                      <w:rFonts w:hint="default" w:ascii="Times New Roman" w:hAnsi="Times New Roman" w:cs="Times New Roman"/>
                      <w:b/>
                      <w:bCs/>
                      <w:color w:val="auto"/>
                    </w:rPr>
                  </w:pPr>
                  <w:r>
                    <w:rPr>
                      <w:rFonts w:hint="default" w:ascii="Times New Roman" w:hAnsi="Times New Roman" w:cs="Times New Roman"/>
                      <w:b/>
                      <w:bCs/>
                      <w:color w:val="auto"/>
                    </w:rPr>
                    <w:t>下方向距离(m)</w:t>
                  </w:r>
                </w:p>
              </w:tc>
              <w:tc>
                <w:tcPr>
                  <w:tcW w:w="5419" w:type="dxa"/>
                  <w:gridSpan w:val="2"/>
                  <w:noWrap w:val="0"/>
                  <w:vAlign w:val="center"/>
                </w:tcPr>
                <w:p>
                  <w:pPr>
                    <w:pStyle w:val="87"/>
                    <w:rPr>
                      <w:rFonts w:hint="default" w:ascii="Times New Roman" w:hAnsi="Times New Roman" w:cs="Times New Roman"/>
                      <w:b/>
                      <w:bCs/>
                      <w:color w:val="auto"/>
                    </w:rPr>
                  </w:pPr>
                  <w:r>
                    <w:rPr>
                      <w:rFonts w:hint="default" w:ascii="Times New Roman" w:hAnsi="Times New Roman" w:cs="Times New Roman"/>
                      <w:b/>
                      <w:bCs/>
                      <w:color w:val="auto"/>
                    </w:rPr>
                    <w:t>矩形面源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15" w:type="dxa"/>
                  <w:vMerge w:val="continue"/>
                  <w:noWrap w:val="0"/>
                  <w:vAlign w:val="center"/>
                </w:tcPr>
                <w:p>
                  <w:pPr>
                    <w:pStyle w:val="87"/>
                    <w:rPr>
                      <w:rFonts w:hint="default" w:ascii="Times New Roman" w:hAnsi="Times New Roman" w:cs="Times New Roman"/>
                      <w:b/>
                      <w:bCs/>
                      <w:color w:val="auto"/>
                    </w:rPr>
                  </w:pPr>
                </w:p>
              </w:tc>
              <w:tc>
                <w:tcPr>
                  <w:tcW w:w="2716" w:type="dxa"/>
                  <w:noWrap w:val="0"/>
                  <w:vAlign w:val="center"/>
                </w:tcPr>
                <w:p>
                  <w:pPr>
                    <w:pStyle w:val="87"/>
                    <w:rPr>
                      <w:rFonts w:hint="default" w:ascii="Times New Roman" w:hAnsi="Times New Roman" w:cs="Times New Roman"/>
                      <w:b/>
                      <w:bCs/>
                      <w:color w:val="auto"/>
                    </w:rPr>
                  </w:pPr>
                  <w:r>
                    <w:rPr>
                      <w:rFonts w:hint="default" w:ascii="Times New Roman" w:hAnsi="Times New Roman" w:cs="Times New Roman"/>
                      <w:b/>
                      <w:bCs/>
                      <w:color w:val="auto"/>
                    </w:rPr>
                    <w:t>NMHC浓度（</w:t>
                  </w:r>
                  <w:r>
                    <w:rPr>
                      <w:rFonts w:hint="default" w:ascii="Times New Roman" w:hAnsi="Times New Roman" w:cs="Times New Roman"/>
                      <w:bCs/>
                      <w:color w:val="auto"/>
                    </w:rPr>
                    <w:t>μg</w:t>
                  </w:r>
                  <w:r>
                    <w:rPr>
                      <w:rFonts w:hint="default" w:ascii="Times New Roman" w:hAnsi="Times New Roman" w:cs="Times New Roman"/>
                      <w:b/>
                      <w:bCs/>
                      <w:color w:val="auto"/>
                    </w:rPr>
                    <w:t>/m</w:t>
                  </w:r>
                  <w:r>
                    <w:rPr>
                      <w:rFonts w:hint="default" w:ascii="Times New Roman" w:hAnsi="Times New Roman" w:cs="Times New Roman"/>
                      <w:b/>
                      <w:bCs/>
                      <w:color w:val="auto"/>
                      <w:vertAlign w:val="superscript"/>
                    </w:rPr>
                    <w:t>3</w:t>
                  </w:r>
                  <w:r>
                    <w:rPr>
                      <w:rFonts w:hint="default" w:ascii="Times New Roman" w:hAnsi="Times New Roman" w:cs="Times New Roman"/>
                      <w:b/>
                      <w:bCs/>
                      <w:color w:val="auto"/>
                    </w:rPr>
                    <w:t>）</w:t>
                  </w:r>
                </w:p>
              </w:tc>
              <w:tc>
                <w:tcPr>
                  <w:tcW w:w="2703" w:type="dxa"/>
                  <w:noWrap w:val="0"/>
                  <w:vAlign w:val="center"/>
                </w:tcPr>
                <w:p>
                  <w:pPr>
                    <w:pStyle w:val="87"/>
                    <w:rPr>
                      <w:rFonts w:hint="default" w:ascii="Times New Roman" w:hAnsi="Times New Roman" w:cs="Times New Roman"/>
                      <w:b/>
                      <w:bCs/>
                      <w:color w:val="auto"/>
                    </w:rPr>
                  </w:pPr>
                  <w:r>
                    <w:rPr>
                      <w:rFonts w:hint="default" w:ascii="Times New Roman" w:hAnsi="Times New Roman" w:cs="Times New Roman"/>
                      <w:b/>
                      <w:bCs/>
                      <w:color w:val="auto"/>
                    </w:rPr>
                    <w:t>NMHC占标率（%）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15.19</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25</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24.71</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50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22.68</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15.06</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9.399</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300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6.893</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400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5.587</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500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4.675</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600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4.02</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700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3.521</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800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3.193</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900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2.912</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1000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2.678</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1200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2.309</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1400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2.035</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1600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1.825</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1800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1.658</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2000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1.152</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2200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1.405</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2400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1.305</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81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2500</w:t>
                  </w:r>
                </w:p>
              </w:tc>
              <w:tc>
                <w:tcPr>
                  <w:tcW w:w="271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1.26</w:t>
                  </w:r>
                </w:p>
              </w:tc>
              <w:tc>
                <w:tcPr>
                  <w:tcW w:w="2703" w:type="dxa"/>
                  <w:noWrap w:val="0"/>
                  <w:vAlign w:val="center"/>
                </w:tcPr>
                <w:p>
                  <w:pPr>
                    <w:jc w:val="center"/>
                    <w:rPr>
                      <w:rFonts w:hint="default" w:ascii="Times New Roman" w:hAnsi="Times New Roman" w:cs="Times New Roman"/>
                      <w:color w:val="auto"/>
                      <w:sz w:val="21"/>
                    </w:rPr>
                  </w:pPr>
                  <w:r>
                    <w:rPr>
                      <w:rFonts w:hint="default" w:ascii="Times New Roman" w:hAnsi="Times New Roman" w:cs="Times New Roman"/>
                      <w:color w:val="auto"/>
                      <w:sz w:val="21"/>
                    </w:rPr>
                    <w:t>0.06</w:t>
                  </w:r>
                </w:p>
              </w:tc>
            </w:tr>
          </w:tbl>
          <w:p>
            <w:pPr>
              <w:pStyle w:val="31"/>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本项目Pmax值为1.24%，Cmax为24.71μg/m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，根据《环境影响评价技术导则 大气环境》（HJ2.2-2018）分级判据，确定本项目大气环境影响评价工作等级为二级，评价不进行进一步预测与评价，只对污染物排放量进行核算。</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6）污染源排放量核算</w:t>
            </w:r>
          </w:p>
          <w:p>
            <w:pPr>
              <w:pStyle w:val="31"/>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本项目仅涉及无组织排放，其无组织排放量核算见表</w:t>
            </w:r>
            <w:r>
              <w:rPr>
                <w:rFonts w:hint="default" w:ascii="Times New Roman" w:hAnsi="Times New Roman" w:cs="Times New Roman"/>
                <w:color w:val="auto"/>
                <w:sz w:val="24"/>
                <w:szCs w:val="24"/>
                <w:lang w:eastAsia="zh-CN"/>
              </w:rPr>
              <w:t>27</w:t>
            </w:r>
            <w:r>
              <w:rPr>
                <w:rFonts w:hint="default" w:ascii="Times New Roman" w:hAnsi="Times New Roman" w:cs="Times New Roman"/>
                <w:color w:val="auto"/>
                <w:sz w:val="24"/>
                <w:szCs w:val="24"/>
              </w:rPr>
              <w:t>。</w:t>
            </w:r>
          </w:p>
          <w:p>
            <w:pPr>
              <w:pStyle w:val="143"/>
              <w:spacing w:line="360" w:lineRule="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表</w:t>
            </w:r>
            <w:r>
              <w:rPr>
                <w:rFonts w:hint="default" w:ascii="Times New Roman" w:hAnsi="Times New Roman" w:cs="Times New Roman"/>
                <w:color w:val="auto"/>
                <w:sz w:val="24"/>
                <w:szCs w:val="24"/>
                <w:lang w:eastAsia="zh-CN"/>
              </w:rPr>
              <w:t>27</w:t>
            </w:r>
            <w:r>
              <w:rPr>
                <w:rFonts w:hint="default" w:ascii="Times New Roman" w:hAnsi="Times New Roman" w:cs="Times New Roman"/>
                <w:color w:val="auto"/>
                <w:sz w:val="24"/>
                <w:szCs w:val="24"/>
              </w:rPr>
              <w:t xml:space="preserve">   大气污染物无组织排放量核算</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982"/>
              <w:gridCol w:w="1179"/>
              <w:gridCol w:w="1028"/>
              <w:gridCol w:w="1036"/>
              <w:gridCol w:w="1104"/>
              <w:gridCol w:w="1093"/>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525"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序号</w:t>
                  </w:r>
                </w:p>
              </w:tc>
              <w:tc>
                <w:tcPr>
                  <w:tcW w:w="982"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排放口</w:t>
                  </w:r>
                </w:p>
              </w:tc>
              <w:tc>
                <w:tcPr>
                  <w:tcW w:w="1179"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产污环节</w:t>
                  </w:r>
                </w:p>
              </w:tc>
              <w:tc>
                <w:tcPr>
                  <w:tcW w:w="1028"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污染物</w:t>
                  </w:r>
                </w:p>
              </w:tc>
              <w:tc>
                <w:tcPr>
                  <w:tcW w:w="1036"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主要污染防治措施</w:t>
                  </w:r>
                </w:p>
              </w:tc>
              <w:tc>
                <w:tcPr>
                  <w:tcW w:w="2197" w:type="dxa"/>
                  <w:gridSpan w:val="2"/>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排放标准</w:t>
                  </w:r>
                </w:p>
              </w:tc>
              <w:tc>
                <w:tcPr>
                  <w:tcW w:w="1287" w:type="dxa"/>
                  <w:vMerge w:val="restart"/>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年排放量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25" w:type="dxa"/>
                  <w:vMerge w:val="continue"/>
                  <w:noWrap w:val="0"/>
                  <w:vAlign w:val="center"/>
                </w:tcPr>
                <w:p>
                  <w:pPr>
                    <w:pStyle w:val="143"/>
                    <w:rPr>
                      <w:rFonts w:hint="default" w:ascii="Times New Roman" w:hAnsi="Times New Roman" w:cs="Times New Roman"/>
                      <w:color w:val="auto"/>
                    </w:rPr>
                  </w:pPr>
                </w:p>
              </w:tc>
              <w:tc>
                <w:tcPr>
                  <w:tcW w:w="982" w:type="dxa"/>
                  <w:vMerge w:val="continue"/>
                  <w:noWrap w:val="0"/>
                  <w:vAlign w:val="center"/>
                </w:tcPr>
                <w:p>
                  <w:pPr>
                    <w:pStyle w:val="143"/>
                    <w:rPr>
                      <w:rFonts w:hint="default" w:ascii="Times New Roman" w:hAnsi="Times New Roman" w:cs="Times New Roman"/>
                      <w:color w:val="auto"/>
                    </w:rPr>
                  </w:pPr>
                </w:p>
              </w:tc>
              <w:tc>
                <w:tcPr>
                  <w:tcW w:w="1179" w:type="dxa"/>
                  <w:vMerge w:val="continue"/>
                  <w:noWrap w:val="0"/>
                  <w:vAlign w:val="center"/>
                </w:tcPr>
                <w:p>
                  <w:pPr>
                    <w:pStyle w:val="143"/>
                    <w:rPr>
                      <w:rFonts w:hint="default" w:ascii="Times New Roman" w:hAnsi="Times New Roman" w:cs="Times New Roman"/>
                      <w:color w:val="auto"/>
                    </w:rPr>
                  </w:pPr>
                </w:p>
              </w:tc>
              <w:tc>
                <w:tcPr>
                  <w:tcW w:w="1028" w:type="dxa"/>
                  <w:vMerge w:val="continue"/>
                  <w:noWrap w:val="0"/>
                  <w:vAlign w:val="center"/>
                </w:tcPr>
                <w:p>
                  <w:pPr>
                    <w:pStyle w:val="143"/>
                    <w:rPr>
                      <w:rFonts w:hint="default" w:ascii="Times New Roman" w:hAnsi="Times New Roman" w:cs="Times New Roman"/>
                      <w:color w:val="auto"/>
                    </w:rPr>
                  </w:pPr>
                </w:p>
              </w:tc>
              <w:tc>
                <w:tcPr>
                  <w:tcW w:w="1036" w:type="dxa"/>
                  <w:vMerge w:val="continue"/>
                  <w:noWrap w:val="0"/>
                  <w:vAlign w:val="center"/>
                </w:tcPr>
                <w:p>
                  <w:pPr>
                    <w:pStyle w:val="143"/>
                    <w:rPr>
                      <w:rFonts w:hint="default" w:ascii="Times New Roman" w:hAnsi="Times New Roman" w:cs="Times New Roman"/>
                      <w:color w:val="auto"/>
                    </w:rPr>
                  </w:pPr>
                </w:p>
              </w:tc>
              <w:tc>
                <w:tcPr>
                  <w:tcW w:w="1104" w:type="dxa"/>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标准名称</w:t>
                  </w:r>
                </w:p>
              </w:tc>
              <w:tc>
                <w:tcPr>
                  <w:tcW w:w="1093" w:type="dxa"/>
                  <w:noWrap w:val="0"/>
                  <w:vAlign w:val="center"/>
                </w:tcPr>
                <w:p>
                  <w:pPr>
                    <w:pStyle w:val="143"/>
                    <w:rPr>
                      <w:rFonts w:hint="default" w:ascii="Times New Roman" w:hAnsi="Times New Roman" w:cs="Times New Roman"/>
                      <w:color w:val="auto"/>
                    </w:rPr>
                  </w:pPr>
                  <w:r>
                    <w:rPr>
                      <w:rFonts w:hint="default" w:ascii="Times New Roman" w:hAnsi="Times New Roman" w:cs="Times New Roman"/>
                      <w:color w:val="auto"/>
                    </w:rPr>
                    <w:t>浓度限值</w:t>
                  </w:r>
                </w:p>
              </w:tc>
              <w:tc>
                <w:tcPr>
                  <w:tcW w:w="1287" w:type="dxa"/>
                  <w:vMerge w:val="continue"/>
                  <w:noWrap w:val="0"/>
                  <w:vAlign w:val="center"/>
                </w:tcPr>
                <w:p>
                  <w:pPr>
                    <w:pStyle w:val="143"/>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52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1</w:t>
                  </w:r>
                </w:p>
              </w:tc>
              <w:tc>
                <w:tcPr>
                  <w:tcW w:w="98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拱顶罐</w:t>
                  </w:r>
                </w:p>
              </w:tc>
              <w:tc>
                <w:tcPr>
                  <w:tcW w:w="117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拱顶罐大小</w:t>
                  </w:r>
                </w:p>
                <w:p>
                  <w:pPr>
                    <w:pStyle w:val="87"/>
                    <w:rPr>
                      <w:rFonts w:hint="default" w:ascii="Times New Roman" w:hAnsi="Times New Roman" w:cs="Times New Roman"/>
                      <w:color w:val="auto"/>
                    </w:rPr>
                  </w:pPr>
                  <w:r>
                    <w:rPr>
                      <w:rFonts w:hint="default" w:ascii="Times New Roman" w:hAnsi="Times New Roman" w:cs="Times New Roman"/>
                      <w:color w:val="auto"/>
                    </w:rPr>
                    <w:t>呼吸</w:t>
                  </w:r>
                </w:p>
              </w:tc>
              <w:tc>
                <w:tcPr>
                  <w:tcW w:w="1028"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NMHC</w:t>
                  </w:r>
                </w:p>
              </w:tc>
              <w:tc>
                <w:tcPr>
                  <w:tcW w:w="103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油气回收</w:t>
                  </w:r>
                </w:p>
              </w:tc>
              <w:tc>
                <w:tcPr>
                  <w:tcW w:w="219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 xml:space="preserve">《石油化学工业污染物排放标准》(GB31571-2015) </w:t>
                  </w:r>
                  <w:r>
                    <w:rPr>
                      <w:rFonts w:hint="default" w:ascii="Times New Roman" w:hAnsi="Times New Roman" w:cs="Times New Roman"/>
                      <w:color w:val="auto"/>
                      <w:lang w:val="en-US" w:eastAsia="zh-CN"/>
                    </w:rPr>
                    <w:t>4</w:t>
                  </w:r>
                  <w:r>
                    <w:rPr>
                      <w:rFonts w:hint="default" w:ascii="Times New Roman" w:hAnsi="Times New Roman" w:cs="Times New Roman"/>
                      <w:color w:val="auto"/>
                    </w:rPr>
                    <w:t>mg/m</w:t>
                  </w:r>
                  <w:r>
                    <w:rPr>
                      <w:rFonts w:hint="default" w:ascii="Times New Roman" w:hAnsi="Times New Roman" w:cs="Times New Roman"/>
                      <w:color w:val="auto"/>
                      <w:vertAlign w:val="superscript"/>
                    </w:rPr>
                    <w:t>3</w:t>
                  </w:r>
                  <w:r>
                    <w:rPr>
                      <w:rFonts w:hint="default" w:ascii="Times New Roman" w:hAnsi="Times New Roman" w:cs="Times New Roman"/>
                      <w:color w:val="auto"/>
                    </w:rPr>
                    <w:t xml:space="preserve"> </w:t>
                  </w:r>
                </w:p>
              </w:tc>
              <w:tc>
                <w:tcPr>
                  <w:tcW w:w="128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lang w:eastAsia="zh-CN"/>
                    </w:rPr>
                    <w:t>0.175</w:t>
                  </w:r>
                  <w:r>
                    <w:rPr>
                      <w:rFonts w:hint="default" w:ascii="Times New Roman" w:hAnsi="Times New Roman" w:cs="Times New Roman"/>
                      <w:color w:val="auto"/>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525"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2</w:t>
                  </w:r>
                </w:p>
              </w:tc>
              <w:tc>
                <w:tcPr>
                  <w:tcW w:w="982"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浮顶罐</w:t>
                  </w:r>
                </w:p>
              </w:tc>
              <w:tc>
                <w:tcPr>
                  <w:tcW w:w="1179"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拱顶罐大小</w:t>
                  </w:r>
                </w:p>
                <w:p>
                  <w:pPr>
                    <w:pStyle w:val="87"/>
                    <w:rPr>
                      <w:rFonts w:hint="default" w:ascii="Times New Roman" w:hAnsi="Times New Roman" w:cs="Times New Roman"/>
                      <w:color w:val="auto"/>
                    </w:rPr>
                  </w:pPr>
                  <w:r>
                    <w:rPr>
                      <w:rFonts w:hint="default" w:ascii="Times New Roman" w:hAnsi="Times New Roman" w:cs="Times New Roman"/>
                      <w:color w:val="auto"/>
                    </w:rPr>
                    <w:t>呼吸</w:t>
                  </w:r>
                </w:p>
              </w:tc>
              <w:tc>
                <w:tcPr>
                  <w:tcW w:w="1028"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NMHC</w:t>
                  </w:r>
                </w:p>
              </w:tc>
              <w:tc>
                <w:tcPr>
                  <w:tcW w:w="1036"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氮封装置</w:t>
                  </w:r>
                </w:p>
              </w:tc>
              <w:tc>
                <w:tcPr>
                  <w:tcW w:w="2197" w:type="dxa"/>
                  <w:gridSpan w:val="2"/>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 xml:space="preserve">《石油化学工业污染物排放标准》(GB31571-2015) </w:t>
                  </w:r>
                  <w:r>
                    <w:rPr>
                      <w:rFonts w:hint="default" w:ascii="Times New Roman" w:hAnsi="Times New Roman" w:cs="Times New Roman"/>
                      <w:color w:val="auto"/>
                      <w:lang w:val="en-US" w:eastAsia="zh-CN"/>
                    </w:rPr>
                    <w:t>4</w:t>
                  </w:r>
                  <w:r>
                    <w:rPr>
                      <w:rFonts w:hint="default" w:ascii="Times New Roman" w:hAnsi="Times New Roman" w:cs="Times New Roman"/>
                      <w:color w:val="auto"/>
                    </w:rPr>
                    <w:t>mg/m</w:t>
                  </w:r>
                  <w:r>
                    <w:rPr>
                      <w:rFonts w:hint="default" w:ascii="Times New Roman" w:hAnsi="Times New Roman" w:cs="Times New Roman"/>
                      <w:color w:val="auto"/>
                      <w:vertAlign w:val="superscript"/>
                    </w:rPr>
                    <w:t>3</w:t>
                  </w:r>
                  <w:r>
                    <w:rPr>
                      <w:rFonts w:hint="default" w:ascii="Times New Roman" w:hAnsi="Times New Roman" w:cs="Times New Roman"/>
                      <w:color w:val="auto"/>
                    </w:rPr>
                    <w:t xml:space="preserve"> </w:t>
                  </w:r>
                </w:p>
              </w:tc>
              <w:tc>
                <w:tcPr>
                  <w:tcW w:w="1287" w:type="dxa"/>
                  <w:noWrap w:val="0"/>
                  <w:vAlign w:val="center"/>
                </w:tcPr>
                <w:p>
                  <w:pPr>
                    <w:pStyle w:val="87"/>
                    <w:rPr>
                      <w:rFonts w:hint="default" w:ascii="Times New Roman" w:hAnsi="Times New Roman" w:cs="Times New Roman"/>
                      <w:color w:val="auto"/>
                      <w:lang w:eastAsia="zh-CN"/>
                    </w:rPr>
                  </w:pPr>
                  <w:r>
                    <w:rPr>
                      <w:rFonts w:hint="default" w:ascii="Times New Roman" w:hAnsi="Times New Roman" w:cs="Times New Roman"/>
                      <w:color w:val="auto"/>
                      <w:lang w:eastAsia="zh-CN"/>
                    </w:rPr>
                    <w:t>0.1</w:t>
                  </w:r>
                  <w:r>
                    <w:rPr>
                      <w:rFonts w:hint="default" w:ascii="Times New Roman" w:hAnsi="Times New Roman" w:cs="Times New Roman"/>
                      <w:color w:val="auto"/>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4" w:type="dxa"/>
                  <w:gridSpan w:val="8"/>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无组织排放总计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6" w:type="dxa"/>
                  <w:gridSpan w:val="3"/>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无组织排放总计</w:t>
                  </w:r>
                </w:p>
              </w:tc>
              <w:tc>
                <w:tcPr>
                  <w:tcW w:w="4261" w:type="dxa"/>
                  <w:gridSpan w:val="4"/>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rPr>
                    <w:t>非甲烷总烃</w:t>
                  </w:r>
                </w:p>
              </w:tc>
              <w:tc>
                <w:tcPr>
                  <w:tcW w:w="1287" w:type="dxa"/>
                  <w:noWrap w:val="0"/>
                  <w:vAlign w:val="center"/>
                </w:tcPr>
                <w:p>
                  <w:pPr>
                    <w:pStyle w:val="87"/>
                    <w:rPr>
                      <w:rFonts w:hint="default" w:ascii="Times New Roman" w:hAnsi="Times New Roman" w:cs="Times New Roman"/>
                      <w:color w:val="auto"/>
                    </w:rPr>
                  </w:pPr>
                  <w:r>
                    <w:rPr>
                      <w:rFonts w:hint="default" w:ascii="Times New Roman" w:hAnsi="Times New Roman" w:cs="Times New Roman"/>
                      <w:color w:val="auto"/>
                      <w:lang w:eastAsia="zh-CN"/>
                    </w:rPr>
                    <w:t>0.275</w:t>
                  </w:r>
                  <w:r>
                    <w:rPr>
                      <w:rFonts w:hint="default" w:ascii="Times New Roman" w:hAnsi="Times New Roman" w:cs="Times New Roman"/>
                      <w:color w:val="auto"/>
                    </w:rPr>
                    <w:t>t/a</w:t>
                  </w:r>
                </w:p>
              </w:tc>
            </w:tr>
          </w:tbl>
          <w:p>
            <w:pPr>
              <w:pStyle w:val="31"/>
              <w:keepNext w:val="0"/>
              <w:keepLines w:val="0"/>
              <w:pageBreakBefore w:val="0"/>
              <w:widowControl w:val="0"/>
              <w:kinsoku/>
              <w:wordWrap/>
              <w:overflowPunct/>
              <w:topLinePunct w:val="0"/>
              <w:autoSpaceDE/>
              <w:autoSpaceDN/>
              <w:bidi w:val="0"/>
              <w:adjustRightInd/>
              <w:snapToGrid w:val="0"/>
              <w:spacing w:before="157"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根据表26预测结果，罐区下风向厂界VOC</w:t>
            </w:r>
            <w:r>
              <w:rPr>
                <w:rFonts w:hint="default" w:ascii="Times New Roman" w:hAnsi="Times New Roman" w:cs="Times New Roman"/>
                <w:color w:val="auto"/>
                <w:sz w:val="24"/>
                <w:szCs w:val="24"/>
                <w:vertAlign w:val="subscript"/>
              </w:rPr>
              <w:t>S</w:t>
            </w:r>
            <w:r>
              <w:rPr>
                <w:rFonts w:hint="default" w:ascii="Times New Roman" w:hAnsi="Times New Roman" w:cs="Times New Roman"/>
                <w:color w:val="auto"/>
                <w:sz w:val="24"/>
                <w:szCs w:val="24"/>
              </w:rPr>
              <w:t>（以非甲烷总烃计）最大落地浓度为24.71μg/m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，满足《石油化学工业污染物排放标准》(GB31571-2015)中表7中非甲烷总烃4.0mg/m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的标准要求。说明项目生产无组织废气污染源对周围环境空气质量影响很小。</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（2）大气环境防护距离</w:t>
            </w:r>
          </w:p>
          <w:p>
            <w:pPr>
              <w:pStyle w:val="3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根据《环境影响评价技术导则 大气环境》（HJ2.2-2018）推荐的模式计算项目厂界外大气污染物短期贡献浓度未超过环境质量浓度限值，因此不设置大气环境防护距离。</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（3）储罐区废气污染防治措施</w:t>
            </w:r>
          </w:p>
          <w:p>
            <w:pPr>
              <w:spacing w:line="360" w:lineRule="auto"/>
              <w:ind w:firstLine="480" w:firstLineChars="200"/>
              <w:rPr>
                <w:rFonts w:hint="default" w:ascii="Times New Roman" w:hAnsi="Times New Roman" w:cs="Times New Roman" w:eastAsiaTheme="minorEastAsia"/>
                <w:b w:val="0"/>
                <w:bCs/>
                <w:color w:val="auto"/>
                <w:sz w:val="24"/>
                <w:szCs w:val="24"/>
                <w:vertAlign w:val="baseline"/>
              </w:rPr>
            </w:pPr>
            <w:r>
              <w:rPr>
                <w:rFonts w:hint="default" w:ascii="Times New Roman" w:hAnsi="Times New Roman" w:cs="Times New Roman" w:eastAsiaTheme="minorEastAsia"/>
                <w:color w:val="auto"/>
                <w:sz w:val="24"/>
                <w:vertAlign w:val="baseline"/>
              </w:rPr>
              <w:t>《排污许可证申请与核发技术规范 储油库、加油站》（HJ 1118-2020）中规定储罐无组织排放应满足GB 37822要求，行业污染物排放标准发布实施后从其规定。地方污染物排放标准有更严要求的从其规定。</w:t>
            </w:r>
            <w:r>
              <w:rPr>
                <w:rFonts w:hint="default" w:ascii="Times New Roman" w:hAnsi="Times New Roman" w:cs="Times New Roman" w:eastAsiaTheme="minorEastAsia"/>
                <w:color w:val="auto"/>
                <w:sz w:val="24"/>
                <w:szCs w:val="24"/>
              </w:rPr>
              <w:t>《挥发性有机物无组织排放控制标准》（</w:t>
            </w:r>
            <w:r>
              <w:rPr>
                <w:rFonts w:hint="default" w:ascii="Times New Roman" w:hAnsi="Times New Roman" w:cs="Times New Roman" w:eastAsiaTheme="minorEastAsia"/>
                <w:color w:val="auto"/>
                <w:sz w:val="24"/>
                <w:vertAlign w:val="baseline"/>
              </w:rPr>
              <w:t>GB37822-2019</w:t>
            </w:r>
            <w:r>
              <w:rPr>
                <w:rFonts w:hint="default" w:ascii="Times New Roman" w:hAnsi="Times New Roman" w:cs="Times New Roman" w:eastAsiaTheme="minorEastAsia"/>
                <w:color w:val="auto"/>
                <w:sz w:val="24"/>
                <w:szCs w:val="24"/>
              </w:rPr>
              <w:t>）要求对于内浮顶罐，浮顶与罐壁之间应采用浸液式密封、机械式鞋形密封等高效密封方式。采用固定顶罐，排放的废气应收集处理后并满足相关行业排放标准的要求（无行业排放标准的应满足GB 16297的要求），或者处理效率不低于80%。本项目内浮顶罐</w:t>
            </w:r>
            <w:r>
              <w:rPr>
                <w:rFonts w:hint="default" w:ascii="Times New Roman" w:hAnsi="Times New Roman" w:cs="Times New Roman" w:eastAsiaTheme="minorEastAsia"/>
                <w:b w:val="0"/>
                <w:bCs/>
                <w:color w:val="auto"/>
                <w:sz w:val="24"/>
                <w:szCs w:val="24"/>
                <w:vertAlign w:val="baseline"/>
              </w:rPr>
              <w:t>采用氮封装置，在储罐内压力降低时，开启阀门，向罐内充注氮气；当储罐内压力升高时，由储罐呼吸阀排出的气体为氮气，因此在储罐呼吸过程中可减少有机溶剂蒸汽外排。类比同类储罐项目，储罐采用氮封装置可减少无组织排放达 60%以上。建设单位拟在储罐区设置一套油气回收装置，项目拱顶罐采用密闭管道输送至油气回收装置（处理效率90%以上，本项目处理效率按照90%计算）处理后无组织排放。</w:t>
            </w:r>
          </w:p>
          <w:p>
            <w:pPr>
              <w:adjustRightInd w:val="0"/>
              <w:snapToGrid w:val="0"/>
              <w:spacing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color w:val="auto"/>
                <w:sz w:val="24"/>
              </w:rPr>
              <w:t>（4）</w:t>
            </w:r>
            <w:r>
              <w:rPr>
                <w:rFonts w:hint="default" w:ascii="Times New Roman" w:hAnsi="Times New Roman" w:cs="Times New Roman"/>
                <w:snapToGrid w:val="0"/>
                <w:color w:val="auto"/>
                <w:kern w:val="0"/>
                <w:sz w:val="24"/>
              </w:rPr>
              <w:t>食堂油烟</w:t>
            </w:r>
          </w:p>
          <w:p>
            <w:pPr>
              <w:autoSpaceDE w:val="0"/>
              <w:autoSpaceDN w:val="0"/>
              <w:spacing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snapToGrid w:val="0"/>
                <w:color w:val="auto"/>
                <w:kern w:val="0"/>
                <w:sz w:val="24"/>
              </w:rPr>
              <w:t>本项目劳动定员20人，根据居民及餐饮企业的类比调查，目前居民人均食用油用量约30g/人·d，低于纯餐饮企业。本项目食用油用量约0.168t/a。根据对餐饮行业调查，油烟挥发量一般占食用油用量的2～4％，由于本项目炒、炸、煎等烹调工序较少，职工食堂油烟挥发量低于餐饮行业油烟挥发量，故职工食堂油烟挥发量按2％计算，则油烟产生量为0.0034t/a。本项目食堂现已安装一套油烟净化器，风量约为3000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/h，故产生浓度为1.01mg/m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。油烟处理效率约为75％，油烟经处理后，排放浓度可降至0.25mg/m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（0.0008t/a），满足《饮食业油烟排放标准》（GB18483-2001）相关要求，食堂烹饪油烟为间隙、不定量排放，油烟经油烟净化器处理后通过专用烟道引至食堂屋顶排放，不会降低该区域大气环境质量，</w:t>
            </w:r>
            <w:r>
              <w:rPr>
                <w:rFonts w:hint="default" w:ascii="Times New Roman" w:hAnsi="Times New Roman" w:cs="Times New Roman"/>
                <w:color w:val="auto"/>
                <w:sz w:val="24"/>
              </w:rPr>
              <w:t>对周边环境影响较小。</w:t>
            </w:r>
          </w:p>
          <w:p>
            <w:pPr>
              <w:pStyle w:val="2"/>
              <w:tabs>
                <w:tab w:val="left" w:pos="535"/>
              </w:tabs>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（5）汽车尾气</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在运输粗白油的过程中会产生少量汽车尾气。车辆在项目区内道路上怠速和慢速行驶时将会产生并排放尾气，该尾气包括排气管尾气、曲轴箱漏气及油箱泄漏气等。车辆产生并排放尾气属流动、间歇、不定量、无组织排放，其中主要污染因子为CO、C</w:t>
            </w:r>
            <w:r>
              <w:rPr>
                <w:rFonts w:hint="default" w:ascii="Times New Roman" w:hAnsi="Times New Roman" w:cs="Times New Roman"/>
                <w:color w:val="auto"/>
                <w:sz w:val="24"/>
                <w:vertAlign w:val="subscript"/>
              </w:rPr>
              <w:t>m</w:t>
            </w:r>
            <w:r>
              <w:rPr>
                <w:rFonts w:hint="default" w:ascii="Times New Roman" w:hAnsi="Times New Roman" w:cs="Times New Roman"/>
                <w:color w:val="auto"/>
                <w:sz w:val="24"/>
              </w:rPr>
              <w:t>H</w:t>
            </w:r>
            <w:r>
              <w:rPr>
                <w:rFonts w:hint="default" w:ascii="Times New Roman" w:hAnsi="Times New Roman" w:cs="Times New Roman"/>
                <w:color w:val="auto"/>
                <w:sz w:val="24"/>
                <w:vertAlign w:val="subscript"/>
              </w:rPr>
              <w:t>n</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x</w:t>
            </w:r>
            <w:r>
              <w:rPr>
                <w:rFonts w:hint="default" w:ascii="Times New Roman" w:hAnsi="Times New Roman" w:cs="Times New Roman"/>
                <w:color w:val="auto"/>
                <w:sz w:val="24"/>
              </w:rPr>
              <w:t xml:space="preserve">等。 </w:t>
            </w:r>
          </w:p>
          <w:p>
            <w:pPr>
              <w:topLinePunct/>
              <w:adjustRightInd w:val="0"/>
              <w:snapToGrid w:val="0"/>
              <w:spacing w:line="360" w:lineRule="auto"/>
              <w:ind w:firstLine="480" w:firstLineChars="200"/>
              <w:jc w:val="left"/>
              <w:rPr>
                <w:rFonts w:hint="default" w:ascii="Times New Roman" w:hAnsi="Times New Roman" w:cs="Times New Roman"/>
                <w:snapToGrid w:val="0"/>
                <w:color w:val="auto"/>
                <w:kern w:val="0"/>
                <w:sz w:val="24"/>
              </w:rPr>
            </w:pPr>
            <w:r>
              <w:rPr>
                <w:rFonts w:hint="default" w:ascii="Times New Roman" w:hAnsi="Times New Roman" w:cs="Times New Roman"/>
                <w:color w:val="auto"/>
                <w:kern w:val="28"/>
                <w:sz w:val="24"/>
              </w:rPr>
              <w:t>本</w:t>
            </w:r>
            <w:r>
              <w:rPr>
                <w:rFonts w:hint="default" w:ascii="Times New Roman" w:hAnsi="Times New Roman" w:cs="Times New Roman"/>
                <w:snapToGrid w:val="0"/>
                <w:color w:val="auto"/>
                <w:kern w:val="0"/>
                <w:sz w:val="24"/>
              </w:rPr>
              <w:t>项目建成后，汽车尾气对环境有一定影响。汽车尾气属于无组织、间歇排放的流动污染源，且项目区周围开阔，空气流动性好、易扩散，对周围大气环境影响不大。</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snapToGrid w:val="0"/>
                <w:color w:val="auto"/>
                <w:kern w:val="0"/>
                <w:sz w:val="24"/>
              </w:rPr>
              <w:t>建议加强绿化，不仅能美化环境，且对降低大气污染物浓度具有一定作用。为进一步减少车辆尾气产排量，降低其对项目区及周边区域大气环境产生的影响程度和范围，要求合理布局，在出入口以及项目区内合理设置路标指示牌，避免车辆在出入口集中进出而造成堵塞</w:t>
            </w:r>
            <w:r>
              <w:rPr>
                <w:rFonts w:hint="default" w:ascii="Times New Roman" w:hAnsi="Times New Roman" w:cs="Times New Roman"/>
                <w:color w:val="auto"/>
                <w:sz w:val="24"/>
              </w:rPr>
              <w:t>。</w:t>
            </w:r>
          </w:p>
          <w:p>
            <w:pPr>
              <w:adjustRightInd w:val="0"/>
              <w:snapToGri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2．水环境影响分析</w:t>
            </w:r>
          </w:p>
          <w:p>
            <w:pPr>
              <w:pStyle w:val="31"/>
              <w:spacing w:after="0" w:line="360" w:lineRule="auto"/>
              <w:ind w:firstLine="0" w:firstLineChars="0"/>
              <w:rPr>
                <w:rFonts w:hint="default" w:ascii="Times New Roman" w:hAnsi="Times New Roman" w:cs="Times New Roman"/>
                <w:b/>
                <w:bCs/>
                <w:color w:val="auto"/>
                <w:kern w:val="0"/>
                <w:position w:val="10"/>
                <w:sz w:val="24"/>
                <w:szCs w:val="24"/>
              </w:rPr>
            </w:pPr>
            <w:r>
              <w:rPr>
                <w:rFonts w:hint="default" w:ascii="Times New Roman" w:hAnsi="Times New Roman" w:cs="Times New Roman"/>
                <w:b/>
                <w:bCs/>
                <w:color w:val="auto"/>
                <w:kern w:val="0"/>
                <w:position w:val="10"/>
                <w:sz w:val="24"/>
                <w:szCs w:val="24"/>
              </w:rPr>
              <w:t>2.1生活污水环境影响分析</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根据本项目工艺流程可知，本项目无生产废水，主要为生活污水。厂区内员工20人，根据《建筑及排水设计规范》中的相关用水参考值，员工按每人每班用水按50L计算，项目区生活用水量1m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/d（280m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/a）。生活污水量按生活用水量的85% 计，生活污水量为0.85m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/d（238m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/a)。生活污水经过厂区内化粪池设施预处理达到《污水综合排放标准》（GB8978-1996）中三级排放标准后</w:t>
            </w:r>
            <w:r>
              <w:rPr>
                <w:rFonts w:hint="default" w:ascii="Times New Roman" w:hAnsi="Times New Roman" w:cs="Times New Roman"/>
                <w:snapToGrid w:val="0"/>
                <w:color w:val="auto"/>
                <w:sz w:val="24"/>
              </w:rPr>
              <w:t>排入呼图壁县工业园区下水管网，最终进入</w:t>
            </w:r>
            <w:r>
              <w:rPr>
                <w:rFonts w:hint="default" w:ascii="Times New Roman" w:hAnsi="Times New Roman" w:cs="Times New Roman"/>
                <w:color w:val="auto"/>
                <w:sz w:val="24"/>
              </w:rPr>
              <w:t>呼图壁县工业园污水处理厂。废水中主要污染物为CODcr、BOD</w:t>
            </w:r>
            <w:r>
              <w:rPr>
                <w:rFonts w:hint="default" w:ascii="Times New Roman" w:hAnsi="Times New Roman" w:cs="Times New Roman"/>
                <w:color w:val="auto"/>
                <w:sz w:val="24"/>
                <w:vertAlign w:val="subscript"/>
              </w:rPr>
              <w:t>5</w:t>
            </w:r>
            <w:r>
              <w:rPr>
                <w:rFonts w:hint="default" w:ascii="Times New Roman" w:hAnsi="Times New Roman" w:cs="Times New Roman"/>
                <w:color w:val="auto"/>
                <w:sz w:val="24"/>
              </w:rPr>
              <w:t>、SS、氨氮等，其产生浓度及产生量见下表：</w:t>
            </w:r>
          </w:p>
          <w:p>
            <w:pPr>
              <w:pStyle w:val="113"/>
              <w:overflowPunct w:val="0"/>
              <w:spacing w:line="240" w:lineRule="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表28   污水浓度一览表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1857"/>
              <w:gridCol w:w="1550"/>
              <w:gridCol w:w="1863"/>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污染物名称</w:t>
                  </w:r>
                </w:p>
              </w:tc>
              <w:tc>
                <w:tcPr>
                  <w:tcW w:w="1857"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lang w:val="fr-FR"/>
                    </w:rPr>
                    <w:t>产生浓度（</w:t>
                  </w:r>
                  <w:r>
                    <w:rPr>
                      <w:rFonts w:hint="default" w:ascii="Times New Roman" w:hAnsi="Times New Roman" w:cs="Times New Roman"/>
                      <w:b/>
                      <w:bCs/>
                      <w:color w:val="auto"/>
                      <w:szCs w:val="21"/>
                    </w:rPr>
                    <w:t>mg/L</w:t>
                  </w:r>
                  <w:r>
                    <w:rPr>
                      <w:rFonts w:hint="default" w:ascii="Times New Roman" w:hAnsi="Times New Roman" w:cs="Times New Roman"/>
                      <w:b/>
                      <w:bCs/>
                      <w:color w:val="auto"/>
                      <w:szCs w:val="21"/>
                      <w:lang w:val="fr-FR"/>
                    </w:rPr>
                    <w:t>）</w:t>
                  </w:r>
                </w:p>
              </w:tc>
              <w:tc>
                <w:tcPr>
                  <w:tcW w:w="1550" w:type="dxa"/>
                  <w:vAlign w:val="center"/>
                </w:tcPr>
                <w:p>
                  <w:pPr>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lang w:val="fr-FR"/>
                    </w:rPr>
                    <w:t>产生量（</w:t>
                  </w:r>
                  <w:r>
                    <w:rPr>
                      <w:rFonts w:hint="default" w:ascii="Times New Roman" w:hAnsi="Times New Roman" w:cs="Times New Roman"/>
                      <w:b/>
                      <w:bCs/>
                      <w:color w:val="auto"/>
                      <w:szCs w:val="21"/>
                    </w:rPr>
                    <w:t>t/a</w:t>
                  </w:r>
                  <w:r>
                    <w:rPr>
                      <w:rFonts w:hint="default" w:ascii="Times New Roman" w:hAnsi="Times New Roman" w:cs="Times New Roman"/>
                      <w:b/>
                      <w:bCs/>
                      <w:color w:val="auto"/>
                      <w:szCs w:val="21"/>
                      <w:lang w:val="fr-FR"/>
                    </w:rPr>
                    <w:t>）</w:t>
                  </w:r>
                </w:p>
              </w:tc>
              <w:tc>
                <w:tcPr>
                  <w:tcW w:w="1863" w:type="dxa"/>
                  <w:vAlign w:val="center"/>
                </w:tcPr>
                <w:p>
                  <w:pPr>
                    <w:jc w:val="center"/>
                    <w:rPr>
                      <w:rFonts w:hint="default" w:ascii="Times New Roman" w:hAnsi="Times New Roman" w:cs="Times New Roman"/>
                      <w:b/>
                      <w:bCs/>
                      <w:color w:val="auto"/>
                      <w:szCs w:val="21"/>
                      <w:lang w:val="fr-FR"/>
                    </w:rPr>
                  </w:pPr>
                  <w:r>
                    <w:rPr>
                      <w:rFonts w:hint="default" w:ascii="Times New Roman" w:hAnsi="Times New Roman" w:cs="Times New Roman"/>
                      <w:b/>
                      <w:bCs/>
                      <w:color w:val="auto"/>
                      <w:szCs w:val="21"/>
                      <w:lang w:val="fr-FR"/>
                    </w:rPr>
                    <w:t>排放浓度（</w:t>
                  </w:r>
                  <w:r>
                    <w:rPr>
                      <w:rFonts w:hint="default" w:ascii="Times New Roman" w:hAnsi="Times New Roman" w:cs="Times New Roman"/>
                      <w:b/>
                      <w:bCs/>
                      <w:color w:val="auto"/>
                      <w:szCs w:val="21"/>
                    </w:rPr>
                    <w:t>mg/L</w:t>
                  </w:r>
                  <w:r>
                    <w:rPr>
                      <w:rFonts w:hint="default" w:ascii="Times New Roman" w:hAnsi="Times New Roman" w:cs="Times New Roman"/>
                      <w:b/>
                      <w:bCs/>
                      <w:color w:val="auto"/>
                      <w:szCs w:val="21"/>
                      <w:lang w:val="fr-FR"/>
                    </w:rPr>
                    <w:t>）</w:t>
                  </w:r>
                </w:p>
              </w:tc>
              <w:tc>
                <w:tcPr>
                  <w:tcW w:w="1860" w:type="dxa"/>
                  <w:vAlign w:val="center"/>
                </w:tcPr>
                <w:p>
                  <w:pPr>
                    <w:jc w:val="center"/>
                    <w:rPr>
                      <w:rFonts w:hint="default" w:ascii="Times New Roman" w:hAnsi="Times New Roman" w:cs="Times New Roman"/>
                      <w:b/>
                      <w:bCs/>
                      <w:color w:val="auto"/>
                      <w:szCs w:val="21"/>
                      <w:lang w:val="fr-FR"/>
                    </w:rPr>
                  </w:pPr>
                  <w:r>
                    <w:rPr>
                      <w:rFonts w:hint="default" w:ascii="Times New Roman" w:hAnsi="Times New Roman" w:cs="Times New Roman"/>
                      <w:b/>
                      <w:bCs/>
                      <w:color w:val="auto"/>
                      <w:szCs w:val="21"/>
                      <w:lang w:val="fr-FR"/>
                    </w:rPr>
                    <w:t>排放量（</w:t>
                  </w:r>
                  <w:r>
                    <w:rPr>
                      <w:rFonts w:hint="default" w:ascii="Times New Roman" w:hAnsi="Times New Roman" w:cs="Times New Roman"/>
                      <w:b/>
                      <w:bCs/>
                      <w:color w:val="auto"/>
                      <w:szCs w:val="21"/>
                    </w:rPr>
                    <w:t>t/a</w:t>
                  </w:r>
                  <w:r>
                    <w:rPr>
                      <w:rFonts w:hint="default" w:ascii="Times New Roman" w:hAnsi="Times New Roman" w:cs="Times New Roman"/>
                      <w:b/>
                      <w:bCs/>
                      <w:color w:val="auto"/>
                      <w:szCs w:val="21"/>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SS</w:t>
                  </w:r>
                </w:p>
              </w:tc>
              <w:tc>
                <w:tcPr>
                  <w:tcW w:w="1857"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color w:val="auto"/>
                    </w:rPr>
                    <w:t>200</w:t>
                  </w:r>
                </w:p>
              </w:tc>
              <w:tc>
                <w:tcPr>
                  <w:tcW w:w="1550"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0.048</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snapToGrid w:val="0"/>
                      <w:color w:val="auto"/>
                      <w:kern w:val="0"/>
                      <w:szCs w:val="21"/>
                    </w:rPr>
                    <w:t>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BOD</w:t>
                  </w:r>
                  <w:r>
                    <w:rPr>
                      <w:rFonts w:hint="default" w:ascii="Times New Roman" w:hAnsi="Times New Roman" w:cs="Times New Roman"/>
                      <w:color w:val="auto"/>
                      <w:szCs w:val="21"/>
                      <w:vertAlign w:val="subscript"/>
                    </w:rPr>
                    <w:t>5</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400</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0.095</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400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COD</w:t>
                  </w:r>
                  <w:r>
                    <w:rPr>
                      <w:rFonts w:hint="default" w:ascii="Times New Roman" w:hAnsi="Times New Roman" w:cs="Times New Roman"/>
                      <w:color w:val="auto"/>
                      <w:szCs w:val="21"/>
                      <w:vertAlign w:val="subscript"/>
                    </w:rPr>
                    <w:t>cr</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0.048</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200</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442" w:type="dxa"/>
                  <w:vAlign w:val="center"/>
                </w:tcPr>
                <w:p>
                  <w:pPr>
                    <w:topLinePunct/>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NH</w:t>
                  </w:r>
                  <w:r>
                    <w:rPr>
                      <w:rFonts w:hint="default" w:ascii="Times New Roman" w:hAnsi="Times New Roman" w:cs="Times New Roman"/>
                      <w:color w:val="auto"/>
                      <w:szCs w:val="21"/>
                      <w:vertAlign w:val="subscript"/>
                    </w:rPr>
                    <w:t>3</w:t>
                  </w:r>
                  <w:r>
                    <w:rPr>
                      <w:rFonts w:hint="default" w:ascii="Times New Roman" w:hAnsi="Times New Roman" w:cs="Times New Roman"/>
                      <w:color w:val="auto"/>
                      <w:szCs w:val="21"/>
                    </w:rPr>
                    <w:t>-N</w:t>
                  </w:r>
                </w:p>
              </w:tc>
              <w:tc>
                <w:tcPr>
                  <w:tcW w:w="185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25</w:t>
                  </w:r>
                </w:p>
              </w:tc>
              <w:tc>
                <w:tcPr>
                  <w:tcW w:w="155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c>
                <w:tcPr>
                  <w:tcW w:w="1863"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rPr>
                    <w:t>25</w:t>
                  </w:r>
                </w:p>
              </w:tc>
              <w:tc>
                <w:tcPr>
                  <w:tcW w:w="1860"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0.006</w:t>
                  </w:r>
                </w:p>
              </w:tc>
            </w:tr>
          </w:tbl>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通过上述措施，对周边水环境影响较小。</w:t>
            </w:r>
          </w:p>
          <w:p>
            <w:pPr>
              <w:pStyle w:val="31"/>
              <w:spacing w:after="0" w:line="360" w:lineRule="auto"/>
              <w:ind w:firstLine="0" w:firstLineChars="0"/>
              <w:rPr>
                <w:rFonts w:hint="default" w:ascii="Times New Roman" w:hAnsi="Times New Roman" w:cs="Times New Roman"/>
                <w:b/>
                <w:bCs/>
                <w:color w:val="auto"/>
                <w:kern w:val="0"/>
                <w:position w:val="10"/>
                <w:sz w:val="24"/>
                <w:szCs w:val="24"/>
              </w:rPr>
            </w:pPr>
            <w:r>
              <w:rPr>
                <w:rFonts w:hint="default" w:ascii="Times New Roman" w:hAnsi="Times New Roman" w:cs="Times New Roman"/>
                <w:b/>
                <w:bCs/>
                <w:color w:val="auto"/>
                <w:kern w:val="0"/>
                <w:position w:val="10"/>
                <w:sz w:val="24"/>
                <w:szCs w:val="24"/>
              </w:rPr>
              <w:t>2.2地下水环境影响分析</w:t>
            </w:r>
          </w:p>
          <w:p>
            <w:pPr>
              <w:pStyle w:val="2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cs="Times New Roman"/>
                <w:color w:val="auto"/>
              </w:rPr>
              <w:t>（1）评价等级</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根据《环境影响评价技术导则 地下水环境》（HJ610-2016）、《建设项目环境影响评价分类管理名录》，建设项目地下水环境影响评价工作等级的划分应依据建设项目行业分类和地下水环境敏感程度分级进行判定。</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b/>
                <w:color w:val="auto"/>
                <w:sz w:val="24"/>
              </w:rPr>
              <w:t>建设项目行业分类：</w:t>
            </w:r>
            <w:r>
              <w:rPr>
                <w:rFonts w:hint="default" w:ascii="Times New Roman" w:hAnsi="Times New Roman" w:cs="Times New Roman"/>
                <w:color w:val="auto"/>
                <w:sz w:val="24"/>
              </w:rPr>
              <w:t>对照《环境影响评价技术导则 地下水环境》（HJ610-2016）附录 A，本项目属于目录中“F 石油、天然气”中“39、油库”，按地下水环境影响评价项目类别划分为报告表 Ⅱ类项目。</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b/>
                <w:color w:val="auto"/>
                <w:sz w:val="24"/>
              </w:rPr>
              <w:t>地下水环境敏感程度：</w:t>
            </w:r>
            <w:r>
              <w:rPr>
                <w:rFonts w:hint="default" w:ascii="Times New Roman" w:hAnsi="Times New Roman" w:cs="Times New Roman"/>
                <w:color w:val="auto"/>
                <w:sz w:val="24"/>
              </w:rPr>
              <w:t>项目所在地不属于集中式饮用水水源准保护区及准保护区以外的径流补给区，也不在国家或地方设定的与地下水环境相关的其他保护区及径流补给区。因此，根据《环境影响评价技术导则  地下水环境》</w:t>
            </w:r>
            <w:r>
              <w:rPr>
                <w:rFonts w:hint="default" w:ascii="Times New Roman" w:hAnsi="Times New Roman" w:cs="Times New Roman"/>
                <w:snapToGrid w:val="0"/>
                <w:color w:val="auto"/>
                <w:sz w:val="24"/>
                <w:szCs w:val="24"/>
              </w:rPr>
              <w:t>（HJ 610-2016）</w:t>
            </w:r>
            <w:r>
              <w:rPr>
                <w:rFonts w:hint="default" w:ascii="Times New Roman" w:hAnsi="Times New Roman" w:cs="Times New Roman"/>
                <w:color w:val="auto"/>
                <w:sz w:val="24"/>
              </w:rPr>
              <w:t>，本扩建项目所在区域地下水属不敏感地区。</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地下水环境敏感程度分级表见表</w:t>
            </w:r>
            <w:r>
              <w:rPr>
                <w:rFonts w:hint="default" w:ascii="Times New Roman" w:hAnsi="Times New Roman" w:cs="Times New Roman"/>
                <w:color w:val="auto"/>
                <w:sz w:val="24"/>
                <w:lang w:eastAsia="zh-CN"/>
              </w:rPr>
              <w:t>29</w:t>
            </w:r>
            <w:r>
              <w:rPr>
                <w:rFonts w:hint="default" w:ascii="Times New Roman" w:hAnsi="Times New Roman" w:cs="Times New Roman"/>
                <w:color w:val="auto"/>
                <w:sz w:val="24"/>
              </w:rPr>
              <w:t>，地下水分级依据见表</w:t>
            </w:r>
            <w:r>
              <w:rPr>
                <w:rFonts w:hint="default" w:ascii="Times New Roman" w:hAnsi="Times New Roman" w:cs="Times New Roman"/>
                <w:color w:val="auto"/>
                <w:sz w:val="24"/>
                <w:lang w:eastAsia="zh-CN"/>
              </w:rPr>
              <w:t>30</w:t>
            </w:r>
            <w:r>
              <w:rPr>
                <w:rFonts w:hint="default" w:ascii="Times New Roman" w:hAnsi="Times New Roman" w:cs="Times New Roman"/>
                <w:color w:val="auto"/>
                <w:sz w:val="24"/>
              </w:rPr>
              <w:t>。</w:t>
            </w:r>
          </w:p>
          <w:p>
            <w:pPr>
              <w:adjustRightInd w:val="0"/>
              <w:snapToGrid w:val="0"/>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w:t>
            </w:r>
            <w:r>
              <w:rPr>
                <w:rFonts w:hint="default" w:ascii="Times New Roman" w:hAnsi="Times New Roman" w:cs="Times New Roman"/>
                <w:b/>
                <w:color w:val="auto"/>
                <w:sz w:val="24"/>
                <w:szCs w:val="24"/>
                <w:lang w:eastAsia="zh-CN"/>
              </w:rPr>
              <w:t>29</w:t>
            </w:r>
            <w:r>
              <w:rPr>
                <w:rFonts w:hint="default" w:ascii="Times New Roman" w:hAnsi="Times New Roman" w:cs="Times New Roman"/>
                <w:b/>
                <w:color w:val="auto"/>
                <w:sz w:val="24"/>
                <w:szCs w:val="24"/>
              </w:rPr>
              <w:t xml:space="preserve">  地下水环境敏感程度分级表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7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敏感程度</w:t>
                  </w:r>
                </w:p>
              </w:tc>
              <w:tc>
                <w:tcPr>
                  <w:tcW w:w="71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地下水环境敏感特征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w:t>
                  </w:r>
                </w:p>
              </w:tc>
              <w:tc>
                <w:tcPr>
                  <w:tcW w:w="71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集中式饮用水水源（包括已建成的再用、备用、应急水源，在建和规划的引用水源）准保护区；除集中式饮用水水源以外的国家或地方政府设定的与地下水环境相关的其他保护区，如热水、矿泉水、温泉等特殊地下水资源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较敏感</w:t>
                  </w:r>
                </w:p>
              </w:tc>
              <w:tc>
                <w:tcPr>
                  <w:tcW w:w="71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集中式饮用水水源（包括已建成的在用、备用、应急水源，在建和规划的饮用水水源）准保护区以外的补给径流区；未划定准保护区的集中式饮用水水源，其保护区以外的补给径流区；分散式饮用水水源地；特殊地下水资源（如矿泉水、温泉等）保护区以外的分布区等其他未列入上述敏感分级的环境敏感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不敏感</w:t>
                  </w:r>
                </w:p>
              </w:tc>
              <w:tc>
                <w:tcPr>
                  <w:tcW w:w="713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left"/>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上述地区之外的其他地区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注：a“环境敏感区”是指《建设项目环境影响评价分类管理名录》中所界定的涉及地下水的环境敏感区</w:t>
                  </w:r>
                </w:p>
              </w:tc>
            </w:tr>
          </w:tbl>
          <w:p>
            <w:pPr>
              <w:adjustRightInd w:val="0"/>
              <w:snapToGrid w:val="0"/>
              <w:spacing w:line="540" w:lineRule="exact"/>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w:t>
            </w:r>
            <w:r>
              <w:rPr>
                <w:rFonts w:hint="default" w:ascii="Times New Roman" w:hAnsi="Times New Roman" w:cs="Times New Roman"/>
                <w:b/>
                <w:color w:val="auto"/>
                <w:sz w:val="24"/>
                <w:szCs w:val="24"/>
                <w:lang w:eastAsia="zh-CN"/>
              </w:rPr>
              <w:t>30</w:t>
            </w:r>
            <w:r>
              <w:rPr>
                <w:rFonts w:hint="default" w:ascii="Times New Roman" w:hAnsi="Times New Roman" w:cs="Times New Roman"/>
                <w:b/>
                <w:color w:val="auto"/>
                <w:sz w:val="24"/>
                <w:szCs w:val="24"/>
              </w:rPr>
              <w:t xml:space="preserve">   建设项目地下水评价等级划分</w:t>
            </w:r>
          </w:p>
          <w:tbl>
            <w:tblPr>
              <w:tblStyle w:val="33"/>
              <w:tblW w:w="10236" w:type="dxa"/>
              <w:tblInd w:w="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452"/>
              <w:gridCol w:w="1947"/>
              <w:gridCol w:w="1947"/>
              <w:gridCol w:w="1947"/>
              <w:gridCol w:w="19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198" w:type="pct"/>
                  <w:tcBorders>
                    <w:tl2br w:val="single" w:color="auto" w:sz="6"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项目类别</w:t>
                  </w:r>
                </w:p>
                <w:p>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环境敏感程度</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I类项目</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Ⅱ类项目</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Ⅲ类项目</w:t>
                  </w:r>
                </w:p>
              </w:tc>
              <w:tc>
                <w:tcPr>
                  <w:tcW w:w="951" w:type="pct"/>
                  <w:noWrap w:val="0"/>
                  <w:vAlign w:val="top"/>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19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w:t>
                  </w:r>
                </w:p>
              </w:tc>
              <w:tc>
                <w:tcPr>
                  <w:tcW w:w="951" w:type="pct"/>
                  <w:noWrap w:val="0"/>
                  <w:vAlign w:val="top"/>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198"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较敏感</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二</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二</w:t>
                  </w:r>
                </w:p>
              </w:tc>
              <w:tc>
                <w:tcPr>
                  <w:tcW w:w="951" w:type="pct"/>
                  <w:noWrap w:val="0"/>
                  <w:vAlign w:val="top"/>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198"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不敏感</w:t>
                  </w:r>
                </w:p>
              </w:tc>
              <w:tc>
                <w:tcPr>
                  <w:tcW w:w="951"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二</w:t>
                  </w:r>
                </w:p>
              </w:tc>
              <w:tc>
                <w:tcPr>
                  <w:tcW w:w="951" w:type="pct"/>
                  <w:shd w:val="clear" w:color="auto" w:fill="C4BC96"/>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三</w:t>
                  </w:r>
                </w:p>
              </w:tc>
              <w:tc>
                <w:tcPr>
                  <w:tcW w:w="95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w:t>
                  </w:r>
                </w:p>
              </w:tc>
              <w:tc>
                <w:tcPr>
                  <w:tcW w:w="951" w:type="pct"/>
                  <w:noWrap w:val="0"/>
                  <w:vAlign w:val="top"/>
                </w:tcPr>
                <w:p>
                  <w:pPr>
                    <w:keepNext w:val="0"/>
                    <w:keepLines w:val="0"/>
                    <w:pageBreakBefore w:val="0"/>
                    <w:widowControl w:val="0"/>
                    <w:kinsoku/>
                    <w:wordWrap/>
                    <w:overflowPunct/>
                    <w:topLinePunct w:val="0"/>
                    <w:autoSpaceDE/>
                    <w:autoSpaceDN/>
                    <w:bidi w:val="0"/>
                    <w:adjustRightInd w:val="0"/>
                    <w:snapToGrid w:val="0"/>
                    <w:spacing w:line="300" w:lineRule="auto"/>
                    <w:jc w:val="center"/>
                    <w:textAlignment w:val="auto"/>
                    <w:rPr>
                      <w:rFonts w:hint="default" w:ascii="Times New Roman" w:hAnsi="Times New Roman" w:cs="Times New Roman"/>
                      <w:color w:val="auto"/>
                      <w:sz w:val="21"/>
                      <w:szCs w:val="21"/>
                    </w:rPr>
                  </w:pPr>
                </w:p>
              </w:tc>
            </w:tr>
          </w:tbl>
          <w:p>
            <w:pPr>
              <w:keepNext w:val="0"/>
              <w:keepLines w:val="0"/>
              <w:pageBreakBefore w:val="0"/>
              <w:widowControl w:val="0"/>
              <w:kinsoku/>
              <w:wordWrap/>
              <w:overflowPunct/>
              <w:topLinePunct w:val="0"/>
              <w:autoSpaceDE/>
              <w:autoSpaceDN/>
              <w:bidi w:val="0"/>
              <w:adjustRightInd w:val="0"/>
              <w:snapToGrid w:val="0"/>
              <w:spacing w:before="156"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根据《环境影响评价技术导则—地下水环境》（HJ610-2016）中Ⅱ类建设项目评价工作等级分级判据，确定本项目地下水评价等级为三级。</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rFonts w:hint="default" w:ascii="Times New Roman" w:hAnsi="Times New Roman" w:eastAsia="宋体" w:cs="Times New Roman"/>
                <w:snapToGrid w:val="0"/>
                <w:color w:val="auto"/>
                <w:sz w:val="24"/>
                <w:szCs w:val="24"/>
                <w:lang w:val="en-US" w:eastAsia="zh-CN"/>
              </w:rPr>
            </w:pPr>
            <w:r>
              <w:rPr>
                <w:rFonts w:hint="default" w:ascii="Times New Roman" w:hAnsi="Times New Roman" w:cs="Times New Roman"/>
                <w:snapToGrid w:val="0"/>
                <w:color w:val="auto"/>
                <w:sz w:val="24"/>
                <w:szCs w:val="24"/>
                <w:lang w:eastAsia="zh-CN"/>
              </w:rPr>
              <w:t>（</w:t>
            </w:r>
            <w:r>
              <w:rPr>
                <w:rFonts w:hint="default" w:ascii="Times New Roman" w:hAnsi="Times New Roman" w:cs="Times New Roman"/>
                <w:snapToGrid w:val="0"/>
                <w:color w:val="auto"/>
                <w:sz w:val="24"/>
                <w:szCs w:val="24"/>
                <w:lang w:val="en-US" w:eastAsia="zh-CN"/>
              </w:rPr>
              <w:t>2）地下水环境影响预测与评价</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rFonts w:hint="default" w:ascii="Times New Roman" w:hAnsi="Times New Roman" w:eastAsia="宋体" w:cs="Times New Roman"/>
                <w:snapToGrid w:val="0"/>
                <w:color w:val="auto"/>
                <w:sz w:val="24"/>
                <w:szCs w:val="24"/>
                <w:lang w:val="en-US" w:eastAsia="zh-CN"/>
              </w:rPr>
            </w:pPr>
            <w:r>
              <w:rPr>
                <w:rFonts w:hint="default" w:ascii="Times New Roman" w:hAnsi="Times New Roman" w:cs="Times New Roman"/>
                <w:snapToGrid w:val="0"/>
                <w:color w:val="auto"/>
                <w:sz w:val="24"/>
                <w:szCs w:val="24"/>
                <w:lang w:val="en-US" w:eastAsia="zh-CN"/>
              </w:rPr>
              <w:t>1）地下水预测情景设定</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rPr>
              <w:t>预测情景主要分为正常状况、非正常状况两种情景。</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snapToGrid w:val="0"/>
                <w:color w:val="auto"/>
                <w:sz w:val="24"/>
                <w:szCs w:val="24"/>
                <w:lang w:val="en-US" w:eastAsia="zh-CN"/>
              </w:rPr>
            </w:pPr>
            <w:r>
              <w:rPr>
                <w:rFonts w:hint="default" w:ascii="Times New Roman" w:hAnsi="Times New Roman" w:cs="Times New Roman"/>
                <w:snapToGrid w:val="0"/>
                <w:color w:val="auto"/>
                <w:sz w:val="24"/>
                <w:szCs w:val="24"/>
                <w:lang w:val="en-US" w:eastAsia="zh-CN"/>
              </w:rPr>
              <w:t>①正常状况</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rPr>
              <w:t>本项目已依据《石油化工工程防渗技术规范》（</w:t>
            </w:r>
            <w:r>
              <w:rPr>
                <w:rFonts w:hint="default" w:ascii="Times New Roman" w:hAnsi="Times New Roman" w:cs="Times New Roman"/>
                <w:color w:val="auto"/>
                <w:sz w:val="24"/>
                <w:szCs w:val="24"/>
              </w:rPr>
              <w:t>GB/T50934-2013</w:t>
            </w:r>
            <w:r>
              <w:rPr>
                <w:rFonts w:hint="default" w:ascii="Times New Roman" w:hAnsi="Times New Roman" w:cs="Times New Roman"/>
                <w:snapToGrid w:val="0"/>
                <w:color w:val="auto"/>
                <w:sz w:val="24"/>
                <w:szCs w:val="24"/>
              </w:rPr>
              <w:t>）要求设计地下水污染防渗措施，因此本次评价不再进行正常状况情景下的预测。</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snapToGrid w:val="0"/>
                <w:color w:val="auto"/>
                <w:sz w:val="24"/>
                <w:szCs w:val="24"/>
                <w:lang w:val="en-US" w:eastAsia="zh-CN"/>
              </w:rPr>
            </w:pPr>
            <w:r>
              <w:rPr>
                <w:rFonts w:hint="default" w:ascii="Times New Roman" w:hAnsi="Times New Roman" w:cs="Times New Roman"/>
                <w:snapToGrid w:val="0"/>
                <w:color w:val="auto"/>
                <w:sz w:val="24"/>
                <w:szCs w:val="24"/>
                <w:lang w:val="en-US" w:eastAsia="zh-CN"/>
              </w:rPr>
              <w:t>②非正常状况</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rPr>
              <w:t>综合分析根据本项目特征，非正常状况下选取石油类作为特征污染物进行预测。非正常状况情景设定为油罐区管道接口密封老化发生滴漏，污染物直接穿透包气带进入地下水运移的情景，本次评价运用解析法进行模拟预测。</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rPr>
              <w:t>源强计算：项目主要泄漏物质为液态粗白油，其泄漏量按下式计算：</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Q=C</w:t>
            </w:r>
            <w:r>
              <w:rPr>
                <w:rFonts w:hint="default" w:ascii="Times New Roman" w:hAnsi="Times New Roman" w:cs="Times New Roman"/>
                <w:color w:val="auto"/>
                <w:sz w:val="24"/>
                <w:szCs w:val="24"/>
                <w:vertAlign w:val="subscript"/>
              </w:rPr>
              <w:t>d</w:t>
            </w:r>
            <w:r>
              <w:rPr>
                <w:rFonts w:hint="default" w:ascii="Times New Roman" w:hAnsi="Times New Roman" w:cs="Times New Roman"/>
                <w:color w:val="auto"/>
                <w:sz w:val="24"/>
                <w:szCs w:val="24"/>
              </w:rPr>
              <w:t>×A×ρ×[2（P-P</w:t>
            </w:r>
            <w:r>
              <w:rPr>
                <w:rFonts w:hint="default" w:ascii="Times New Roman" w:hAnsi="Times New Roman" w:cs="Times New Roman"/>
                <w:color w:val="auto"/>
                <w:sz w:val="24"/>
                <w:szCs w:val="24"/>
                <w:vertAlign w:val="subscript"/>
              </w:rPr>
              <w:t>0</w:t>
            </w:r>
            <w:r>
              <w:rPr>
                <w:rFonts w:hint="default" w:ascii="Times New Roman" w:hAnsi="Times New Roman" w:cs="Times New Roman"/>
                <w:color w:val="auto"/>
                <w:sz w:val="24"/>
                <w:szCs w:val="24"/>
              </w:rPr>
              <w:t>）/ρ+2gh]</w:t>
            </w:r>
            <w:r>
              <w:rPr>
                <w:rFonts w:hint="default" w:ascii="Times New Roman" w:hAnsi="Times New Roman" w:cs="Times New Roman"/>
                <w:color w:val="auto"/>
                <w:sz w:val="24"/>
                <w:szCs w:val="24"/>
                <w:vertAlign w:val="superscript"/>
              </w:rPr>
              <w:t>0.5</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式中：Q—物料泄漏量，kg/s；</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C</w:t>
            </w:r>
            <w:r>
              <w:rPr>
                <w:rFonts w:hint="default" w:ascii="Times New Roman" w:hAnsi="Times New Roman" w:cs="Times New Roman"/>
                <w:color w:val="auto"/>
                <w:sz w:val="24"/>
                <w:vertAlign w:val="subscript"/>
              </w:rPr>
              <w:t>d</w:t>
            </w:r>
            <w:r>
              <w:rPr>
                <w:rFonts w:hint="default" w:ascii="Times New Roman" w:hAnsi="Times New Roman" w:cs="Times New Roman"/>
                <w:color w:val="auto"/>
                <w:sz w:val="24"/>
              </w:rPr>
              <w:t>—液体泄漏系数，0.60-0.64；</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A—裂口面积，m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ρ—物料密度，取894kg/m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P—容器内介质压力，取值101015Pa；</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P</w:t>
            </w:r>
            <w:r>
              <w:rPr>
                <w:rFonts w:hint="default" w:ascii="Times New Roman" w:hAnsi="Times New Roman" w:cs="Times New Roman"/>
                <w:color w:val="auto"/>
                <w:sz w:val="24"/>
                <w:vertAlign w:val="subscript"/>
              </w:rPr>
              <w:t>0</w:t>
            </w:r>
            <w:r>
              <w:rPr>
                <w:rFonts w:hint="default" w:ascii="Times New Roman" w:hAnsi="Times New Roman" w:cs="Times New Roman"/>
                <w:color w:val="auto"/>
                <w:sz w:val="24"/>
              </w:rPr>
              <w:t>—环境压力，取101325Pa；</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g—重力加速度；</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 xml:space="preserve">      h—裂口之上液位高度，取值0m。</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设定项目采取的渗漏自动检测系统发现渗漏的时间为30min；破裂泄漏孔径按1.0mm计，泄露量的10%通过包气带进入地下水。</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rPr>
              <w:t>根据计算结果，由于破裂产生的泄露速度为12.9g/s。则进入地下水含水层中的石油类为129g/s×30min×60s×10%=2322g。</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b/>
                <w:color w:val="auto"/>
                <w:sz w:val="24"/>
                <w:szCs w:val="24"/>
              </w:rPr>
            </w:pPr>
            <w:r>
              <w:rPr>
                <w:rFonts w:hint="default" w:ascii="Times New Roman" w:hAnsi="Times New Roman" w:cs="Times New Roman"/>
                <w:snapToGrid w:val="0"/>
                <w:color w:val="auto"/>
                <w:sz w:val="24"/>
                <w:szCs w:val="24"/>
              </w:rPr>
              <w:t>源强核算结果见表</w:t>
            </w: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lang w:eastAsia="zh-CN"/>
              </w:rPr>
              <w:t>1</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w:t>
            </w:r>
            <w:r>
              <w:rPr>
                <w:rFonts w:hint="default" w:ascii="Times New Roman" w:hAnsi="Times New Roman" w:cs="Times New Roman"/>
                <w:b/>
                <w:color w:val="auto"/>
                <w:sz w:val="24"/>
                <w:szCs w:val="24"/>
                <w:lang w:val="en-US" w:eastAsia="zh-CN"/>
              </w:rPr>
              <w:t>3</w:t>
            </w:r>
            <w:r>
              <w:rPr>
                <w:rFonts w:hint="default" w:ascii="Times New Roman" w:hAnsi="Times New Roman" w:cs="Times New Roman"/>
                <w:b/>
                <w:color w:val="auto"/>
                <w:sz w:val="24"/>
                <w:szCs w:val="24"/>
                <w:lang w:eastAsia="zh-CN"/>
              </w:rPr>
              <w:t>1</w:t>
            </w:r>
            <w:r>
              <w:rPr>
                <w:rFonts w:hint="default" w:ascii="Times New Roman" w:hAnsi="Times New Roman" w:cs="Times New Roman"/>
                <w:b/>
                <w:color w:val="auto"/>
                <w:sz w:val="24"/>
                <w:szCs w:val="24"/>
              </w:rPr>
              <w:t xml:space="preserve">   非正常工况渗漏源强计算一览表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593"/>
              <w:gridCol w:w="1133"/>
              <w:gridCol w:w="1770"/>
              <w:gridCol w:w="1089"/>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2"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预测情景</w:t>
                  </w:r>
                </w:p>
              </w:tc>
              <w:tc>
                <w:tcPr>
                  <w:tcW w:w="1593"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密度</w:t>
                  </w:r>
                </w:p>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（kg/ 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源强</w:t>
                  </w:r>
                </w:p>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（g/s）</w:t>
                  </w: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时间（min）</w:t>
                  </w:r>
                </w:p>
              </w:tc>
              <w:tc>
                <w:tcPr>
                  <w:tcW w:w="1089"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泄漏量</w:t>
                  </w:r>
                </w:p>
              </w:tc>
              <w:tc>
                <w:tcPr>
                  <w:tcW w:w="1089"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渗漏量</w:t>
                  </w:r>
                </w:p>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2"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非正常工况</w:t>
                  </w:r>
                </w:p>
              </w:tc>
              <w:tc>
                <w:tcPr>
                  <w:tcW w:w="1593"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894</w:t>
                  </w:r>
                </w:p>
              </w:tc>
              <w:tc>
                <w:tcPr>
                  <w:tcW w:w="1133"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12.9</w:t>
                  </w:r>
                </w:p>
              </w:tc>
              <w:tc>
                <w:tcPr>
                  <w:tcW w:w="1770"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w:t>
                  </w:r>
                </w:p>
              </w:tc>
              <w:tc>
                <w:tcPr>
                  <w:tcW w:w="1089"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w:t>
                  </w:r>
                </w:p>
              </w:tc>
              <w:tc>
                <w:tcPr>
                  <w:tcW w:w="1089" w:type="dxa"/>
                  <w:noWrap w:val="0"/>
                  <w:vAlign w:val="center"/>
                </w:tcPr>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2322</w:t>
                  </w:r>
                </w:p>
              </w:tc>
            </w:tr>
          </w:tbl>
          <w:p>
            <w:pPr>
              <w:keepNext w:val="0"/>
              <w:keepLines w:val="0"/>
              <w:pageBreakBefore w:val="0"/>
              <w:widowControl w:val="0"/>
              <w:kinsoku/>
              <w:wordWrap/>
              <w:overflowPunct/>
              <w:topLinePunct w:val="0"/>
              <w:autoSpaceDE/>
              <w:autoSpaceDN/>
              <w:bidi w:val="0"/>
              <w:adjustRightInd/>
              <w:snapToGrid w:val="0"/>
              <w:spacing w:before="167" w:beforeLines="50"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lang w:val="en-US" w:eastAsia="zh-CN"/>
              </w:rPr>
              <w:t>2）预测模型的概化</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szCs w:val="24"/>
              </w:rPr>
            </w:pPr>
            <w:r>
              <w:rPr>
                <w:rFonts w:hint="default" w:ascii="Times New Roman" w:hAnsi="Times New Roman" w:cs="Times New Roman"/>
                <w:snapToGrid w:val="0"/>
                <w:color w:val="auto"/>
                <w:sz w:val="24"/>
                <w:szCs w:val="24"/>
              </w:rPr>
              <w:t>非正常状况下，主要考虑事故的泄漏石油直接进入浅层地下水，污染物在项目场地含水层中的运移情况。模型可概化为一维稳定流动二维水动力弥散问题的瞬时注入示踪剂—平面瞬时点源的预测模型，其主要假设条件为：</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①</w:t>
            </w:r>
            <w:r>
              <w:rPr>
                <w:rFonts w:hint="default" w:ascii="Times New Roman" w:hAnsi="Times New Roman" w:cs="Times New Roman"/>
                <w:color w:val="auto"/>
                <w:sz w:val="24"/>
                <w:szCs w:val="24"/>
              </w:rPr>
              <w:t>评价区内含水层的基本参数（如渗透系数、有效孔隙度等）不变或变化很小；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②</w:t>
            </w:r>
            <w:r>
              <w:rPr>
                <w:rFonts w:hint="default" w:ascii="Times New Roman" w:hAnsi="Times New Roman" w:cs="Times New Roman"/>
                <w:color w:val="auto"/>
                <w:sz w:val="24"/>
                <w:szCs w:val="24"/>
              </w:rPr>
              <w:t>污染物的排放对地下水流场没有明显的影响。</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snapToGrid w:val="0"/>
                <w:color w:val="auto"/>
                <w:sz w:val="24"/>
                <w:szCs w:val="24"/>
                <w:lang w:val="en-US" w:eastAsia="zh-CN"/>
              </w:rPr>
            </w:pPr>
            <w:r>
              <w:rPr>
                <w:rFonts w:hint="default" w:ascii="Times New Roman" w:hAnsi="Times New Roman" w:cs="Times New Roman"/>
                <w:snapToGrid w:val="0"/>
                <w:color w:val="auto"/>
                <w:sz w:val="24"/>
                <w:szCs w:val="24"/>
                <w:lang w:val="en-US" w:eastAsia="zh-CN"/>
              </w:rPr>
              <w:t>3）数学模型的建立与参数的确定</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污染物在含水层中的运移模型为《环境影响评价技术导则 地下水环境》（HJ610-2016），一维稳定流动二维水动力弥散问题的瞬时注入示踪剂—平面瞬时点源的预测模型：</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position w:val="-34"/>
                <w:sz w:val="24"/>
                <w:szCs w:val="24"/>
              </w:rPr>
              <w:object>
                <v:shape id="_x0000_i1025" o:spt="75" type="#_x0000_t75" style="height:44.25pt;width:180.8pt;" o:ole="t" filled="f"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式中：</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x，y—计算点处的位置坐标；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t—时间，d；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C（x,y,t）—t时刻点x，y处的污染物浓度，mg/L；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M—含水层厚度，m；本项目所在区域浅层地下水含水层厚度概化为10m；</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bscript"/>
              </w:rPr>
              <w:t>M</w:t>
            </w:r>
            <w:r>
              <w:rPr>
                <w:rFonts w:hint="default" w:ascii="Times New Roman" w:hAnsi="Times New Roman" w:cs="Times New Roman"/>
                <w:color w:val="auto"/>
                <w:sz w:val="24"/>
                <w:szCs w:val="24"/>
              </w:rPr>
              <w:t>—长度为M的线源瞬时注入示踪剂的质量；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n—有效孔隙度，量纲为一，含水层岩性主要为粉细砂，取均值0.15；</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lang w:val="nl-BE"/>
              </w:rPr>
            </w:pPr>
            <w:r>
              <w:rPr>
                <w:rFonts w:hint="default" w:ascii="Times New Roman" w:hAnsi="Times New Roman" w:cs="Times New Roman"/>
                <w:color w:val="auto"/>
                <w:sz w:val="24"/>
                <w:szCs w:val="24"/>
                <w:lang w:val="nl-BE"/>
              </w:rPr>
              <w:t>u—</w:t>
            </w:r>
            <w:r>
              <w:rPr>
                <w:rFonts w:hint="default" w:ascii="Times New Roman" w:hAnsi="Times New Roman" w:cs="Times New Roman"/>
                <w:color w:val="auto"/>
                <w:sz w:val="24"/>
                <w:szCs w:val="24"/>
              </w:rPr>
              <w:t>地下水流速度</w:t>
            </w:r>
            <w:r>
              <w:rPr>
                <w:rFonts w:hint="default" w:ascii="Times New Roman" w:hAnsi="Times New Roman" w:cs="Times New Roman"/>
                <w:color w:val="auto"/>
                <w:sz w:val="24"/>
                <w:szCs w:val="24"/>
                <w:lang w:val="nl-BE"/>
              </w:rPr>
              <w:t>，m/d；根据项目场地地层岩性，潜水含水层平均渗透系数K取值为</w:t>
            </w:r>
            <w:r>
              <w:rPr>
                <w:rFonts w:hint="default" w:ascii="Times New Roman" w:hAnsi="Times New Roman" w:cs="Times New Roman"/>
                <w:color w:val="auto"/>
                <w:sz w:val="24"/>
                <w:szCs w:val="24"/>
              </w:rPr>
              <w:t>4.1m/d，水力坡度I取浅层地下水评价值0.5‰，因此地下水的渗透流速u=K×I/n=0.0137m/d；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w:t>
            </w:r>
            <w:r>
              <w:rPr>
                <w:rFonts w:hint="default" w:ascii="Times New Roman" w:hAnsi="Times New Roman" w:cs="Times New Roman"/>
                <w:color w:val="auto"/>
                <w:sz w:val="24"/>
                <w:szCs w:val="24"/>
                <w:vertAlign w:val="subscript"/>
              </w:rPr>
              <w:t>L</w:t>
            </w:r>
            <w:r>
              <w:rPr>
                <w:rFonts w:hint="default" w:ascii="Times New Roman" w:hAnsi="Times New Roman" w:cs="Times New Roman"/>
                <w:color w:val="auto"/>
                <w:sz w:val="24"/>
                <w:szCs w:val="24"/>
              </w:rPr>
              <w:t>—纵向x方向的弥散系数，m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/d，根据资料，纵向弥散度α</w:t>
            </w:r>
            <w:r>
              <w:rPr>
                <w:rFonts w:hint="default" w:ascii="Times New Roman" w:hAnsi="Times New Roman" w:cs="Times New Roman"/>
                <w:color w:val="auto"/>
                <w:sz w:val="24"/>
                <w:szCs w:val="24"/>
                <w:vertAlign w:val="subscript"/>
              </w:rPr>
              <w:t>L</w:t>
            </w:r>
            <w:r>
              <w:rPr>
                <w:rFonts w:hint="default" w:ascii="Times New Roman" w:hAnsi="Times New Roman" w:cs="Times New Roman"/>
                <w:color w:val="auto"/>
                <w:sz w:val="24"/>
                <w:szCs w:val="24"/>
              </w:rPr>
              <w:t>=20m，纵向弥散系数D</w:t>
            </w:r>
            <w:r>
              <w:rPr>
                <w:rFonts w:hint="default" w:ascii="Times New Roman" w:hAnsi="Times New Roman" w:cs="Times New Roman"/>
                <w:color w:val="auto"/>
                <w:sz w:val="24"/>
                <w:szCs w:val="24"/>
                <w:vertAlign w:val="subscript"/>
              </w:rPr>
              <w:t>L</w:t>
            </w:r>
            <w:r>
              <w:rPr>
                <w:rFonts w:hint="default" w:ascii="Times New Roman" w:hAnsi="Times New Roman" w:cs="Times New Roman"/>
                <w:color w:val="auto"/>
                <w:sz w:val="24"/>
                <w:szCs w:val="24"/>
              </w:rPr>
              <w:t>=α</w:t>
            </w:r>
            <w:r>
              <w:rPr>
                <w:rFonts w:hint="default" w:ascii="Times New Roman" w:hAnsi="Times New Roman" w:cs="Times New Roman"/>
                <w:color w:val="auto"/>
                <w:sz w:val="24"/>
                <w:szCs w:val="24"/>
                <w:vertAlign w:val="subscript"/>
              </w:rPr>
              <w:t>L</w:t>
            </w:r>
            <w:r>
              <w:rPr>
                <w:rFonts w:hint="default" w:ascii="Times New Roman" w:hAnsi="Times New Roman" w:cs="Times New Roman"/>
                <w:color w:val="auto"/>
                <w:sz w:val="24"/>
                <w:szCs w:val="24"/>
              </w:rPr>
              <w:t>×u=0.274m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D</w:t>
            </w:r>
            <w:r>
              <w:rPr>
                <w:rFonts w:hint="default" w:ascii="Times New Roman" w:hAnsi="Times New Roman" w:cs="Times New Roman"/>
                <w:color w:val="auto"/>
                <w:sz w:val="24"/>
                <w:szCs w:val="24"/>
                <w:vertAlign w:val="subscript"/>
              </w:rPr>
              <w:t>T</w:t>
            </w:r>
            <w:r>
              <w:rPr>
                <w:rFonts w:hint="default" w:ascii="Times New Roman" w:hAnsi="Times New Roman" w:cs="Times New Roman"/>
                <w:color w:val="auto"/>
                <w:sz w:val="24"/>
                <w:szCs w:val="24"/>
              </w:rPr>
              <w:t>—横向y方向的弥散系数，m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/d，横向弥散度α</w:t>
            </w:r>
            <w:r>
              <w:rPr>
                <w:rFonts w:hint="default" w:ascii="Times New Roman" w:hAnsi="Times New Roman" w:cs="Times New Roman"/>
                <w:color w:val="auto"/>
                <w:sz w:val="24"/>
                <w:szCs w:val="24"/>
                <w:vertAlign w:val="subscript"/>
              </w:rPr>
              <w:t>T</w:t>
            </w:r>
            <w:r>
              <w:rPr>
                <w:rFonts w:hint="default" w:ascii="Times New Roman" w:hAnsi="Times New Roman" w:cs="Times New Roman"/>
                <w:color w:val="auto"/>
                <w:sz w:val="24"/>
                <w:szCs w:val="24"/>
              </w:rPr>
              <w:t>=α</w:t>
            </w:r>
            <w:r>
              <w:rPr>
                <w:rFonts w:hint="default" w:ascii="Times New Roman" w:hAnsi="Times New Roman" w:cs="Times New Roman"/>
                <w:color w:val="auto"/>
                <w:sz w:val="24"/>
                <w:szCs w:val="24"/>
                <w:vertAlign w:val="subscript"/>
              </w:rPr>
              <w:t>L</w:t>
            </w:r>
            <w:r>
              <w:rPr>
                <w:rFonts w:hint="default" w:ascii="Times New Roman" w:hAnsi="Times New Roman" w:cs="Times New Roman"/>
                <w:color w:val="auto"/>
                <w:sz w:val="24"/>
                <w:szCs w:val="24"/>
              </w:rPr>
              <w:t>×0.1，横向弥散系数D</w:t>
            </w:r>
            <w:r>
              <w:rPr>
                <w:rFonts w:hint="default" w:ascii="Times New Roman" w:hAnsi="Times New Roman" w:cs="Times New Roman"/>
                <w:color w:val="auto"/>
                <w:sz w:val="24"/>
                <w:szCs w:val="24"/>
                <w:vertAlign w:val="subscript"/>
              </w:rPr>
              <w:t>T</w:t>
            </w:r>
            <w:r>
              <w:rPr>
                <w:rFonts w:hint="default" w:ascii="Times New Roman" w:hAnsi="Times New Roman" w:cs="Times New Roman"/>
                <w:color w:val="auto"/>
                <w:sz w:val="24"/>
                <w:szCs w:val="24"/>
              </w:rPr>
              <w:t>=α</w:t>
            </w:r>
            <w:r>
              <w:rPr>
                <w:rFonts w:hint="default" w:ascii="Times New Roman" w:hAnsi="Times New Roman" w:cs="Times New Roman"/>
                <w:color w:val="auto"/>
                <w:sz w:val="24"/>
                <w:szCs w:val="24"/>
                <w:vertAlign w:val="subscript"/>
              </w:rPr>
              <w:t>T</w:t>
            </w:r>
            <w:r>
              <w:rPr>
                <w:rFonts w:hint="default" w:ascii="Times New Roman" w:hAnsi="Times New Roman" w:cs="Times New Roman"/>
                <w:color w:val="auto"/>
                <w:sz w:val="24"/>
                <w:szCs w:val="24"/>
              </w:rPr>
              <w:t>×u=0.0274m</w:t>
            </w:r>
            <w:r>
              <w:rPr>
                <w:rFonts w:hint="default" w:ascii="Times New Roman" w:hAnsi="Times New Roman" w:cs="Times New Roman"/>
                <w:color w:val="auto"/>
                <w:sz w:val="24"/>
                <w:szCs w:val="24"/>
                <w:vertAlign w:val="superscript"/>
              </w:rPr>
              <w:t>2</w:t>
            </w:r>
            <w:r>
              <w:rPr>
                <w:rFonts w:hint="default" w:ascii="Times New Roman" w:hAnsi="Times New Roman" w:cs="Times New Roman"/>
                <w:color w:val="auto"/>
                <w:sz w:val="24"/>
                <w:szCs w:val="24"/>
              </w:rPr>
              <w:t>/d；</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π—圆周率；</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m</w:t>
            </w:r>
            <w:r>
              <w:rPr>
                <w:rFonts w:hint="default" w:ascii="Times New Roman" w:hAnsi="Times New Roman" w:cs="Times New Roman"/>
                <w:color w:val="auto"/>
                <w:sz w:val="24"/>
                <w:szCs w:val="24"/>
                <w:vertAlign w:val="subscript"/>
              </w:rPr>
              <w:t>M</w:t>
            </w:r>
            <w:r>
              <w:rPr>
                <w:rFonts w:hint="default" w:ascii="Times New Roman" w:hAnsi="Times New Roman" w:cs="Times New Roman"/>
                <w:color w:val="auto"/>
                <w:sz w:val="24"/>
                <w:szCs w:val="24"/>
              </w:rPr>
              <w:t>—长度为M的线源瞬时注入示踪剂的质量。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次模拟预测根据非正常状况下情景设计，在选定优先控制污染物的基础上，分别对地下水污染物在不同时段的运移距离、超标范围和影响范围进行模拟预测。污染物标准限值参照《地表水环境质量标准》（GB3838-2002）中Ⅲ类标准执行（石油类标准限值≤0.05mg/L）。</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4）预测结果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非正常状况下污染物在含水层中运移，在水动力弥散作用下，瞬时注入的污染物将产生呈椭圆形污染晕，污染晕中污染物浓度由中心向四周逐渐降低。随着水动力弥散作用，污染晕将沿水流方向向下游运移，污染晕面积也会随时间的推移逐渐缩小。参考《地下水质量标准》（GB/T14848-2017）和《地表水环境质量标准》（GB3838-2002）中Ⅲ类标准，水质各项指标不得低于III类水的标准，因此本次预测在研究污染晕运移时，选取石油类的III类水质标准浓度（0.05mg/L）作为超标范围污染晕前锋值，污染物检出限（0.01mg/L）作为影响范围污染晕前锋值，判断污染晕运移距离及影响范围。</w:t>
            </w:r>
          </w:p>
          <w:p>
            <w:pPr>
              <w:keepNext w:val="0"/>
              <w:keepLines w:val="0"/>
              <w:pageBreakBefore w:val="0"/>
              <w:widowControl w:val="0"/>
              <w:kinsoku/>
              <w:wordWrap/>
              <w:overflowPunct/>
              <w:topLinePunct w:val="0"/>
              <w:autoSpaceDE/>
              <w:autoSpaceDN/>
              <w:bidi w:val="0"/>
              <w:adjustRightInd/>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rPr>
            </w:pPr>
            <w:r>
              <w:rPr>
                <w:rFonts w:hint="default" w:ascii="Times New Roman" w:hAnsi="Times New Roman" w:cs="Times New Roman"/>
                <w:snapToGrid w:val="0"/>
                <w:color w:val="auto"/>
                <w:sz w:val="24"/>
                <w:szCs w:val="24"/>
              </w:rPr>
              <w:t>在本次预测中，预测了石油类在不同时间段的运移情况，主要分析了预测因子的运移距离、污染晕的最大浓度、超标范围和污染晕前锋线是否运移出罐区等情况。预测结果见表</w:t>
            </w: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lang w:eastAsia="zh-CN"/>
              </w:rPr>
              <w:t>2。</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表</w:t>
            </w:r>
            <w:r>
              <w:rPr>
                <w:rFonts w:hint="default" w:ascii="Times New Roman" w:hAnsi="Times New Roman" w:cs="Times New Roman"/>
                <w:b/>
                <w:color w:val="auto"/>
                <w:sz w:val="24"/>
                <w:szCs w:val="24"/>
                <w:lang w:val="en-US" w:eastAsia="zh-CN"/>
              </w:rPr>
              <w:t>3</w:t>
            </w:r>
            <w:r>
              <w:rPr>
                <w:rFonts w:hint="default" w:ascii="Times New Roman" w:hAnsi="Times New Roman" w:cs="Times New Roman"/>
                <w:b/>
                <w:color w:val="auto"/>
                <w:sz w:val="24"/>
                <w:szCs w:val="24"/>
                <w:lang w:eastAsia="zh-CN"/>
              </w:rPr>
              <w:t>2</w:t>
            </w:r>
            <w:r>
              <w:rPr>
                <w:rFonts w:hint="default" w:ascii="Times New Roman" w:hAnsi="Times New Roman" w:cs="Times New Roman"/>
                <w:b/>
                <w:color w:val="auto"/>
                <w:sz w:val="24"/>
                <w:szCs w:val="24"/>
              </w:rPr>
              <w:t xml:space="preserve"> 石油类预测结果统计表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186"/>
              <w:gridCol w:w="1187"/>
              <w:gridCol w:w="1230"/>
              <w:gridCol w:w="1197"/>
              <w:gridCol w:w="1170"/>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341" w:type="dxa"/>
                  <w:gridSpan w:val="2"/>
                  <w:tcBorders>
                    <w:tl2br w:val="single" w:color="auto" w:sz="4" w:space="0"/>
                  </w:tcBorders>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w:t>
                  </w:r>
                </w:p>
                <w:p>
                  <w:pPr>
                    <w:spacing w:line="360" w:lineRule="exact"/>
                    <w:jc w:val="center"/>
                    <w:rPr>
                      <w:rFonts w:hint="default" w:ascii="Times New Roman" w:hAnsi="Times New Roman" w:cs="Times New Roman"/>
                      <w:color w:val="auto"/>
                      <w:sz w:val="21"/>
                      <w:szCs w:val="21"/>
                    </w:rPr>
                  </w:pPr>
                </w:p>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预测时间</w:t>
                  </w:r>
                </w:p>
              </w:tc>
              <w:tc>
                <w:tcPr>
                  <w:tcW w:w="1187" w:type="dxa"/>
                  <w:noWrap w:val="0"/>
                  <w:vAlign w:val="center"/>
                </w:tcPr>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前锋线运移距离</w:t>
                  </w:r>
                </w:p>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（m）</w:t>
                  </w:r>
                </w:p>
              </w:tc>
              <w:tc>
                <w:tcPr>
                  <w:tcW w:w="1230" w:type="dxa"/>
                  <w:noWrap w:val="0"/>
                  <w:vAlign w:val="center"/>
                </w:tcPr>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中心点</w:t>
                  </w:r>
                </w:p>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浓度（mg/l）</w:t>
                  </w:r>
                </w:p>
              </w:tc>
              <w:tc>
                <w:tcPr>
                  <w:tcW w:w="1197" w:type="dxa"/>
                  <w:noWrap w:val="0"/>
                  <w:vAlign w:val="center"/>
                </w:tcPr>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估算</w:t>
                  </w:r>
                </w:p>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面积</w:t>
                  </w:r>
                </w:p>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（m</w:t>
                  </w:r>
                  <w:r>
                    <w:rPr>
                      <w:rFonts w:hint="default" w:ascii="Times New Roman" w:hAnsi="Times New Roman" w:cs="Times New Roman"/>
                      <w:color w:val="auto"/>
                      <w:spacing w:val="-10"/>
                      <w:sz w:val="21"/>
                      <w:szCs w:val="21"/>
                      <w:vertAlign w:val="superscript"/>
                    </w:rPr>
                    <w:t>2</w:t>
                  </w:r>
                  <w:r>
                    <w:rPr>
                      <w:rFonts w:hint="default" w:ascii="Times New Roman" w:hAnsi="Times New Roman" w:cs="Times New Roman"/>
                      <w:color w:val="auto"/>
                      <w:spacing w:val="-10"/>
                      <w:sz w:val="21"/>
                      <w:szCs w:val="21"/>
                    </w:rPr>
                    <w:t>）</w:t>
                  </w:r>
                </w:p>
              </w:tc>
              <w:tc>
                <w:tcPr>
                  <w:tcW w:w="1170" w:type="dxa"/>
                  <w:noWrap w:val="0"/>
                  <w:vAlign w:val="center"/>
                </w:tcPr>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是否运移出罐区</w:t>
                  </w:r>
                </w:p>
              </w:tc>
              <w:tc>
                <w:tcPr>
                  <w:tcW w:w="1171" w:type="dxa"/>
                  <w:noWrap w:val="0"/>
                  <w:vAlign w:val="center"/>
                </w:tcPr>
                <w:p>
                  <w:pPr>
                    <w:spacing w:line="24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kern w:val="2"/>
                      <w:sz w:val="21"/>
                      <w:szCs w:val="21"/>
                    </w:rPr>
                    <w:t>超出罐区最远距离（m）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100d</w:t>
                  </w: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超标范围</w:t>
                  </w:r>
                </w:p>
              </w:tc>
              <w:tc>
                <w:tcPr>
                  <w:tcW w:w="1187" w:type="dxa"/>
                  <w:noWrap w:val="0"/>
                  <w:vAlign w:val="center"/>
                </w:tcPr>
                <w:p>
                  <w:pPr>
                    <w:spacing w:line="36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14.5</w:t>
                  </w:r>
                </w:p>
              </w:tc>
              <w:tc>
                <w:tcPr>
                  <w:tcW w:w="1230" w:type="dxa"/>
                  <w:vMerge w:val="restart"/>
                  <w:noWrap w:val="0"/>
                  <w:vAlign w:val="center"/>
                </w:tcPr>
                <w:p>
                  <w:pPr>
                    <w:spacing w:line="36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1.42</w:t>
                  </w:r>
                </w:p>
              </w:tc>
              <w:tc>
                <w:tcPr>
                  <w:tcW w:w="1197" w:type="dxa"/>
                  <w:noWrap w:val="0"/>
                  <w:vAlign w:val="center"/>
                </w:tcPr>
                <w:p>
                  <w:pPr>
                    <w:spacing w:line="360" w:lineRule="exact"/>
                    <w:jc w:val="center"/>
                    <w:rPr>
                      <w:rFonts w:hint="default" w:ascii="Times New Roman" w:hAnsi="Times New Roman" w:cs="Times New Roman"/>
                      <w:color w:val="auto"/>
                      <w:spacing w:val="-10"/>
                      <w:sz w:val="21"/>
                      <w:szCs w:val="21"/>
                    </w:rPr>
                  </w:pPr>
                  <w:r>
                    <w:rPr>
                      <w:rFonts w:hint="default" w:ascii="Times New Roman" w:hAnsi="Times New Roman" w:cs="Times New Roman"/>
                      <w:color w:val="auto"/>
                      <w:spacing w:val="-10"/>
                      <w:sz w:val="21"/>
                      <w:szCs w:val="21"/>
                    </w:rPr>
                    <w:t>176.13</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影响范围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24.9</w:t>
                  </w:r>
                </w:p>
              </w:tc>
              <w:tc>
                <w:tcPr>
                  <w:tcW w:w="1230"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566.75</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1000d</w:t>
                  </w: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超标范围</w:t>
                  </w:r>
                </w:p>
              </w:tc>
              <w:tc>
                <w:tcPr>
                  <w:tcW w:w="1187" w:type="dxa"/>
                  <w:noWrap w:val="0"/>
                  <w:vAlign w:val="center"/>
                </w:tcPr>
                <w:p>
                  <w:pPr>
                    <w:spacing w:line="360" w:lineRule="exact"/>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25.7</w:t>
                  </w:r>
                </w:p>
              </w:tc>
              <w:tc>
                <w:tcPr>
                  <w:tcW w:w="1230"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0.142</w:t>
                  </w:r>
                </w:p>
              </w:tc>
              <w:tc>
                <w:tcPr>
                  <w:tcW w:w="1197" w:type="dxa"/>
                  <w:noWrap w:val="0"/>
                  <w:vAlign w:val="center"/>
                </w:tcPr>
                <w:p>
                  <w:pPr>
                    <w:spacing w:line="360" w:lineRule="exact"/>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580.28</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否</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影响范围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67.7</w:t>
                  </w:r>
                </w:p>
              </w:tc>
              <w:tc>
                <w:tcPr>
                  <w:tcW w:w="1230"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2907.39</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5000d</w:t>
                  </w: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超标范围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230"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0.028</w:t>
                  </w: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影响范围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144.2</w:t>
                  </w:r>
                </w:p>
              </w:tc>
              <w:tc>
                <w:tcPr>
                  <w:tcW w:w="1230"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5689.22</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10000d</w:t>
                  </w: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超标范围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230" w:type="dxa"/>
                  <w:vMerge w:val="restart"/>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0.014</w:t>
                  </w: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55"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86"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影响范围</w:t>
                  </w:r>
                </w:p>
              </w:tc>
              <w:tc>
                <w:tcPr>
                  <w:tcW w:w="118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199.1</w:t>
                  </w:r>
                </w:p>
              </w:tc>
              <w:tc>
                <w:tcPr>
                  <w:tcW w:w="1230" w:type="dxa"/>
                  <w:vMerge w:val="continue"/>
                  <w:noWrap w:val="0"/>
                  <w:vAlign w:val="center"/>
                </w:tcPr>
                <w:p>
                  <w:pPr>
                    <w:spacing w:line="360" w:lineRule="exact"/>
                    <w:jc w:val="center"/>
                    <w:rPr>
                      <w:rFonts w:hint="default" w:ascii="Times New Roman" w:hAnsi="Times New Roman" w:cs="Times New Roman"/>
                      <w:color w:val="auto"/>
                      <w:sz w:val="21"/>
                      <w:szCs w:val="21"/>
                    </w:rPr>
                  </w:pPr>
                </w:p>
              </w:tc>
              <w:tc>
                <w:tcPr>
                  <w:tcW w:w="1197"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3823.07</w:t>
                  </w:r>
                </w:p>
              </w:tc>
              <w:tc>
                <w:tcPr>
                  <w:tcW w:w="1170"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1171" w:type="dxa"/>
                  <w:noWrap w:val="0"/>
                  <w:vAlign w:val="center"/>
                </w:tcPr>
                <w:p>
                  <w:pPr>
                    <w:spacing w:line="36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181.1</w:t>
                  </w:r>
                </w:p>
              </w:tc>
            </w:tr>
          </w:tbl>
          <w:p>
            <w:pPr>
              <w:keepNext w:val="0"/>
              <w:keepLines w:val="0"/>
              <w:pageBreakBefore w:val="0"/>
              <w:widowControl w:val="0"/>
              <w:kinsoku/>
              <w:wordWrap/>
              <w:overflowPunct/>
              <w:topLinePunct w:val="0"/>
              <w:autoSpaceDE/>
              <w:autoSpaceDN/>
              <w:bidi w:val="0"/>
              <w:adjustRightInd/>
              <w:snapToGrid w:val="0"/>
              <w:spacing w:before="167" w:beforeLines="50" w:line="360" w:lineRule="auto"/>
              <w:ind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5）预测结果分析</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lang w:val="en-US" w:eastAsia="zh-CN"/>
              </w:rPr>
              <w:t>①</w:t>
            </w:r>
            <w:r>
              <w:rPr>
                <w:rFonts w:hint="default" w:ascii="Times New Roman" w:hAnsi="Times New Roman" w:cs="Times New Roman"/>
                <w:color w:val="auto"/>
                <w:sz w:val="24"/>
              </w:rPr>
              <w:t>在正常状况下，设施的维护和管理有专人负责，防止油料的跑冒滴漏和非正常状况发生。本项目设计已按照《石油化工工程防渗技术规范》（GB/T50934-2013）中的要求对地面及构筑物进行防渗处理，不会对地下水环境造成影响。</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cs="Times New Roman"/>
                <w:color w:val="auto"/>
                <w:kern w:val="2"/>
                <w:sz w:val="24"/>
                <w:szCs w:val="22"/>
              </w:rPr>
            </w:pPr>
            <w:r>
              <w:rPr>
                <w:rFonts w:hint="default" w:ascii="Times New Roman" w:hAnsi="Times New Roman" w:cs="Times New Roman"/>
                <w:color w:val="auto"/>
                <w:kern w:val="2"/>
                <w:sz w:val="24"/>
                <w:szCs w:val="22"/>
              </w:rPr>
              <w:t>b、非正常状况下</w:t>
            </w:r>
            <w:r>
              <w:rPr>
                <w:rFonts w:hint="default" w:ascii="Times New Roman" w:hAnsi="Times New Roman" w:cs="Times New Roman"/>
                <w:color w:val="auto"/>
                <w:kern w:val="2"/>
                <w:sz w:val="24"/>
                <w:szCs w:val="22"/>
                <w:lang w:eastAsia="zh-CN"/>
              </w:rPr>
              <w:t>，</w:t>
            </w:r>
            <w:r>
              <w:rPr>
                <w:rFonts w:hint="default" w:ascii="Times New Roman" w:hAnsi="Times New Roman" w:cs="Times New Roman"/>
                <w:color w:val="auto"/>
                <w:kern w:val="2"/>
                <w:sz w:val="24"/>
                <w:szCs w:val="22"/>
              </w:rPr>
              <w:t>污染物浓度、影响范围均逐渐降低，并最终稀释、扩散至标准限值以下。现对污染物泄露100d、1000d、5000d、10000d预测结果分析如下：</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cs="Times New Roman"/>
                <w:color w:val="auto"/>
                <w:kern w:val="2"/>
                <w:sz w:val="24"/>
                <w:szCs w:val="22"/>
              </w:rPr>
            </w:pPr>
            <w:r>
              <w:rPr>
                <w:rFonts w:hint="default" w:ascii="Times New Roman" w:hAnsi="Times New Roman" w:cs="Times New Roman"/>
                <w:color w:val="auto"/>
                <w:kern w:val="2"/>
                <w:sz w:val="24"/>
                <w:szCs w:val="22"/>
              </w:rPr>
              <w:t>污染物泄漏100d后，污染晕中心点浓度为1.42mg/L，在罐区范围内出现小范围超标，超标范围为176.13m</w:t>
            </w:r>
            <w:r>
              <w:rPr>
                <w:rFonts w:hint="default" w:ascii="Times New Roman" w:hAnsi="Times New Roman" w:cs="Times New Roman"/>
                <w:color w:val="auto"/>
                <w:kern w:val="2"/>
                <w:sz w:val="24"/>
                <w:szCs w:val="22"/>
                <w:vertAlign w:val="superscript"/>
              </w:rPr>
              <w:t>2</w:t>
            </w:r>
            <w:r>
              <w:rPr>
                <w:rFonts w:hint="default" w:ascii="Times New Roman" w:hAnsi="Times New Roman" w:cs="Times New Roman"/>
                <w:color w:val="auto"/>
                <w:kern w:val="2"/>
                <w:sz w:val="24"/>
                <w:szCs w:val="22"/>
              </w:rPr>
              <w:t>，超标最远距离为14.5m，影响范围466.75m</w:t>
            </w:r>
            <w:r>
              <w:rPr>
                <w:rFonts w:hint="default" w:ascii="Times New Roman" w:hAnsi="Times New Roman" w:cs="Times New Roman"/>
                <w:color w:val="auto"/>
                <w:kern w:val="2"/>
                <w:sz w:val="24"/>
                <w:szCs w:val="22"/>
                <w:vertAlign w:val="superscript"/>
              </w:rPr>
              <w:t>2</w:t>
            </w:r>
            <w:r>
              <w:rPr>
                <w:rFonts w:hint="default" w:ascii="Times New Roman" w:hAnsi="Times New Roman" w:cs="Times New Roman"/>
                <w:color w:val="auto"/>
                <w:kern w:val="2"/>
                <w:sz w:val="24"/>
                <w:szCs w:val="22"/>
              </w:rPr>
              <w:t>，影响范围污染晕前锋线最远运移距离24.9m，超出罐区最远距离6.9m。</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污染物泄漏1000d后，污染晕中心点浓度为0.142mg/L，此时污染物浓度已经低于石油类污染物标准限值（0.</w:t>
            </w:r>
            <w:r>
              <w:rPr>
                <w:rFonts w:hint="default" w:ascii="Times New Roman" w:hAnsi="Times New Roman" w:eastAsia="宋体" w:cs="Times New Roman"/>
                <w:color w:val="auto"/>
                <w:sz w:val="24"/>
                <w:szCs w:val="24"/>
                <w:lang w:val="en-US" w:eastAsia="zh-CN"/>
              </w:rPr>
              <w:t>05</w:t>
            </w:r>
            <w:r>
              <w:rPr>
                <w:rFonts w:hint="default" w:ascii="Times New Roman" w:hAnsi="Times New Roman" w:eastAsia="宋体" w:cs="Times New Roman"/>
                <w:color w:val="auto"/>
                <w:sz w:val="24"/>
                <w:szCs w:val="24"/>
              </w:rPr>
              <w:t>mg/L）；影响范围2907.39m</w:t>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rPr>
              <w:t>，影响范围污染晕前锋线最远运移距离67.7m，超出罐区最远距离43.7m。</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cs="Times New Roman"/>
                <w:color w:val="auto"/>
                <w:kern w:val="2"/>
                <w:sz w:val="24"/>
                <w:szCs w:val="22"/>
              </w:rPr>
            </w:pPr>
            <w:r>
              <w:rPr>
                <w:rFonts w:hint="default" w:ascii="Times New Roman" w:hAnsi="Times New Roman" w:cs="Times New Roman"/>
                <w:color w:val="auto"/>
                <w:kern w:val="2"/>
                <w:sz w:val="24"/>
                <w:szCs w:val="22"/>
              </w:rPr>
              <w:t>污染物泄漏5000d后，污染晕中心点浓度为0.014mg/L，此时污染物浓度已经低于石油类污染物标准限值（0.</w:t>
            </w:r>
            <w:r>
              <w:rPr>
                <w:rFonts w:hint="default" w:ascii="Times New Roman" w:hAnsi="Times New Roman" w:cs="Times New Roman"/>
                <w:color w:val="auto"/>
                <w:kern w:val="2"/>
                <w:sz w:val="24"/>
                <w:szCs w:val="22"/>
                <w:lang w:val="en-US" w:eastAsia="zh-CN"/>
              </w:rPr>
              <w:t>05</w:t>
            </w:r>
            <w:r>
              <w:rPr>
                <w:rFonts w:hint="default" w:ascii="Times New Roman" w:hAnsi="Times New Roman" w:cs="Times New Roman"/>
                <w:color w:val="auto"/>
                <w:kern w:val="2"/>
                <w:sz w:val="24"/>
                <w:szCs w:val="22"/>
              </w:rPr>
              <w:t xml:space="preserve"> mg/L）；影响范围3823.07m</w:t>
            </w:r>
            <w:r>
              <w:rPr>
                <w:rFonts w:hint="default" w:ascii="Times New Roman" w:hAnsi="Times New Roman" w:cs="Times New Roman"/>
                <w:color w:val="auto"/>
                <w:kern w:val="2"/>
                <w:sz w:val="24"/>
                <w:szCs w:val="22"/>
                <w:vertAlign w:val="superscript"/>
              </w:rPr>
              <w:t>2</w:t>
            </w:r>
            <w:r>
              <w:rPr>
                <w:rFonts w:hint="default" w:ascii="Times New Roman" w:hAnsi="Times New Roman" w:cs="Times New Roman"/>
                <w:color w:val="auto"/>
                <w:kern w:val="2"/>
                <w:sz w:val="24"/>
                <w:szCs w:val="22"/>
              </w:rPr>
              <w:t>，影响范围污染晕前锋线最远运移距离144.2m，超出罐区最远距离126.2m。</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default" w:ascii="Times New Roman" w:hAnsi="Times New Roman" w:cs="Times New Roman"/>
                <w:color w:val="auto"/>
                <w:kern w:val="2"/>
                <w:sz w:val="24"/>
                <w:szCs w:val="22"/>
              </w:rPr>
            </w:pPr>
            <w:r>
              <w:rPr>
                <w:rFonts w:hint="default" w:ascii="Times New Roman" w:hAnsi="Times New Roman" w:cs="Times New Roman"/>
                <w:color w:val="auto"/>
                <w:kern w:val="2"/>
                <w:sz w:val="24"/>
                <w:szCs w:val="22"/>
              </w:rPr>
              <w:t>污染物泄漏10000d后，污染晕中心点浓度为0.014mg/L，此时污染物浓度已经低于石油类污染物标准限值（0.</w:t>
            </w:r>
            <w:r>
              <w:rPr>
                <w:rFonts w:hint="default" w:ascii="Times New Roman" w:hAnsi="Times New Roman" w:cs="Times New Roman"/>
                <w:color w:val="auto"/>
                <w:kern w:val="2"/>
                <w:sz w:val="24"/>
                <w:szCs w:val="22"/>
                <w:lang w:val="en-US" w:eastAsia="zh-CN"/>
              </w:rPr>
              <w:t>05</w:t>
            </w:r>
            <w:r>
              <w:rPr>
                <w:rFonts w:hint="default" w:ascii="Times New Roman" w:hAnsi="Times New Roman" w:cs="Times New Roman"/>
                <w:color w:val="auto"/>
                <w:kern w:val="2"/>
                <w:sz w:val="24"/>
                <w:szCs w:val="22"/>
              </w:rPr>
              <w:t>mg/L）；影响范围3823.07m</w:t>
            </w:r>
            <w:r>
              <w:rPr>
                <w:rFonts w:hint="default" w:ascii="Times New Roman" w:hAnsi="Times New Roman" w:cs="Times New Roman"/>
                <w:color w:val="auto"/>
                <w:kern w:val="2"/>
                <w:sz w:val="24"/>
                <w:szCs w:val="22"/>
                <w:vertAlign w:val="superscript"/>
              </w:rPr>
              <w:t>2</w:t>
            </w:r>
            <w:r>
              <w:rPr>
                <w:rFonts w:hint="default" w:ascii="Times New Roman" w:hAnsi="Times New Roman" w:cs="Times New Roman"/>
                <w:color w:val="auto"/>
                <w:kern w:val="2"/>
                <w:sz w:val="24"/>
                <w:szCs w:val="22"/>
              </w:rPr>
              <w:t>，影响范围污染晕前锋线最远运移距离199.1m，超出罐区最远距离181.1m。</w:t>
            </w:r>
          </w:p>
          <w:p>
            <w:pPr>
              <w:pStyle w:val="144"/>
              <w:keepNext w:val="0"/>
              <w:keepLines w:val="0"/>
              <w:pageBreakBefore w:val="0"/>
              <w:widowControl w:val="0"/>
              <w:kinsoku/>
              <w:wordWrap/>
              <w:overflowPunct/>
              <w:topLinePunct w:val="0"/>
              <w:autoSpaceDE/>
              <w:autoSpaceDN/>
              <w:bidi w:val="0"/>
              <w:snapToGrid w:val="0"/>
              <w:spacing w:line="360" w:lineRule="auto"/>
              <w:ind w:left="0" w:leftChars="0" w:firstLine="480" w:firstLineChars="200"/>
              <w:jc w:val="left"/>
              <w:textAlignment w:val="auto"/>
              <w:rPr>
                <w:rFonts w:hint="default" w:ascii="Times New Roman" w:hAnsi="Times New Roman" w:cs="Times New Roman"/>
                <w:color w:val="auto"/>
                <w:w w:val="100"/>
                <w:kern w:val="2"/>
                <w:sz w:val="24"/>
                <w:szCs w:val="22"/>
                <w:lang w:val="en-US" w:eastAsia="zh-CN" w:bidi="ar-SA"/>
              </w:rPr>
            </w:pPr>
            <w:r>
              <w:rPr>
                <w:rFonts w:hint="default" w:ascii="Times New Roman" w:hAnsi="Times New Roman" w:cs="Times New Roman"/>
                <w:color w:val="auto"/>
                <w:w w:val="100"/>
                <w:kern w:val="2"/>
                <w:sz w:val="24"/>
                <w:szCs w:val="22"/>
                <w:lang w:val="en-US" w:eastAsia="zh-CN" w:bidi="ar-SA"/>
              </w:rPr>
              <w:t>综上所述，正常工况下项目产生污染物不会对地下水环境造成影响；非正常工况设定源强下，项目如果不进行防渗处理措施，污染物泄露进入地下水后，污染晕影响范围随时间的推移，先增大至一定范围后逐渐减小。对</w:t>
            </w:r>
            <w:r>
              <w:rPr>
                <w:rFonts w:hint="default" w:ascii="Times New Roman" w:hAnsi="Times New Roman" w:cs="Times New Roman"/>
                <w:color w:val="auto"/>
                <w:w w:val="100"/>
                <w:kern w:val="2"/>
                <w:sz w:val="24"/>
                <w:szCs w:val="22"/>
                <w:lang w:eastAsia="zh-CN" w:bidi="ar-SA"/>
              </w:rPr>
              <w:t>罐区</w:t>
            </w:r>
            <w:r>
              <w:rPr>
                <w:rFonts w:hint="default" w:ascii="Times New Roman" w:hAnsi="Times New Roman" w:cs="Times New Roman"/>
                <w:color w:val="auto"/>
                <w:w w:val="100"/>
                <w:kern w:val="2"/>
                <w:sz w:val="24"/>
                <w:szCs w:val="22"/>
                <w:lang w:val="en-US" w:eastAsia="zh-CN" w:bidi="ar-SA"/>
              </w:rPr>
              <w:t>周边地下水环境将产生一定影响。因此，建设单位需加强设施的维护和管理，防止管道、阀门的跑冒滴漏和非正常状况情况发生，并严格按照《石油化工工程防渗技术规范》（GB/T50934-2013）中的防渗措施要求对</w:t>
            </w:r>
            <w:r>
              <w:rPr>
                <w:rFonts w:hint="default" w:ascii="Times New Roman" w:hAnsi="Times New Roman" w:cs="Times New Roman"/>
                <w:color w:val="auto"/>
                <w:w w:val="100"/>
                <w:kern w:val="2"/>
                <w:sz w:val="24"/>
                <w:szCs w:val="22"/>
                <w:lang w:eastAsia="zh-CN" w:bidi="ar-SA"/>
              </w:rPr>
              <w:t>罐区</w:t>
            </w:r>
            <w:r>
              <w:rPr>
                <w:rFonts w:hint="default" w:ascii="Times New Roman" w:hAnsi="Times New Roman" w:cs="Times New Roman"/>
                <w:color w:val="auto"/>
                <w:w w:val="100"/>
                <w:kern w:val="2"/>
                <w:sz w:val="24"/>
                <w:szCs w:val="22"/>
                <w:lang w:val="en-US" w:eastAsia="zh-CN" w:bidi="ar-SA"/>
              </w:rPr>
              <w:t>进行分区防渗处理，地下防渗措施应符合现行国家标准《地下工程防水技术规范》（GB50108-2011）的有关规定。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w w:val="100"/>
                <w:kern w:val="2"/>
                <w:sz w:val="24"/>
                <w:szCs w:val="24"/>
                <w:lang w:eastAsia="zh-CN" w:bidi="ar-SA"/>
              </w:rPr>
              <w:t>（3）</w:t>
            </w:r>
            <w:r>
              <w:rPr>
                <w:rFonts w:hint="default" w:ascii="Times New Roman" w:hAnsi="Times New Roman" w:cs="Times New Roman"/>
                <w:snapToGrid w:val="0"/>
                <w:color w:val="auto"/>
                <w:sz w:val="24"/>
                <w:szCs w:val="24"/>
                <w:lang w:val="en-US" w:eastAsia="zh-CN"/>
              </w:rPr>
              <w:t>地下水环境保护措施与对策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地下水环境影响预测和评价结果显示，在没有适当的地下水防护措施情况下，项目粗白油渗漏将对周边及下游的地下水环境构成威胁。为了确保地下水环境不受污染，需采取适当的防护及管理措施。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针对项目可能发生的地下水污染情景，本项目按照“源头控制、分区防治、污染监控</w:t>
            </w:r>
            <w:r>
              <w:rPr>
                <w:rFonts w:hint="default" w:ascii="Times New Roman" w:hAnsi="Times New Roman" w:cs="Times New Roman"/>
                <w:color w:val="auto"/>
                <w:sz w:val="24"/>
                <w:szCs w:val="24"/>
                <w:lang w:eastAsia="zh-CN"/>
              </w:rPr>
              <w:t>、应急响应</w:t>
            </w:r>
            <w:r>
              <w:rPr>
                <w:rFonts w:hint="default" w:ascii="Times New Roman" w:hAnsi="Times New Roman" w:cs="Times New Roman"/>
                <w:color w:val="auto"/>
                <w:sz w:val="24"/>
                <w:szCs w:val="24"/>
              </w:rPr>
              <w:t>”相结合的原则制定了地下水污染防治措施，从污染物的产生、入渗、扩散、应急响应等全阶段进行控制，具体措施如下：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 xml:space="preserve">源头控制措施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项目应根据国家现行相关规范加强环境管理，采取防止和降低污染物跑、冒、滴、 漏的措施。正常运营过程中应加强控制及处理机修过程中污染物跑、冒、滴、漏，同时 应加强对防渗工程的检查，若发现防渗密封材料老化或损坏，应及时维修更换。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rPr>
              <w:t xml:space="preserve">分区防治措施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snapToGrid w:val="0"/>
                <w:color w:val="auto"/>
                <w:sz w:val="24"/>
                <w:szCs w:val="24"/>
              </w:rPr>
              <w:t>依据《石油化工工程防渗技术规范》（</w:t>
            </w:r>
            <w:r>
              <w:rPr>
                <w:rFonts w:hint="default" w:ascii="Times New Roman" w:hAnsi="Times New Roman" w:cs="Times New Roman"/>
                <w:color w:val="auto"/>
                <w:sz w:val="24"/>
                <w:szCs w:val="24"/>
              </w:rPr>
              <w:t>GB/T50934-2013</w:t>
            </w:r>
            <w:r>
              <w:rPr>
                <w:rFonts w:hint="default" w:ascii="Times New Roman" w:hAnsi="Times New Roman" w:cs="Times New Roman"/>
                <w:snapToGrid w:val="0"/>
                <w:color w:val="auto"/>
                <w:sz w:val="24"/>
                <w:szCs w:val="24"/>
              </w:rPr>
              <w:t>）和</w:t>
            </w:r>
            <w:r>
              <w:rPr>
                <w:rFonts w:hint="default" w:ascii="Times New Roman" w:hAnsi="Times New Roman" w:cs="Times New Roman"/>
                <w:color w:val="auto"/>
                <w:sz w:val="24"/>
                <w:szCs w:val="24"/>
              </w:rPr>
              <w:t xml:space="preserve">《环境影响评价技术导则—地下水环境》（HJ610-2016）要求，项目按各功能单元所处的位置划分为重点防渗区、一般防渗区以及简单防渗区三类地下水污染防治区域：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重点防渗区包括：罐区、管线、装卸站。要求:等效黏土防渗层Mb≧6m，渗透系数K≦1×10</w:t>
            </w:r>
            <w:r>
              <w:rPr>
                <w:rFonts w:hint="default" w:ascii="Times New Roman" w:hAnsi="Times New Roman" w:cs="Times New Roman"/>
                <w:color w:val="auto"/>
                <w:sz w:val="24"/>
                <w:szCs w:val="24"/>
                <w:vertAlign w:val="superscript"/>
              </w:rPr>
              <w:t>-7</w:t>
            </w:r>
            <w:r>
              <w:rPr>
                <w:rFonts w:hint="default" w:ascii="Times New Roman" w:hAnsi="Times New Roman" w:cs="Times New Roman"/>
                <w:color w:val="auto"/>
                <w:sz w:val="24"/>
                <w:szCs w:val="24"/>
              </w:rPr>
              <w:t xml:space="preserve"> cm/s。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一般防渗区包括：事故池。要求:等效黏土防渗层Mb≧1.5m，渗透系数K≦1×10</w:t>
            </w:r>
            <w:r>
              <w:rPr>
                <w:rFonts w:hint="default" w:ascii="Times New Roman" w:hAnsi="Times New Roman" w:cs="Times New Roman"/>
                <w:color w:val="auto"/>
                <w:sz w:val="24"/>
                <w:szCs w:val="24"/>
                <w:vertAlign w:val="superscript"/>
              </w:rPr>
              <w:t>-7</w:t>
            </w:r>
            <w:r>
              <w:rPr>
                <w:rFonts w:hint="default" w:ascii="Times New Roman" w:hAnsi="Times New Roman" w:cs="Times New Roman"/>
                <w:color w:val="auto"/>
                <w:sz w:val="24"/>
                <w:szCs w:val="24"/>
              </w:rPr>
              <w:t xml:space="preserve"> cm/s。 </w:t>
            </w:r>
          </w:p>
          <w:p>
            <w:pPr>
              <w:pStyle w:val="12"/>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简单防渗区：办公区。要求：一般地面硬化。</w:t>
            </w:r>
          </w:p>
          <w:p>
            <w:pPr>
              <w:pStyle w:val="144"/>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left"/>
              <w:textAlignment w:val="auto"/>
              <w:outlineLvl w:val="9"/>
              <w:rPr>
                <w:rFonts w:hint="default" w:ascii="Times New Roman" w:hAnsi="Times New Roman" w:cs="Times New Roman"/>
                <w:color w:val="auto"/>
                <w:w w:val="100"/>
                <w:kern w:val="2"/>
                <w:sz w:val="24"/>
                <w:szCs w:val="22"/>
                <w:lang w:eastAsia="zh-CN" w:bidi="ar-SA"/>
              </w:rPr>
            </w:pPr>
            <w:r>
              <w:rPr>
                <w:rFonts w:hint="default" w:ascii="Times New Roman" w:hAnsi="Times New Roman" w:cs="Times New Roman"/>
                <w:color w:val="auto"/>
                <w:w w:val="100"/>
                <w:kern w:val="2"/>
                <w:sz w:val="24"/>
                <w:szCs w:val="22"/>
                <w:lang w:eastAsia="zh-CN" w:bidi="ar-SA"/>
              </w:rPr>
              <w:t>3）跟踪监测计划</w:t>
            </w:r>
          </w:p>
          <w:p>
            <w:pPr>
              <w:pStyle w:val="144"/>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w w:val="100"/>
                <w:kern w:val="2"/>
                <w:sz w:val="24"/>
                <w:szCs w:val="24"/>
                <w:lang w:val="en-US" w:eastAsia="zh-CN" w:bidi="ar-SA"/>
              </w:rPr>
            </w:pPr>
            <w:r>
              <w:rPr>
                <w:rFonts w:hint="default" w:ascii="Times New Roman" w:hAnsi="Times New Roman" w:eastAsia="宋体" w:cs="Times New Roman"/>
                <w:color w:val="auto"/>
                <w:w w:val="100"/>
                <w:kern w:val="2"/>
                <w:sz w:val="24"/>
                <w:szCs w:val="24"/>
                <w:lang w:val="en-US" w:eastAsia="zh-CN" w:bidi="ar-SA"/>
              </w:rPr>
              <w:t>《环境影响评价技术导则—地下水环境》（HJ610-2016）要求地下水三级评价跟踪监测点位量一般不小于1个，应至少在建设项目场地下游布置1个。本项目需在罐区地下水下游布设1口监测井，监测井设置的其它要求参照《场地环境监测技术导则》（HJ25.2执行）。并委托有资质的环境监测单位定期对地下水进行监测。监测可通过肉眼观察、使用测油膏、便携式气体监测仪等快速监测方法对地下水监测井中是否存在油品污染，进行定性监测，每周1次，若定性监测未发现问题，则每季度监测1次；若发现地下水存在油品污染，立即启动定量监测。</w:t>
            </w:r>
          </w:p>
          <w:p>
            <w:pPr>
              <w:pStyle w:val="144"/>
              <w:keepNext w:val="0"/>
              <w:keepLines w:val="0"/>
              <w:pageBreakBefore w:val="0"/>
              <w:widowControl w:val="0"/>
              <w:kinsoku/>
              <w:wordWrap/>
              <w:overflowPunct/>
              <w:topLinePunct w:val="0"/>
              <w:autoSpaceDE/>
              <w:autoSpaceDN/>
              <w:bidi w:val="0"/>
              <w:snapToGrid w:val="0"/>
              <w:spacing w:line="360" w:lineRule="auto"/>
              <w:ind w:left="0" w:leftChars="0" w:right="0" w:rightChars="0" w:firstLine="480" w:firstLineChars="200"/>
              <w:jc w:val="left"/>
              <w:textAlignment w:val="auto"/>
              <w:outlineLvl w:val="9"/>
              <w:rPr>
                <w:rFonts w:hint="default" w:ascii="Times New Roman" w:hAnsi="Times New Roman" w:eastAsia="宋体" w:cs="Times New Roman"/>
                <w:color w:val="auto"/>
                <w:w w:val="100"/>
                <w:kern w:val="2"/>
                <w:sz w:val="24"/>
                <w:szCs w:val="24"/>
                <w:lang w:val="en-US" w:eastAsia="zh-CN" w:bidi="ar-SA"/>
              </w:rPr>
            </w:pPr>
            <w:r>
              <w:rPr>
                <w:rFonts w:hint="default" w:ascii="Times New Roman" w:hAnsi="Times New Roman" w:eastAsia="宋体" w:cs="Times New Roman"/>
                <w:color w:val="auto"/>
                <w:w w:val="100"/>
                <w:kern w:val="2"/>
                <w:sz w:val="24"/>
                <w:szCs w:val="24"/>
                <w:lang w:val="en-US" w:eastAsia="zh-CN" w:bidi="ar-SA"/>
              </w:rPr>
              <w:t>通过设置地下水监测井，定期对地下水水质变化情况进行监测，可有效防止罐区油品因泄漏引起的地下水污染，保证地下水安全。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制定地下水污染应急响应预案：必须制定地下水污染应急响应预案，明确应急体系、责任。污染状况下应采取的控制污染源、切断污染途径的措施。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综上所述，非正常工况设定源强下，项目如果不进行防渗处理措施，污染物泄露进入地下水后，将对罐区周边地下水环境产生一定影响。在严格按照相关规范落实本次评价建议的防腐、防渗、防渗漏检测等措施后，从环境保护角度讲，该项目建设对地下水环境的影响是可以接受的。</w:t>
            </w:r>
          </w:p>
          <w:p>
            <w:pPr>
              <w:overflowPunct w:val="0"/>
              <w:adjustRightIn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3．声环境影响分析</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本项目所在的声环境功能区为GB3095规定的3类地区，建设项目建设前后评价范围内敏感目标噪声级增高量在3dB（A）以下，且受影响人数数量变化不大依据《环境影响评价技术导则   声环境》（HJ 2.4-2009），声环境评价为三级评价。</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 噪声源调查分析</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本项目在正常运行时，主要噪声设备为泵和风机及进出车辆的噪声。噪声源强约为65～75dB(A)之间，经基础减振、防震等措施，可降低噪声。设备只在白天运行，夜间不运行。</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 噪声环境影响预测及分析评价</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本次噪声环境影响预测按照全部噪声源同时运转时产生噪声对项目区边界处声环境产生影响的极端情况进行预测。</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由于距离衰减、空气吸收、地面反射等因素作用，主要噪声源产生噪声强度呈现随传播距离增大而衰减规律，噪声衰减预测模式为：</w:t>
            </w:r>
          </w:p>
          <w:p>
            <w:pPr>
              <w:overflowPunct w:val="0"/>
              <w:adjustRightInd w:val="0"/>
              <w:snapToGrid w:val="0"/>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t>L</w:t>
            </w:r>
            <w:r>
              <w:rPr>
                <w:rFonts w:hint="default" w:ascii="Times New Roman" w:hAnsi="Times New Roman" w:cs="Times New Roman"/>
                <w:color w:val="auto"/>
                <w:sz w:val="24"/>
                <w:vertAlign w:val="subscript"/>
              </w:rPr>
              <w:t>p</w:t>
            </w:r>
            <w:r>
              <w:rPr>
                <w:rFonts w:hint="default" w:ascii="Times New Roman" w:hAnsi="Times New Roman" w:cs="Times New Roman"/>
                <w:color w:val="auto"/>
                <w:sz w:val="24"/>
              </w:rPr>
              <w:t>=L</w:t>
            </w:r>
            <w:r>
              <w:rPr>
                <w:rFonts w:hint="default" w:ascii="Times New Roman" w:hAnsi="Times New Roman" w:cs="Times New Roman"/>
                <w:color w:val="auto"/>
                <w:sz w:val="24"/>
                <w:vertAlign w:val="subscript"/>
              </w:rPr>
              <w:t>w</w:t>
            </w:r>
            <w:r>
              <w:rPr>
                <w:rFonts w:hint="default" w:ascii="Times New Roman" w:hAnsi="Times New Roman" w:cs="Times New Roman"/>
                <w:color w:val="auto"/>
                <w:sz w:val="24"/>
              </w:rPr>
              <w:t>-20lgr-K</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p</w:t>
            </w:r>
            <w:r>
              <w:rPr>
                <w:rFonts w:hint="default" w:ascii="Times New Roman" w:hAnsi="Times New Roman" w:cs="Times New Roman"/>
                <w:color w:val="auto"/>
                <w:sz w:val="24"/>
              </w:rPr>
              <w:t>：距噪声源r处A声级，dB(A)；</w:t>
            </w:r>
          </w:p>
          <w:p>
            <w:pPr>
              <w:overflowPunct w:val="0"/>
              <w:adjustRightInd w:val="0"/>
              <w:snapToGrid w:val="0"/>
              <w:spacing w:line="360" w:lineRule="auto"/>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L</w:t>
            </w:r>
            <w:r>
              <w:rPr>
                <w:rFonts w:hint="default" w:ascii="Times New Roman" w:hAnsi="Times New Roman" w:cs="Times New Roman"/>
                <w:color w:val="auto"/>
                <w:sz w:val="24"/>
                <w:vertAlign w:val="subscript"/>
              </w:rPr>
              <w:t>w</w:t>
            </w:r>
            <w:r>
              <w:rPr>
                <w:rFonts w:hint="default" w:ascii="Times New Roman" w:hAnsi="Times New Roman" w:cs="Times New Roman"/>
                <w:color w:val="auto"/>
                <w:sz w:val="24"/>
              </w:rPr>
              <w:t>：噪声源A声级，dB(A)；</w:t>
            </w:r>
          </w:p>
          <w:p>
            <w:pPr>
              <w:overflowPunct w:val="0"/>
              <w:adjustRightInd w:val="0"/>
              <w:snapToGrid w:val="0"/>
              <w:spacing w:line="360" w:lineRule="auto"/>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r：距噪声源距离，m；</w:t>
            </w:r>
          </w:p>
          <w:p>
            <w:pPr>
              <w:overflowPunct w:val="0"/>
              <w:adjustRightInd w:val="0"/>
              <w:snapToGrid w:val="0"/>
              <w:spacing w:line="360" w:lineRule="auto"/>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K：半自由空间常数，取值为8。</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多个噪声源对某个受声点上总声级的理论估算方法是将多个噪声源A声级按照能量迭加后等效为多个噪声源对某个受声点上理论总声级，噪声迭加计算公式为：</w:t>
            </w:r>
          </w:p>
          <w:p>
            <w:pPr>
              <w:overflowPunct w:val="0"/>
              <w:adjustRightInd w:val="0"/>
              <w:snapToGrid w:val="0"/>
              <w:spacing w:line="360" w:lineRule="auto"/>
              <w:jc w:val="center"/>
              <w:rPr>
                <w:rFonts w:hint="default" w:ascii="Times New Roman" w:hAnsi="Times New Roman" w:cs="Times New Roman"/>
                <w:color w:val="auto"/>
                <w:sz w:val="24"/>
              </w:rPr>
            </w:pPr>
            <w:r>
              <w:rPr>
                <w:rFonts w:hint="default" w:ascii="Times New Roman" w:hAnsi="Times New Roman" w:cs="Times New Roman"/>
                <w:color w:val="auto"/>
                <w:sz w:val="24"/>
              </w:rPr>
              <w:drawing>
                <wp:inline distT="0" distB="0" distL="0" distR="0">
                  <wp:extent cx="1638300" cy="43815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noChangeArrowheads="1"/>
                          </pic:cNvPicPr>
                        </pic:nvPicPr>
                        <pic:blipFill>
                          <a:blip r:embed="rId8" cstate="print"/>
                          <a:srcRect/>
                          <a:stretch>
                            <a:fillRect/>
                          </a:stretch>
                        </pic:blipFill>
                        <pic:spPr>
                          <a:xfrm>
                            <a:off x="0" y="0"/>
                            <a:ext cx="1638300" cy="438150"/>
                          </a:xfrm>
                          <a:prstGeom prst="rect">
                            <a:avLst/>
                          </a:prstGeom>
                          <a:noFill/>
                          <a:ln w="9525" cmpd="sng">
                            <a:noFill/>
                            <a:miter lim="800000"/>
                            <a:headEnd/>
                            <a:tailEnd/>
                          </a:ln>
                        </pic:spPr>
                      </pic:pic>
                    </a:graphicData>
                  </a:graphic>
                </wp:inline>
              </w:drawing>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式中：L</w:t>
            </w:r>
            <w:r>
              <w:rPr>
                <w:rFonts w:hint="default" w:ascii="Times New Roman" w:hAnsi="Times New Roman" w:cs="Times New Roman"/>
                <w:color w:val="auto"/>
                <w:sz w:val="24"/>
                <w:vertAlign w:val="subscript"/>
              </w:rPr>
              <w:t>合</w:t>
            </w:r>
            <w:r>
              <w:rPr>
                <w:rFonts w:hint="default" w:ascii="Times New Roman" w:hAnsi="Times New Roman" w:cs="Times New Roman"/>
                <w:color w:val="auto"/>
                <w:sz w:val="24"/>
              </w:rPr>
              <w:t>：某个受声预测点上总等效A声级，dB(A)；</w:t>
            </w:r>
          </w:p>
          <w:p>
            <w:pPr>
              <w:overflowPunct w:val="0"/>
              <w:adjustRightInd w:val="0"/>
              <w:snapToGrid w:val="0"/>
              <w:spacing w:line="360" w:lineRule="auto"/>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L</w:t>
            </w:r>
            <w:r>
              <w:rPr>
                <w:rFonts w:hint="default" w:ascii="Times New Roman" w:hAnsi="Times New Roman" w:cs="Times New Roman"/>
                <w:color w:val="auto"/>
                <w:sz w:val="24"/>
                <w:vertAlign w:val="subscript"/>
              </w:rPr>
              <w:t>i</w:t>
            </w:r>
            <w:r>
              <w:rPr>
                <w:rFonts w:hint="default" w:ascii="Times New Roman" w:hAnsi="Times New Roman" w:cs="Times New Roman"/>
                <w:color w:val="auto"/>
                <w:sz w:val="24"/>
              </w:rPr>
              <w:t>：第i个噪声源对某个受声预测点上等效A声级，dB(A)；</w:t>
            </w:r>
          </w:p>
          <w:p>
            <w:pPr>
              <w:adjustRightInd w:val="0"/>
              <w:snapToGrid w:val="0"/>
              <w:spacing w:line="360" w:lineRule="auto"/>
              <w:ind w:firstLine="1200" w:firstLineChars="500"/>
              <w:rPr>
                <w:rFonts w:hint="default" w:ascii="Times New Roman" w:hAnsi="Times New Roman" w:cs="Times New Roman"/>
                <w:color w:val="auto"/>
                <w:sz w:val="24"/>
              </w:rPr>
            </w:pPr>
            <w:r>
              <w:rPr>
                <w:rFonts w:hint="default" w:ascii="Times New Roman" w:hAnsi="Times New Roman" w:cs="Times New Roman"/>
                <w:color w:val="auto"/>
                <w:sz w:val="24"/>
              </w:rPr>
              <w:t>N：噪声源总数。</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利用上述预测模式和计算公式，使多个噪声源通过能量迭加变换成等效噪声源，并可计算出不同距离处噪声源产生噪声对项目区边界声级的贡献量，计算结果见表33。本项目设备每天仅昼间运行8h，夜间不运行，故夜间噪声贡献值即为0，夜间预测值即为夜间背景值。</w:t>
            </w:r>
          </w:p>
          <w:p>
            <w:pPr>
              <w:jc w:val="center"/>
              <w:rPr>
                <w:rFonts w:hint="default" w:ascii="Times New Roman" w:hAnsi="Times New Roman" w:cs="Times New Roman"/>
                <w:b/>
                <w:color w:val="auto"/>
                <w:sz w:val="24"/>
              </w:rPr>
            </w:pPr>
            <w:r>
              <w:rPr>
                <w:rFonts w:hint="default" w:ascii="Times New Roman" w:hAnsi="Times New Roman" w:cs="Times New Roman"/>
                <w:b/>
                <w:color w:val="auto"/>
                <w:sz w:val="24"/>
              </w:rPr>
              <w:t>表33   项目区边界噪声预测结果一览表    单位：dB(A)</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876"/>
              <w:gridCol w:w="876"/>
              <w:gridCol w:w="874"/>
              <w:gridCol w:w="872"/>
              <w:gridCol w:w="872"/>
              <w:gridCol w:w="872"/>
              <w:gridCol w:w="87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0" w:type="dxa"/>
                  <w:vMerge w:val="restart"/>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项目</w:t>
                  </w:r>
                </w:p>
              </w:tc>
              <w:tc>
                <w:tcPr>
                  <w:tcW w:w="1752" w:type="dxa"/>
                  <w:gridSpan w:val="2"/>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东侧</w:t>
                  </w:r>
                </w:p>
              </w:tc>
              <w:tc>
                <w:tcPr>
                  <w:tcW w:w="1746" w:type="dxa"/>
                  <w:gridSpan w:val="2"/>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南侧</w:t>
                  </w:r>
                </w:p>
              </w:tc>
              <w:tc>
                <w:tcPr>
                  <w:tcW w:w="1744" w:type="dxa"/>
                  <w:gridSpan w:val="2"/>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西侧</w:t>
                  </w:r>
                </w:p>
              </w:tc>
              <w:tc>
                <w:tcPr>
                  <w:tcW w:w="1742" w:type="dxa"/>
                  <w:gridSpan w:val="2"/>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0" w:type="dxa"/>
                  <w:vMerge w:val="continue"/>
                  <w:vAlign w:val="center"/>
                </w:tcPr>
                <w:p>
                  <w:pPr>
                    <w:overflowPunct w:val="0"/>
                    <w:adjustRightInd w:val="0"/>
                    <w:snapToGrid w:val="0"/>
                    <w:jc w:val="center"/>
                    <w:rPr>
                      <w:rFonts w:hint="default" w:ascii="Times New Roman" w:hAnsi="Times New Roman" w:cs="Times New Roman"/>
                      <w:b/>
                      <w:bCs/>
                      <w:color w:val="auto"/>
                    </w:rPr>
                  </w:pPr>
                </w:p>
              </w:tc>
              <w:tc>
                <w:tcPr>
                  <w:tcW w:w="876"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昼间</w:t>
                  </w:r>
                </w:p>
              </w:tc>
              <w:tc>
                <w:tcPr>
                  <w:tcW w:w="876"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夜间</w:t>
                  </w:r>
                </w:p>
              </w:tc>
              <w:tc>
                <w:tcPr>
                  <w:tcW w:w="874"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昼间</w:t>
                  </w:r>
                </w:p>
              </w:tc>
              <w:tc>
                <w:tcPr>
                  <w:tcW w:w="872"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夜间</w:t>
                  </w:r>
                </w:p>
              </w:tc>
              <w:tc>
                <w:tcPr>
                  <w:tcW w:w="872"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昼间</w:t>
                  </w:r>
                </w:p>
              </w:tc>
              <w:tc>
                <w:tcPr>
                  <w:tcW w:w="872"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夜间</w:t>
                  </w:r>
                </w:p>
              </w:tc>
              <w:tc>
                <w:tcPr>
                  <w:tcW w:w="872"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昼间</w:t>
                  </w:r>
                </w:p>
              </w:tc>
              <w:tc>
                <w:tcPr>
                  <w:tcW w:w="870" w:type="dxa"/>
                  <w:vAlign w:val="center"/>
                </w:tcPr>
                <w:p>
                  <w:pPr>
                    <w:overflowPunct w:val="0"/>
                    <w:adjustRightInd w:val="0"/>
                    <w:snapToGrid w:val="0"/>
                    <w:jc w:val="center"/>
                    <w:rPr>
                      <w:rFonts w:hint="default" w:ascii="Times New Roman" w:hAnsi="Times New Roman" w:cs="Times New Roman"/>
                      <w:b/>
                      <w:bCs/>
                      <w:color w:val="auto"/>
                    </w:rPr>
                  </w:pPr>
                  <w:r>
                    <w:rPr>
                      <w:rFonts w:hint="default" w:ascii="Times New Roman" w:hAnsi="Times New Roman" w:cs="Times New Roman"/>
                      <w:b/>
                      <w:bCs/>
                      <w:color w:val="auto"/>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贡献值</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53.2</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0</w:t>
                  </w:r>
                </w:p>
              </w:tc>
              <w:tc>
                <w:tcPr>
                  <w:tcW w:w="874"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49.7</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0</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52.4</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0</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50.6</w:t>
                  </w:r>
                </w:p>
              </w:tc>
              <w:tc>
                <w:tcPr>
                  <w:tcW w:w="87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预测值</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54.0</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38.6</w:t>
                  </w:r>
                </w:p>
              </w:tc>
              <w:tc>
                <w:tcPr>
                  <w:tcW w:w="874"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51.8</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39.8</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53.2</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38.2</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51.6</w:t>
                  </w:r>
                </w:p>
              </w:tc>
              <w:tc>
                <w:tcPr>
                  <w:tcW w:w="87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标准值</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65</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55</w:t>
                  </w:r>
                </w:p>
              </w:tc>
              <w:tc>
                <w:tcPr>
                  <w:tcW w:w="874"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65</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55</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65</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55</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65</w:t>
                  </w:r>
                </w:p>
              </w:tc>
              <w:tc>
                <w:tcPr>
                  <w:tcW w:w="87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超标情况</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6"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4"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2"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c>
                <w:tcPr>
                  <w:tcW w:w="870" w:type="dxa"/>
                  <w:vAlign w:val="center"/>
                </w:tcPr>
                <w:p>
                  <w:pPr>
                    <w:overflowPunct w:val="0"/>
                    <w:adjustRightInd w:val="0"/>
                    <w:snapToGrid w:val="0"/>
                    <w:jc w:val="center"/>
                    <w:rPr>
                      <w:rFonts w:hint="default" w:ascii="Times New Roman" w:hAnsi="Times New Roman" w:cs="Times New Roman"/>
                      <w:color w:val="auto"/>
                    </w:rPr>
                  </w:pPr>
                  <w:r>
                    <w:rPr>
                      <w:rFonts w:hint="default" w:ascii="Times New Roman" w:hAnsi="Times New Roman" w:cs="Times New Roman"/>
                      <w:color w:val="auto"/>
                    </w:rPr>
                    <w:t>达标</w:t>
                  </w:r>
                </w:p>
              </w:tc>
            </w:tr>
          </w:tbl>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由表18可以看出，项目区边界噪声预测值昼间在51.6-54.0dB(A)之间，夜间为37.6-39.8dB(A)之间，</w:t>
            </w:r>
            <w:r>
              <w:rPr>
                <w:rFonts w:hint="default" w:ascii="Times New Roman" w:hAnsi="Times New Roman" w:cs="Times New Roman"/>
                <w:color w:val="auto"/>
                <w:kern w:val="0"/>
                <w:sz w:val="24"/>
              </w:rPr>
              <w:t>项目区四周无集中居住区、学校、医院等声环境敏感保护目标</w:t>
            </w:r>
            <w:r>
              <w:rPr>
                <w:rFonts w:hint="default" w:ascii="Times New Roman" w:hAnsi="Times New Roman" w:cs="Times New Roman"/>
                <w:color w:val="auto"/>
                <w:sz w:val="24"/>
              </w:rPr>
              <w:t>，满足《工业企业厂界环境噪声排放标准》（GB12348-2008）</w:t>
            </w:r>
            <w:r>
              <w:rPr>
                <w:rFonts w:hint="default" w:ascii="Times New Roman" w:hAnsi="Times New Roman" w:cs="Times New Roman"/>
                <w:color w:val="auto"/>
                <w:spacing w:val="-6"/>
                <w:sz w:val="24"/>
              </w:rPr>
              <w:t>3类标准</w:t>
            </w:r>
            <w:r>
              <w:rPr>
                <w:rFonts w:hint="default" w:ascii="Times New Roman" w:hAnsi="Times New Roman" w:cs="Times New Roman"/>
                <w:color w:val="auto"/>
                <w:sz w:val="24"/>
              </w:rPr>
              <w:t>的要求。</w:t>
            </w:r>
          </w:p>
          <w:p>
            <w:pPr>
              <w:overflowPunct w:val="0"/>
              <w:adjustRightInd w:val="0"/>
              <w:snapToGrid w:val="0"/>
              <w:spacing w:line="360" w:lineRule="auto"/>
              <w:ind w:firstLine="470" w:firstLineChars="196"/>
              <w:rPr>
                <w:rFonts w:hint="default" w:ascii="Times New Roman" w:hAnsi="Times New Roman" w:cs="Times New Roman"/>
                <w:color w:val="auto"/>
                <w:sz w:val="24"/>
              </w:rPr>
            </w:pPr>
            <w:r>
              <w:rPr>
                <w:rFonts w:hint="default" w:ascii="Times New Roman" w:hAnsi="Times New Roman" w:cs="Times New Roman"/>
                <w:color w:val="auto"/>
                <w:sz w:val="24"/>
              </w:rPr>
              <w:t>（3）噪声污染防治措施</w:t>
            </w:r>
          </w:p>
          <w:p>
            <w:pPr>
              <w:pStyle w:val="15"/>
              <w:overflowPunct w:val="0"/>
              <w:adjustRightInd w:val="0"/>
              <w:snapToGrid w:val="0"/>
              <w:ind w:firstLine="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① 对噪声防治采用综合治理方法，首先从声源上加以控制，采用必要的减振、消音、隔声、吸声、绿化等措施，将环境噪声控制在规定标准内。</w:t>
            </w:r>
          </w:p>
          <w:p>
            <w:pPr>
              <w:pStyle w:val="15"/>
              <w:overflowPunct w:val="0"/>
              <w:adjustRightInd w:val="0"/>
              <w:snapToGrid w:val="0"/>
              <w:ind w:firstLine="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② 尽量选用低噪声设备。</w:t>
            </w:r>
          </w:p>
          <w:p>
            <w:pPr>
              <w:pStyle w:val="15"/>
              <w:overflowPunct w:val="0"/>
              <w:adjustRightInd w:val="0"/>
              <w:snapToGrid w:val="0"/>
              <w:ind w:firstLine="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③ 加强对职工的个人防护和保护，如佩戴防噪耳罩等。</w:t>
            </w:r>
          </w:p>
          <w:p>
            <w:pPr>
              <w:pStyle w:val="15"/>
              <w:overflowPunct w:val="0"/>
              <w:adjustRightInd w:val="0"/>
              <w:snapToGrid w:val="0"/>
              <w:ind w:firstLine="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④ 粗白油输送尽量避免在夜间进行，缓解对区域声环境影响。</w:t>
            </w:r>
          </w:p>
          <w:p>
            <w:pPr>
              <w:pStyle w:val="15"/>
              <w:overflowPunct w:val="0"/>
              <w:adjustRightInd w:val="0"/>
              <w:snapToGrid w:val="0"/>
              <w:ind w:firstLine="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⑤ 在厂区总体布置中注意防噪间距，同时加强绿化，减少噪声污染。</w:t>
            </w:r>
          </w:p>
          <w:p>
            <w:pPr>
              <w:overflowPunct w:val="0"/>
              <w:adjustRightIn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4．土壤环境影响分析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（1）评价工作等级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根据《环境影响评价技术导则 土壤环境（试行）》（HJ964-2018），评价工作等级的划分应根据建设项目类别、污染类型、占地规模、所在地周边的土壤环境敏感程度分级等进行判定。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1）建设项目污染类型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本工程为罐区建设项目，属于污染性影响建设项目。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2） 项目类别、占地规模及敏感程度</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依据《环境影响评价技术导则 土壤环境（试行）》（HJ964-2018）要求，对照附录A土壤环境影响评价类别，项目属项目属“交通运输仓储邮政业”中“油库”，属II类项目，占地规模属小型（≤5hm</w:t>
            </w:r>
            <w:r>
              <w:rPr>
                <w:rFonts w:hint="default" w:ascii="Times New Roman" w:hAnsi="Times New Roman" w:cs="Times New Roman"/>
                <w:color w:val="auto"/>
                <w:sz w:val="24"/>
                <w:vertAlign w:val="superscript"/>
              </w:rPr>
              <w:t>2</w:t>
            </w:r>
            <w:r>
              <w:rPr>
                <w:rFonts w:hint="default" w:ascii="Times New Roman" w:hAnsi="Times New Roman" w:cs="Times New Roman"/>
                <w:color w:val="auto"/>
                <w:sz w:val="24"/>
              </w:rPr>
              <w:t>），周边土壤环境敏感程度为不敏感。</w:t>
            </w:r>
          </w:p>
          <w:p>
            <w:pPr>
              <w:jc w:val="center"/>
              <w:rPr>
                <w:rFonts w:hint="default" w:ascii="Times New Roman" w:hAnsi="Times New Roman" w:cs="Times New Roman"/>
                <w:b/>
                <w:bCs/>
                <w:color w:val="auto"/>
                <w:kern w:val="0"/>
                <w:szCs w:val="21"/>
              </w:rPr>
            </w:pPr>
          </w:p>
          <w:p>
            <w:pPr>
              <w:jc w:val="center"/>
              <w:rPr>
                <w:rFonts w:hint="default" w:ascii="Times New Roman" w:hAnsi="Times New Roman" w:cs="Times New Roman"/>
                <w:b/>
                <w:bCs/>
                <w:color w:val="auto"/>
                <w:kern w:val="0"/>
                <w:szCs w:val="21"/>
              </w:rPr>
            </w:pPr>
          </w:p>
          <w:p>
            <w:pPr>
              <w:jc w:val="center"/>
              <w:rPr>
                <w:rFonts w:hint="default" w:ascii="Times New Roman" w:hAnsi="Times New Roman" w:cs="Times New Roman"/>
                <w:b/>
                <w:bCs/>
                <w:color w:val="auto"/>
                <w:kern w:val="0"/>
                <w:szCs w:val="21"/>
              </w:rPr>
            </w:pPr>
            <w:r>
              <w:rPr>
                <w:rFonts w:hint="default" w:ascii="Times New Roman" w:hAnsi="Times New Roman" w:cs="Times New Roman"/>
                <w:b/>
                <w:bCs/>
                <w:color w:val="auto"/>
                <w:kern w:val="0"/>
                <w:szCs w:val="21"/>
              </w:rPr>
              <w:t>表34     污染影响型敏感程度分级表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敏感程度</w:t>
                  </w:r>
                </w:p>
              </w:tc>
              <w:tc>
                <w:tcPr>
                  <w:tcW w:w="7243"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判别依据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敏感</w:t>
                  </w:r>
                </w:p>
              </w:tc>
              <w:tc>
                <w:tcPr>
                  <w:tcW w:w="7243"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建设项目周边存在根底、原地、牧草地、饮用水源地或居民区、血虚爱、医院、疗养院等退让环境敏感目标的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较敏感</w:t>
                  </w:r>
                </w:p>
              </w:tc>
              <w:tc>
                <w:tcPr>
                  <w:tcW w:w="7243"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建设项目周边存在其他土壤环境敏感目标的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不敏感</w:t>
                  </w:r>
                </w:p>
              </w:tc>
              <w:tc>
                <w:tcPr>
                  <w:tcW w:w="7243"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其他情况</w:t>
                  </w:r>
                </w:p>
              </w:tc>
            </w:tr>
          </w:tbl>
          <w:p>
            <w:pPr>
              <w:pStyle w:val="4"/>
              <w:numPr>
                <w:ilvl w:val="1"/>
                <w:numId w:val="0"/>
              </w:numPr>
              <w:tabs>
                <w:tab w:val="left" w:pos="567"/>
              </w:tabs>
              <w:adjustRightInd w:val="0"/>
              <w:snapToGrid w:val="0"/>
              <w:spacing w:before="312" w:beforeLines="100"/>
              <w:ind w:firstLine="480" w:firstLineChars="200"/>
              <w:textAlignment w:val="baseline"/>
              <w:rPr>
                <w:rFonts w:hint="default" w:ascii="Times New Roman" w:hAnsi="Times New Roman" w:eastAsia="宋体" w:cs="Times New Roman"/>
                <w:bCs w:val="0"/>
                <w:color w:val="auto"/>
                <w:sz w:val="24"/>
                <w:szCs w:val="24"/>
              </w:rPr>
            </w:pPr>
            <w:r>
              <w:rPr>
                <w:rFonts w:hint="default" w:ascii="Times New Roman" w:hAnsi="Times New Roman" w:eastAsia="宋体" w:cs="Times New Roman"/>
                <w:bCs w:val="0"/>
                <w:color w:val="auto"/>
                <w:sz w:val="24"/>
                <w:szCs w:val="24"/>
              </w:rPr>
              <w:t>3）评价工作等级划分</w:t>
            </w:r>
          </w:p>
          <w:p>
            <w:pPr>
              <w:jc w:val="center"/>
              <w:rPr>
                <w:rFonts w:hint="default" w:ascii="Times New Roman" w:hAnsi="Times New Roman" w:cs="Times New Roman"/>
                <w:b/>
                <w:bCs/>
                <w:color w:val="auto"/>
                <w:kern w:val="0"/>
                <w:szCs w:val="21"/>
              </w:rPr>
            </w:pPr>
            <w:r>
              <w:rPr>
                <w:rFonts w:hint="default" w:ascii="Times New Roman" w:hAnsi="Times New Roman" w:cs="Times New Roman"/>
                <w:b/>
                <w:bCs/>
                <w:color w:val="auto"/>
                <w:kern w:val="0"/>
                <w:szCs w:val="21"/>
              </w:rPr>
              <w:t>表35     污染影响型评价工作等级划分表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745"/>
              <w:gridCol w:w="836"/>
              <w:gridCol w:w="837"/>
              <w:gridCol w:w="837"/>
              <w:gridCol w:w="836"/>
              <w:gridCol w:w="836"/>
              <w:gridCol w:w="838"/>
              <w:gridCol w:w="837"/>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Merge w:val="restart"/>
                  <w:noWrap w:val="0"/>
                  <w:vAlign w:val="top"/>
                </w:tcPr>
                <w:p>
                  <w:pPr>
                    <w:jc w:val="center"/>
                    <w:rPr>
                      <w:rFonts w:hint="default" w:ascii="Times New Roman" w:hAnsi="Times New Roman" w:cs="Times New Roman"/>
                      <w:color w:val="auto"/>
                      <w:szCs w:val="21"/>
                    </w:rPr>
                  </w:pPr>
                </w:p>
              </w:tc>
              <w:tc>
                <w:tcPr>
                  <w:tcW w:w="2418" w:type="dxa"/>
                  <w:gridSpan w:val="3"/>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fldChar w:fldCharType="begin"/>
                  </w:r>
                  <w:r>
                    <w:rPr>
                      <w:rFonts w:hint="default" w:ascii="Times New Roman" w:hAnsi="Times New Roman" w:cs="Times New Roman"/>
                      <w:color w:val="auto"/>
                      <w:szCs w:val="21"/>
                    </w:rPr>
                    <w:instrText xml:space="preserve"> = 1 \* ROMAN \* MERGEFORMAT </w:instrText>
                  </w:r>
                  <w:r>
                    <w:rPr>
                      <w:rFonts w:hint="default" w:ascii="Times New Roman" w:hAnsi="Times New Roman" w:cs="Times New Roman"/>
                      <w:color w:val="auto"/>
                      <w:szCs w:val="21"/>
                    </w:rPr>
                    <w:fldChar w:fldCharType="separate"/>
                  </w:r>
                  <w:r>
                    <w:rPr>
                      <w:rFonts w:hint="default" w:ascii="Times New Roman" w:hAnsi="Times New Roman" w:cs="Times New Roman"/>
                      <w:color w:val="auto"/>
                      <w:szCs w:val="21"/>
                    </w:rPr>
                    <w:t>I</w:t>
                  </w:r>
                  <w:r>
                    <w:rPr>
                      <w:rFonts w:hint="default" w:ascii="Times New Roman" w:hAnsi="Times New Roman" w:cs="Times New Roman"/>
                      <w:color w:val="auto"/>
                      <w:szCs w:val="21"/>
                    </w:rPr>
                    <w:fldChar w:fldCharType="end"/>
                  </w:r>
                  <w:r>
                    <w:rPr>
                      <w:rFonts w:hint="default" w:ascii="Times New Roman" w:hAnsi="Times New Roman" w:cs="Times New Roman"/>
                      <w:color w:val="auto"/>
                      <w:szCs w:val="21"/>
                    </w:rPr>
                    <w:t>类</w:t>
                  </w:r>
                </w:p>
              </w:tc>
              <w:tc>
                <w:tcPr>
                  <w:tcW w:w="2509" w:type="dxa"/>
                  <w:gridSpan w:val="3"/>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fldChar w:fldCharType="begin"/>
                  </w:r>
                  <w:r>
                    <w:rPr>
                      <w:rFonts w:hint="default" w:ascii="Times New Roman" w:hAnsi="Times New Roman" w:cs="Times New Roman"/>
                      <w:color w:val="auto"/>
                      <w:szCs w:val="21"/>
                    </w:rPr>
                    <w:instrText xml:space="preserve"> = 2 \* ROMAN \* MERGEFORMAT </w:instrText>
                  </w:r>
                  <w:r>
                    <w:rPr>
                      <w:rFonts w:hint="default" w:ascii="Times New Roman" w:hAnsi="Times New Roman" w:cs="Times New Roman"/>
                      <w:color w:val="auto"/>
                      <w:szCs w:val="21"/>
                    </w:rPr>
                    <w:fldChar w:fldCharType="separate"/>
                  </w:r>
                  <w:r>
                    <w:rPr>
                      <w:rFonts w:hint="default" w:ascii="Times New Roman" w:hAnsi="Times New Roman" w:cs="Times New Roman"/>
                      <w:color w:val="auto"/>
                      <w:szCs w:val="21"/>
                    </w:rPr>
                    <w:t>II</w:t>
                  </w:r>
                  <w:r>
                    <w:rPr>
                      <w:rFonts w:hint="default" w:ascii="Times New Roman" w:hAnsi="Times New Roman" w:cs="Times New Roman"/>
                      <w:color w:val="auto"/>
                      <w:szCs w:val="21"/>
                    </w:rPr>
                    <w:fldChar w:fldCharType="end"/>
                  </w:r>
                  <w:r>
                    <w:rPr>
                      <w:rFonts w:hint="default" w:ascii="Times New Roman" w:hAnsi="Times New Roman" w:cs="Times New Roman"/>
                      <w:color w:val="auto"/>
                      <w:szCs w:val="21"/>
                    </w:rPr>
                    <w:t>类</w:t>
                  </w:r>
                </w:p>
              </w:tc>
              <w:tc>
                <w:tcPr>
                  <w:tcW w:w="2513" w:type="dxa"/>
                  <w:gridSpan w:val="3"/>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fldChar w:fldCharType="begin"/>
                  </w:r>
                  <w:r>
                    <w:rPr>
                      <w:rFonts w:hint="default" w:ascii="Times New Roman" w:hAnsi="Times New Roman" w:cs="Times New Roman"/>
                      <w:color w:val="auto"/>
                      <w:szCs w:val="21"/>
                    </w:rPr>
                    <w:instrText xml:space="preserve"> = 3 \* ROMAN \* MERGEFORMAT </w:instrText>
                  </w:r>
                  <w:r>
                    <w:rPr>
                      <w:rFonts w:hint="default" w:ascii="Times New Roman" w:hAnsi="Times New Roman" w:cs="Times New Roman"/>
                      <w:color w:val="auto"/>
                      <w:szCs w:val="21"/>
                    </w:rPr>
                    <w:fldChar w:fldCharType="separate"/>
                  </w:r>
                  <w:r>
                    <w:rPr>
                      <w:rFonts w:hint="default" w:ascii="Times New Roman" w:hAnsi="Times New Roman" w:cs="Times New Roman"/>
                      <w:color w:val="auto"/>
                      <w:szCs w:val="21"/>
                    </w:rPr>
                    <w:t>III</w:t>
                  </w:r>
                  <w:r>
                    <w:rPr>
                      <w:rFonts w:hint="default" w:ascii="Times New Roman" w:hAnsi="Times New Roman" w:cs="Times New Roman"/>
                      <w:color w:val="auto"/>
                      <w:szCs w:val="21"/>
                    </w:rPr>
                    <w:fldChar w:fldCharType="end"/>
                  </w:r>
                  <w:r>
                    <w:rPr>
                      <w:rFonts w:hint="default" w:ascii="Times New Roman" w:hAnsi="Times New Roman" w:cs="Times New Roman"/>
                      <w:color w:val="auto"/>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Merge w:val="continue"/>
                  <w:noWrap w:val="0"/>
                  <w:vAlign w:val="top"/>
                </w:tcPr>
                <w:p>
                  <w:pPr>
                    <w:jc w:val="center"/>
                    <w:rPr>
                      <w:rFonts w:hint="default" w:ascii="Times New Roman" w:hAnsi="Times New Roman" w:cs="Times New Roman"/>
                      <w:color w:val="auto"/>
                      <w:szCs w:val="21"/>
                    </w:rPr>
                  </w:pPr>
                </w:p>
              </w:tc>
              <w:tc>
                <w:tcPr>
                  <w:tcW w:w="74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中</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小</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中</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小</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中</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敏感</w:t>
                  </w:r>
                </w:p>
              </w:tc>
              <w:tc>
                <w:tcPr>
                  <w:tcW w:w="74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较敏感</w:t>
                  </w:r>
                </w:p>
              </w:tc>
              <w:tc>
                <w:tcPr>
                  <w:tcW w:w="74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不敏感</w:t>
                  </w:r>
                </w:p>
              </w:tc>
              <w:tc>
                <w:tcPr>
                  <w:tcW w:w="745"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一级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二级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6"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三级</w:t>
                  </w:r>
                </w:p>
              </w:tc>
              <w:tc>
                <w:tcPr>
                  <w:tcW w:w="837"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38" w:type="dxa"/>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8" w:type="dxa"/>
                  <w:gridSpan w:val="10"/>
                  <w:noWrap w:val="0"/>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注：“-”表示可不开展土壤环境影响评价工作</w:t>
                  </w:r>
                </w:p>
              </w:tc>
            </w:tr>
          </w:tbl>
          <w:p>
            <w:pPr>
              <w:rPr>
                <w:rFonts w:hint="default" w:ascii="Times New Roman" w:hAnsi="Times New Roman" w:cs="Times New Roman"/>
                <w:color w:val="auto"/>
              </w:rPr>
            </w:pPr>
          </w:p>
          <w:p>
            <w:pPr>
              <w:keepNext w:val="0"/>
              <w:keepLines w:val="0"/>
              <w:pageBreakBefore w:val="0"/>
              <w:widowControl w:val="0"/>
              <w:kinsoku/>
              <w:wordWrap/>
              <w:overflowPunct w:val="0"/>
              <w:topLinePunct w:val="0"/>
              <w:autoSpaceDE/>
              <w:autoSpaceDN/>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szCs w:val="22"/>
              </w:rPr>
              <w:t>根据《环境影响评价技术导则-土壤环境（试行）》（HJ964-2018）中关于土壤环境影响评价的要求和拟建项目本身特点，确定本项目确定本项目为三级评价，本项目仅进行定性分析。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（2）土壤环境影响定性分析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szCs w:val="24"/>
              </w:rPr>
              <w:t xml:space="preserve">本项目对土壤环境可能造成影响的污染源主要是储罐和输油管道的渗漏，主要污染物为石油类。 </w:t>
            </w:r>
            <w:r>
              <w:rPr>
                <w:rFonts w:hint="default" w:ascii="Times New Roman" w:hAnsi="Times New Roman" w:cs="Times New Roman"/>
                <w:snapToGrid w:val="0"/>
                <w:color w:val="auto"/>
                <w:sz w:val="24"/>
                <w:szCs w:val="24"/>
              </w:rPr>
              <w:t>本项目已依据《石油化工工程防渗技术规范》（</w:t>
            </w:r>
            <w:r>
              <w:rPr>
                <w:rFonts w:hint="default" w:ascii="Times New Roman" w:hAnsi="Times New Roman" w:cs="Times New Roman"/>
                <w:color w:val="auto"/>
                <w:sz w:val="24"/>
                <w:szCs w:val="24"/>
              </w:rPr>
              <w:t>GB/T50934-2013</w:t>
            </w:r>
            <w:r>
              <w:rPr>
                <w:rFonts w:hint="default" w:ascii="Times New Roman" w:hAnsi="Times New Roman" w:cs="Times New Roman"/>
                <w:snapToGrid w:val="0"/>
                <w:color w:val="auto"/>
                <w:sz w:val="24"/>
                <w:szCs w:val="24"/>
              </w:rPr>
              <w:t>）要求设计地下水污染防渗措施，</w:t>
            </w:r>
            <w:r>
              <w:rPr>
                <w:rFonts w:hint="default" w:ascii="Times New Roman" w:hAnsi="Times New Roman" w:cs="Times New Roman"/>
                <w:color w:val="auto"/>
                <w:sz w:val="24"/>
                <w:szCs w:val="24"/>
              </w:rPr>
              <w:t>正常情况下不会对土壤环境造成影响。对土壤的影响主要是非正常工况下罐区粗白油泄漏事故及火灾爆炸事故情况下对土壤的影响。</w:t>
            </w:r>
            <w:r>
              <w:rPr>
                <w:rFonts w:hint="default" w:ascii="Times New Roman" w:hAnsi="Times New Roman" w:cs="Times New Roman"/>
                <w:color w:val="auto"/>
                <w:sz w:val="24"/>
              </w:rPr>
              <w:t>本项目项目区应根据《环境影响评价技术导则 地下水环境》（HJ610-2016）地下水污染防渗分区要求，结合《石油化工工程防渗技术规范》（GB/T502934-2013）的防渗要求进行布设。</w:t>
            </w:r>
            <w:r>
              <w:rPr>
                <w:rFonts w:hint="default" w:ascii="Times New Roman" w:hAnsi="Times New Roman" w:cs="Times New Roman"/>
                <w:color w:val="auto"/>
                <w:sz w:val="24"/>
                <w:szCs w:val="24"/>
              </w:rPr>
              <w:t>万一发生泄漏事故，可以防止漏油下渗造成对土壤的污染。</w:t>
            </w:r>
          </w:p>
          <w:p>
            <w:pPr>
              <w:overflowPunct w:val="0"/>
              <w:adjustRightIn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建设项目土壤环境影响评价自查表详见下表。</w:t>
            </w:r>
          </w:p>
          <w:p>
            <w:pPr>
              <w:pStyle w:val="2"/>
              <w:jc w:val="center"/>
              <w:rPr>
                <w:rFonts w:hint="default" w:ascii="Times New Roman" w:hAnsi="Times New Roman" w:cs="Times New Roman"/>
                <w:b/>
                <w:color w:val="auto"/>
                <w:szCs w:val="21"/>
              </w:rPr>
            </w:pPr>
            <w:r>
              <w:rPr>
                <w:rFonts w:hint="default" w:ascii="Times New Roman" w:hAnsi="Times New Roman" w:cs="Times New Roman"/>
                <w:b/>
                <w:color w:val="auto"/>
                <w:szCs w:val="21"/>
              </w:rPr>
              <w:t>表36  建设项目土壤环境影响评价自查表</w:t>
            </w:r>
          </w:p>
          <w:tbl>
            <w:tblPr>
              <w:tblStyle w:val="33"/>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1734"/>
              <w:gridCol w:w="1207"/>
              <w:gridCol w:w="376"/>
              <w:gridCol w:w="876"/>
              <w:gridCol w:w="708"/>
              <w:gridCol w:w="522"/>
              <w:gridCol w:w="1074"/>
              <w:gridCol w:w="14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3" w:hRule="atLeast"/>
                <w:tblHeader/>
                <w:jc w:val="center"/>
              </w:trPr>
              <w:tc>
                <w:tcPr>
                  <w:tcW w:w="1347" w:type="pct"/>
                  <w:gridSpan w:val="2"/>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工作内容</w:t>
                  </w:r>
                </w:p>
              </w:tc>
              <w:tc>
                <w:tcPr>
                  <w:tcW w:w="2785" w:type="pct"/>
                  <w:gridSpan w:val="6"/>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完成情况</w:t>
                  </w:r>
                </w:p>
              </w:tc>
              <w:tc>
                <w:tcPr>
                  <w:tcW w:w="867"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影响识别</w:t>
                  </w:r>
                </w:p>
              </w:tc>
              <w:tc>
                <w:tcPr>
                  <w:tcW w:w="10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影响类型</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污染影响型</w:t>
                  </w:r>
                  <w:r>
                    <w:rPr>
                      <w:rFonts w:hint="default" w:ascii="Times New Roman" w:hAnsi="Times New Roman" w:cs="Times New Roman"/>
                      <w:color w:val="auto"/>
                      <w:sz w:val="21"/>
                      <w:szCs w:val="21"/>
                    </w:rPr>
                    <w:sym w:font="Wingdings" w:char="00FE"/>
                  </w:r>
                  <w:r>
                    <w:rPr>
                      <w:rFonts w:hint="default" w:ascii="Times New Roman" w:hAnsi="Times New Roman" w:cs="Times New Roman"/>
                      <w:color w:val="auto"/>
                      <w:sz w:val="21"/>
                      <w:szCs w:val="21"/>
                    </w:rPr>
                    <w:t>；生态影响型</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；两种兼有</w:t>
                  </w:r>
                  <w:r>
                    <w:rPr>
                      <w:rFonts w:hint="default" w:ascii="Times New Roman" w:hAnsi="Times New Roman" w:cs="Times New Roman"/>
                      <w:color w:val="auto"/>
                      <w:sz w:val="21"/>
                      <w:szCs w:val="21"/>
                    </w:rPr>
                    <w:sym w:font="Wingdings" w:char="00A8"/>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土地利用类型</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建设用地</w:t>
                  </w:r>
                  <w:r>
                    <w:rPr>
                      <w:rFonts w:hint="default" w:ascii="Times New Roman" w:hAnsi="Times New Roman" w:cs="Times New Roman"/>
                      <w:color w:val="auto"/>
                      <w:sz w:val="21"/>
                      <w:szCs w:val="21"/>
                    </w:rPr>
                    <w:sym w:font="Wingdings" w:char="00FE"/>
                  </w:r>
                  <w:r>
                    <w:rPr>
                      <w:rFonts w:hint="default" w:ascii="Times New Roman" w:hAnsi="Times New Roman" w:cs="Times New Roman"/>
                      <w:color w:val="auto"/>
                      <w:sz w:val="21"/>
                      <w:szCs w:val="21"/>
                    </w:rPr>
                    <w:t>；农用地</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；未利用地</w:t>
                  </w:r>
                  <w:r>
                    <w:rPr>
                      <w:rFonts w:hint="default" w:ascii="Times New Roman" w:hAnsi="Times New Roman" w:cs="Times New Roman"/>
                      <w:color w:val="auto"/>
                      <w:sz w:val="21"/>
                      <w:szCs w:val="21"/>
                    </w:rPr>
                    <w:sym w:font="Wingdings" w:char="00A8"/>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占地规模</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（0.7）hm</w:t>
                  </w:r>
                  <w:r>
                    <w:rPr>
                      <w:rFonts w:hint="default" w:ascii="Times New Roman" w:hAnsi="Times New Roman" w:cs="Times New Roman"/>
                      <w:color w:val="auto"/>
                      <w:sz w:val="21"/>
                      <w:szCs w:val="21"/>
                      <w:vertAlign w:val="superscript"/>
                    </w:rPr>
                    <w:t>2</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敏感目标信息</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敏感目标（）、方位（）、距离（）</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影响途径</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大气沉降</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；地面漫流</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；垂直入渗</w:t>
                  </w:r>
                  <w:r>
                    <w:rPr>
                      <w:rFonts w:hint="default" w:ascii="Times New Roman" w:hAnsi="Times New Roman" w:cs="Times New Roman"/>
                      <w:color w:val="auto"/>
                      <w:sz w:val="21"/>
                      <w:szCs w:val="21"/>
                    </w:rPr>
                    <w:sym w:font="Wingdings" w:char="00FE"/>
                  </w:r>
                  <w:r>
                    <w:rPr>
                      <w:rFonts w:hint="default" w:ascii="Times New Roman" w:hAnsi="Times New Roman" w:cs="Times New Roman"/>
                      <w:color w:val="auto"/>
                      <w:sz w:val="21"/>
                      <w:szCs w:val="21"/>
                    </w:rPr>
                    <w:t>；其他（）</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全部污染物</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粗白油</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特征因子</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所属土壤环境影响评价项目类别</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I类</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；II类</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；III类</w:t>
                  </w:r>
                  <w:r>
                    <w:rPr>
                      <w:rFonts w:hint="default" w:ascii="Times New Roman" w:hAnsi="Times New Roman" w:cs="Times New Roman"/>
                      <w:color w:val="auto"/>
                      <w:sz w:val="21"/>
                      <w:szCs w:val="21"/>
                    </w:rPr>
                    <w:sym w:font="Wingdings" w:char="00FE"/>
                  </w:r>
                  <w:r>
                    <w:rPr>
                      <w:rFonts w:hint="default" w:ascii="Times New Roman" w:hAnsi="Times New Roman" w:cs="Times New Roman"/>
                      <w:color w:val="auto"/>
                      <w:sz w:val="21"/>
                      <w:szCs w:val="21"/>
                    </w:rPr>
                    <w:t>；IV类</w:t>
                  </w:r>
                  <w:r>
                    <w:rPr>
                      <w:rFonts w:hint="default" w:ascii="Times New Roman" w:hAnsi="Times New Roman" w:cs="Times New Roman"/>
                      <w:color w:val="auto"/>
                      <w:sz w:val="21"/>
                      <w:szCs w:val="21"/>
                    </w:rPr>
                    <w:sym w:font="Wingdings" w:char="00A8"/>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敏感程度</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；较敏感</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；不敏感</w:t>
                  </w:r>
                  <w:r>
                    <w:rPr>
                      <w:rFonts w:hint="default" w:ascii="Times New Roman" w:hAnsi="Times New Roman" w:cs="Times New Roman"/>
                      <w:color w:val="auto"/>
                      <w:sz w:val="21"/>
                      <w:szCs w:val="21"/>
                    </w:rPr>
                    <w:sym w:font="Wingdings" w:char="00FE"/>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347"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评价工作等级</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一级</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；二级</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；三级</w:t>
                  </w:r>
                  <w:r>
                    <w:rPr>
                      <w:rFonts w:hint="default" w:ascii="Times New Roman" w:hAnsi="Times New Roman" w:cs="Times New Roman"/>
                      <w:color w:val="auto"/>
                      <w:sz w:val="21"/>
                      <w:szCs w:val="21"/>
                    </w:rPr>
                    <w:sym w:font="Wingdings" w:char="00FE"/>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现状调查内容</w:t>
                  </w: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资料收集</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；b)</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；c)</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；d)</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理化特性</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同附录C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Merge w:val="restar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现状监测点位</w:t>
                  </w:r>
                </w:p>
              </w:tc>
              <w:tc>
                <w:tcPr>
                  <w:tcW w:w="706"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732"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占地范围内</w:t>
                  </w:r>
                </w:p>
              </w:tc>
              <w:tc>
                <w:tcPr>
                  <w:tcW w:w="719"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占地范围外</w:t>
                  </w:r>
                </w:p>
              </w:tc>
              <w:tc>
                <w:tcPr>
                  <w:tcW w:w="626"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深度</w:t>
                  </w:r>
                </w:p>
              </w:tc>
              <w:tc>
                <w:tcPr>
                  <w:tcW w:w="867" w:type="pct"/>
                  <w:vMerge w:val="restar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Merge w:val="continue"/>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706"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表层样点数</w:t>
                  </w:r>
                </w:p>
              </w:tc>
              <w:tc>
                <w:tcPr>
                  <w:tcW w:w="732"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719"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626"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67" w:type="pct"/>
                  <w:vMerge w:val="continue"/>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Merge w:val="continue"/>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706"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柱状样点叔</w:t>
                  </w:r>
                </w:p>
              </w:tc>
              <w:tc>
                <w:tcPr>
                  <w:tcW w:w="732" w:type="pct"/>
                  <w:gridSpan w:val="2"/>
                  <w:vAlign w:val="center"/>
                </w:tcPr>
                <w:p>
                  <w:pPr>
                    <w:widowControl/>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w:t>
                  </w:r>
                </w:p>
              </w:tc>
              <w:tc>
                <w:tcPr>
                  <w:tcW w:w="719" w:type="pct"/>
                  <w:gridSpan w:val="2"/>
                  <w:vAlign w:val="center"/>
                </w:tcPr>
                <w:p>
                  <w:pPr>
                    <w:widowControl/>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w:t>
                  </w:r>
                </w:p>
              </w:tc>
              <w:tc>
                <w:tcPr>
                  <w:tcW w:w="626" w:type="pct"/>
                  <w:vAlign w:val="center"/>
                </w:tcPr>
                <w:p>
                  <w:pPr>
                    <w:widowControl/>
                    <w:adjustRightInd w:val="0"/>
                    <w:snapToGrid w:val="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w:t>
                  </w:r>
                </w:p>
              </w:tc>
              <w:tc>
                <w:tcPr>
                  <w:tcW w:w="867" w:type="pct"/>
                  <w:vMerge w:val="continue"/>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现状监测因子</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pH、镉、汞、砷、铅、铬（六价）、铜、镍、石油烃</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现状评价</w:t>
                  </w: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评价因子</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评价标准</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GB15168</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；GB36600</w:t>
                  </w:r>
                  <w:r>
                    <w:rPr>
                      <w:rFonts w:hint="default" w:ascii="Times New Roman" w:hAnsi="Times New Roman" w:cs="Times New Roman"/>
                      <w:color w:val="auto"/>
                      <w:sz w:val="21"/>
                      <w:szCs w:val="21"/>
                    </w:rPr>
                    <w:sym w:font="Wingdings" w:char="00FE"/>
                  </w:r>
                  <w:r>
                    <w:rPr>
                      <w:rFonts w:hint="default" w:ascii="Times New Roman" w:hAnsi="Times New Roman" w:cs="Times New Roman"/>
                      <w:color w:val="auto"/>
                      <w:sz w:val="21"/>
                      <w:szCs w:val="21"/>
                    </w:rPr>
                    <w:t>；表D.1</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；表D.2；其他（）</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现状评价结论</w:t>
                  </w:r>
                </w:p>
              </w:tc>
              <w:tc>
                <w:tcPr>
                  <w:tcW w:w="2785" w:type="pct"/>
                  <w:gridSpan w:val="6"/>
                  <w:vAlign w:val="center"/>
                </w:tcPr>
                <w:p>
                  <w:pPr>
                    <w:pStyle w:val="108"/>
                    <w:adjustRightInd w:val="0"/>
                    <w:snapToGrid w:val="0"/>
                    <w:spacing w:line="240" w:lineRule="auto"/>
                    <w:ind w:firstLine="0" w:firstLine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各监测因子监测值均低于《土壤环境质量 建设用地土壤污染风险管控标准（试行）》（GB36600-2018）第二类建设用地土壤污染风险筛选值。</w:t>
                  </w:r>
                </w:p>
              </w:tc>
              <w:tc>
                <w:tcPr>
                  <w:tcW w:w="867" w:type="pct"/>
                  <w:vAlign w:val="center"/>
                </w:tcPr>
                <w:p>
                  <w:pPr>
                    <w:pStyle w:val="108"/>
                    <w:adjustRightInd w:val="0"/>
                    <w:snapToGrid w:val="0"/>
                    <w:spacing w:line="240" w:lineRule="auto"/>
                    <w:ind w:firstLine="0" w:firstLineChars="0"/>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影响预测</w:t>
                  </w: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预测因子</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预测方法</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附录E</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；附录F</w:t>
                  </w:r>
                  <w:r>
                    <w:rPr>
                      <w:rFonts w:hint="default" w:ascii="Times New Roman" w:hAnsi="Times New Roman" w:cs="Times New Roman"/>
                      <w:color w:val="auto"/>
                      <w:sz w:val="21"/>
                      <w:szCs w:val="21"/>
                    </w:rPr>
                    <w:sym w:font="Wingdings" w:char="00A8"/>
                  </w:r>
                  <w:r>
                    <w:rPr>
                      <w:rFonts w:hint="default" w:ascii="Times New Roman" w:hAnsi="Times New Roman" w:cs="Times New Roman"/>
                      <w:color w:val="auto"/>
                      <w:sz w:val="21"/>
                      <w:szCs w:val="21"/>
                    </w:rPr>
                    <w:t>；其他（）</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预测分析内容</w:t>
                  </w:r>
                </w:p>
              </w:tc>
              <w:tc>
                <w:tcPr>
                  <w:tcW w:w="2785" w:type="pct"/>
                  <w:gridSpan w:val="6"/>
                  <w:vAlign w:val="center"/>
                </w:tcPr>
                <w:p>
                  <w:pPr>
                    <w:pStyle w:val="29"/>
                    <w:widowControl/>
                    <w:adjustRightInd w:val="0"/>
                    <w:snapToGrid w:val="0"/>
                    <w:spacing w:before="0" w:beforeAutospacing="0" w:after="0" w:afterAutospacing="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影响范围（/）</w:t>
                  </w:r>
                </w:p>
                <w:p>
                  <w:pPr>
                    <w:pStyle w:val="29"/>
                    <w:widowControl/>
                    <w:adjustRightInd w:val="0"/>
                    <w:snapToGrid w:val="0"/>
                    <w:spacing w:before="0" w:beforeAutospacing="0" w:after="0" w:afterAutospacing="0"/>
                    <w:rPr>
                      <w:rFonts w:hint="default" w:ascii="Times New Roman" w:hAnsi="Times New Roman" w:cs="Times New Roman"/>
                      <w:color w:val="auto"/>
                      <w:sz w:val="21"/>
                      <w:szCs w:val="21"/>
                    </w:rPr>
                  </w:pPr>
                  <w:r>
                    <w:rPr>
                      <w:rFonts w:hint="default" w:ascii="Times New Roman" w:hAnsi="Times New Roman" w:cs="Times New Roman"/>
                      <w:color w:val="auto"/>
                      <w:kern w:val="2"/>
                      <w:sz w:val="21"/>
                      <w:szCs w:val="21"/>
                    </w:rPr>
                    <w:t>影响程度（/）</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预测结论</w:t>
                  </w:r>
                </w:p>
              </w:tc>
              <w:tc>
                <w:tcPr>
                  <w:tcW w:w="2785" w:type="pct"/>
                  <w:gridSpan w:val="6"/>
                  <w:vAlign w:val="center"/>
                </w:tcPr>
                <w:p>
                  <w:pPr>
                    <w:pStyle w:val="29"/>
                    <w:widowControl/>
                    <w:adjustRightInd w:val="0"/>
                    <w:snapToGrid w:val="0"/>
                    <w:spacing w:before="0" w:beforeAutospacing="0" w:after="0" w:afterAutospacing="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达标结论：a)</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；b)</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；c)</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w:t>
                  </w:r>
                </w:p>
                <w:p>
                  <w:pPr>
                    <w:pStyle w:val="29"/>
                    <w:widowControl/>
                    <w:adjustRightInd w:val="0"/>
                    <w:snapToGrid w:val="0"/>
                    <w:spacing w:before="0" w:beforeAutospacing="0" w:after="0" w:afterAutospacing="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不达标结论：a)</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；b)</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；c)</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333" w:type="pct"/>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防治措施</w:t>
                  </w: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防控措施</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土壤环境质量现状保障</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；源头控制</w:t>
                  </w:r>
                  <w:r>
                    <w:rPr>
                      <w:rFonts w:hint="default" w:ascii="Times New Roman" w:hAnsi="Times New Roman" w:cs="Times New Roman"/>
                      <w:color w:val="auto"/>
                      <w:kern w:val="2"/>
                      <w:sz w:val="21"/>
                      <w:szCs w:val="21"/>
                    </w:rPr>
                    <w:sym w:font="Wingdings" w:char="00FE"/>
                  </w:r>
                  <w:r>
                    <w:rPr>
                      <w:rFonts w:hint="default" w:ascii="Times New Roman" w:hAnsi="Times New Roman" w:cs="Times New Roman"/>
                      <w:color w:val="auto"/>
                      <w:kern w:val="2"/>
                      <w:sz w:val="21"/>
                      <w:szCs w:val="21"/>
                    </w:rPr>
                    <w:t>；过程防控</w:t>
                  </w:r>
                  <w:r>
                    <w:rPr>
                      <w:rFonts w:hint="default" w:ascii="Times New Roman" w:hAnsi="Times New Roman" w:cs="Times New Roman"/>
                      <w:color w:val="auto"/>
                      <w:kern w:val="2"/>
                      <w:sz w:val="21"/>
                      <w:szCs w:val="21"/>
                    </w:rPr>
                    <w:sym w:font="Wingdings" w:char="00FE"/>
                  </w:r>
                  <w:r>
                    <w:rPr>
                      <w:rFonts w:hint="default" w:ascii="Times New Roman" w:hAnsi="Times New Roman" w:cs="Times New Roman"/>
                      <w:color w:val="auto"/>
                      <w:kern w:val="2"/>
                      <w:sz w:val="21"/>
                      <w:szCs w:val="21"/>
                    </w:rPr>
                    <w:t>；其他（）</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Merge w:val="restar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跟踪监测</w:t>
                  </w:r>
                </w:p>
              </w:tc>
              <w:tc>
                <w:tcPr>
                  <w:tcW w:w="926"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监测点数</w:t>
                  </w:r>
                </w:p>
              </w:tc>
              <w:tc>
                <w:tcPr>
                  <w:tcW w:w="926"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监测指标</w:t>
                  </w:r>
                </w:p>
              </w:tc>
              <w:tc>
                <w:tcPr>
                  <w:tcW w:w="932"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监测频次</w:t>
                  </w: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Merge w:val="continue"/>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926"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926"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932"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33" w:type="pct"/>
                  <w:vMerge w:val="continue"/>
                  <w:vAlign w:val="center"/>
                </w:tcPr>
                <w:p>
                  <w:pPr>
                    <w:adjustRightInd w:val="0"/>
                    <w:snapToGrid w:val="0"/>
                    <w:jc w:val="center"/>
                    <w:rPr>
                      <w:rFonts w:hint="default" w:ascii="Times New Roman" w:hAnsi="Times New Roman" w:cs="Times New Roman"/>
                      <w:color w:val="auto"/>
                      <w:szCs w:val="21"/>
                    </w:rPr>
                  </w:pPr>
                </w:p>
              </w:tc>
              <w:tc>
                <w:tcPr>
                  <w:tcW w:w="1013"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信息公开指标</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347" w:type="pct"/>
                  <w:gridSpan w:val="2"/>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评价结论</w:t>
                  </w:r>
                </w:p>
              </w:tc>
              <w:tc>
                <w:tcPr>
                  <w:tcW w:w="2785" w:type="pct"/>
                  <w:gridSpan w:val="6"/>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c>
                <w:tcPr>
                  <w:tcW w:w="867" w:type="pct"/>
                  <w:vAlign w:val="center"/>
                </w:tcPr>
                <w:p>
                  <w:pPr>
                    <w:pStyle w:val="29"/>
                    <w:widowControl/>
                    <w:adjustRightInd w:val="0"/>
                    <w:snapToGrid w:val="0"/>
                    <w:spacing w:before="0" w:beforeAutospacing="0" w:after="0" w:afterAutospacing="0"/>
                    <w:jc w:val="center"/>
                    <w:rPr>
                      <w:rFonts w:hint="default" w:ascii="Times New Roman" w:hAnsi="Times New Roman"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5000" w:type="pct"/>
                  <w:gridSpan w:val="9"/>
                  <w:vAlign w:val="center"/>
                </w:tcPr>
                <w:p>
                  <w:pPr>
                    <w:pStyle w:val="29"/>
                    <w:widowControl/>
                    <w:adjustRightInd w:val="0"/>
                    <w:snapToGrid w:val="0"/>
                    <w:spacing w:before="0" w:beforeAutospacing="0" w:after="0" w:afterAutospacing="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注1：“</w:t>
                  </w:r>
                  <w:r>
                    <w:rPr>
                      <w:rFonts w:hint="default" w:ascii="Times New Roman" w:hAnsi="Times New Roman" w:cs="Times New Roman"/>
                      <w:color w:val="auto"/>
                      <w:kern w:val="2"/>
                      <w:sz w:val="21"/>
                      <w:szCs w:val="21"/>
                    </w:rPr>
                    <w:sym w:font="Wingdings" w:char="00A8"/>
                  </w:r>
                  <w:r>
                    <w:rPr>
                      <w:rFonts w:hint="default" w:ascii="Times New Roman" w:hAnsi="Times New Roman" w:cs="Times New Roman"/>
                      <w:color w:val="auto"/>
                      <w:kern w:val="2"/>
                      <w:sz w:val="21"/>
                      <w:szCs w:val="21"/>
                    </w:rPr>
                    <w:t>”为勾选项，可√；“（）”为内容填写项：“备注：为其他补充内容。</w:t>
                  </w:r>
                </w:p>
                <w:p>
                  <w:pPr>
                    <w:pStyle w:val="29"/>
                    <w:widowControl/>
                    <w:adjustRightInd w:val="0"/>
                    <w:snapToGrid w:val="0"/>
                    <w:spacing w:before="0" w:beforeAutospacing="0" w:after="0" w:afterAutospacing="0"/>
                    <w:rPr>
                      <w:rFonts w:hint="default" w:ascii="Times New Roman" w:hAnsi="Times New Roman" w:cs="Times New Roman"/>
                      <w:color w:val="auto"/>
                      <w:sz w:val="21"/>
                      <w:szCs w:val="21"/>
                    </w:rPr>
                  </w:pPr>
                  <w:r>
                    <w:rPr>
                      <w:rFonts w:hint="default" w:ascii="Times New Roman" w:hAnsi="Times New Roman" w:cs="Times New Roman"/>
                      <w:color w:val="auto"/>
                      <w:kern w:val="2"/>
                      <w:sz w:val="21"/>
                      <w:szCs w:val="21"/>
                    </w:rPr>
                    <w:t>注2：需要分别开展土壤环境影响评价工作的，分别填写自查表。</w:t>
                  </w:r>
                </w:p>
              </w:tc>
            </w:tr>
          </w:tbl>
          <w:p>
            <w:pPr>
              <w:overflowPunct w:val="0"/>
              <w:adjustRightIn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5．固体废物环境影响分析</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项目固体废物主要为生活垃圾。</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项目劳动定员20人，以每人每天0.5kg计，则生活垃圾产生量约2.8t/a，集中收集后交由环卫工人拉运至垃圾填埋场卫生填埋。</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综上所述，固体废物的处置应遵循分类原则、回收利用原则、减量化原则、无公害化原则及分散与集中相结合的原则，将不同类型的固体废物进行分类收集、分类处理，作好固废的日常管理工作。在此基础上，采取相应的措施以后，本项目产生的固体废物对环境影响不大。</w:t>
            </w:r>
          </w:p>
          <w:p>
            <w:pPr>
              <w:pStyle w:val="2"/>
              <w:spacing w:after="0"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 xml:space="preserve">6.风险分析 </w:t>
            </w:r>
          </w:p>
          <w:p>
            <w:pPr>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6.1 风险调查</w:t>
            </w:r>
          </w:p>
          <w:p>
            <w:pPr>
              <w:pStyle w:val="2"/>
              <w:spacing w:after="0" w:line="360" w:lineRule="auto"/>
              <w:ind w:firstLine="420"/>
              <w:rPr>
                <w:rFonts w:hint="default" w:ascii="Times New Roman" w:hAnsi="Times New Roman" w:cs="Times New Roman"/>
                <w:color w:val="auto"/>
                <w:sz w:val="24"/>
              </w:rPr>
            </w:pPr>
            <w:r>
              <w:rPr>
                <w:rFonts w:hint="default" w:ascii="Times New Roman" w:hAnsi="Times New Roman" w:cs="Times New Roman"/>
                <w:color w:val="auto"/>
                <w:sz w:val="24"/>
              </w:rPr>
              <w:t>根据《建设项目环境风险评价技术导则》（HJ/T169-2018）的要求，进行本项目环境风险分析，本项目主要涉及物质有粗白油。依据《危险化学品目录》（2015版）对本项目涉及的物质进行辨别可知：本项目涉及的粗白油不属于危险化学品。依据《重点监管的危险化学品名录》（2013年完整版），本项目粗白油不属于重点监管的危险化学品。根据《易制毒化学品管理条例》（国务院令445号，2018年修订），本项目涉及的粗白油不属于易制毒化学品。根据《危险化学品重大危险源辨识》（GB18218-2009）及《危险化学品重大危险源监督管理暂行规定》（国家安全生产监督管理局第40令）的有关要求，对本项目进行重大危险源辨识。本项目涉及的粗白油不在《危险化学品重大危险源辨识》范围内。因此本项目不存在危险化学品重大危险源。</w:t>
            </w:r>
          </w:p>
          <w:p>
            <w:pPr>
              <w:pStyle w:val="76"/>
              <w:numPr>
                <w:ilvl w:val="0"/>
                <w:numId w:val="0"/>
              </w:numPr>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rPr>
              <w:t>6</w:t>
            </w:r>
            <w:r>
              <w:rPr>
                <w:rFonts w:hint="default" w:ascii="Times New Roman" w:hAnsi="Times New Roman" w:cs="Times New Roman"/>
                <w:color w:val="auto"/>
                <w:sz w:val="24"/>
                <w:szCs w:val="24"/>
                <w:lang w:val="en-US"/>
              </w:rPr>
              <w:t>.2 环境风险潜势初判</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根据《建设项目环境风险评价技术导则》（HJ169-2018）,建设项目环境风险潜势划分为Ⅰ、Ⅱ、Ⅲ、Ⅳ/Ⅳ+级。</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根据建设项目涉及的物质和工艺系统的危险性及其所在地的环境敏感程度，结合事故情环境影响途径，对建设项目潜在环境危害程度进行概化分析，进而确定环境风险潜势，确定依据见表37。</w:t>
            </w:r>
          </w:p>
          <w:p>
            <w:pPr>
              <w:spacing w:line="440" w:lineRule="exact"/>
              <w:ind w:firstLine="561"/>
              <w:jc w:val="center"/>
              <w:rPr>
                <w:rFonts w:hint="default" w:ascii="Times New Roman" w:hAnsi="Times New Roman" w:cs="Times New Roman"/>
                <w:b/>
                <w:bCs/>
                <w:color w:val="auto"/>
                <w:sz w:val="24"/>
              </w:rPr>
            </w:pPr>
            <w:r>
              <w:rPr>
                <w:rFonts w:hint="default" w:ascii="Times New Roman" w:hAnsi="Times New Roman" w:cs="Times New Roman"/>
                <w:b/>
                <w:bCs/>
                <w:color w:val="auto"/>
                <w:sz w:val="24"/>
              </w:rPr>
              <w:t>表37 项目环境风险潜势划分依据一览表</w:t>
            </w:r>
          </w:p>
          <w:tbl>
            <w:tblPr>
              <w:tblStyle w:val="33"/>
              <w:tblW w:w="0" w:type="auto"/>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714"/>
              <w:gridCol w:w="1722"/>
              <w:gridCol w:w="1715"/>
              <w:gridCol w:w="1715"/>
              <w:gridCol w:w="171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vMerge w:val="restart"/>
                  <w:tcBorders>
                    <w:left w:val="single" w:color="auto" w:sz="0" w:space="0"/>
                  </w:tcBorders>
                  <w:vAlign w:val="center"/>
                </w:tcPr>
                <w:p>
                  <w:pPr>
                    <w:pStyle w:val="141"/>
                    <w:spacing w:line="240" w:lineRule="auto"/>
                    <w:jc w:val="both"/>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环境敏感程度</w:t>
                  </w:r>
                </w:p>
              </w:tc>
              <w:tc>
                <w:tcPr>
                  <w:tcW w:w="7257" w:type="dxa"/>
                  <w:gridSpan w:val="4"/>
                  <w:tcBorders>
                    <w:right w:val="single" w:color="000000" w:sz="12" w:space="0"/>
                  </w:tcBorders>
                  <w:vAlign w:val="center"/>
                </w:tcPr>
                <w:p>
                  <w:pPr>
                    <w:pStyle w:val="141"/>
                    <w:spacing w:line="36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危险物质及工艺系统危险性P</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vMerge w:val="continue"/>
                  <w:tcBorders>
                    <w:left w:val="single" w:color="000000" w:sz="4" w:space="0"/>
                  </w:tcBorders>
                  <w:vAlign w:val="center"/>
                </w:tcPr>
                <w:p>
                  <w:pPr>
                    <w:pStyle w:val="141"/>
                    <w:spacing w:line="240" w:lineRule="auto"/>
                    <w:ind w:firstLine="420"/>
                    <w:rPr>
                      <w:rFonts w:hint="default" w:ascii="Times New Roman" w:hAnsi="Times New Roman" w:cs="Times New Roman"/>
                      <w:b/>
                      <w:bCs/>
                      <w:color w:val="auto"/>
                      <w:sz w:val="21"/>
                      <w:szCs w:val="21"/>
                    </w:rPr>
                  </w:pPr>
                </w:p>
              </w:tc>
              <w:tc>
                <w:tcPr>
                  <w:tcW w:w="1814" w:type="dxa"/>
                  <w:vAlign w:val="center"/>
                </w:tcPr>
                <w:p>
                  <w:pPr>
                    <w:pStyle w:val="141"/>
                    <w:spacing w:line="24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极高危害（P1）</w:t>
                  </w:r>
                </w:p>
              </w:tc>
              <w:tc>
                <w:tcPr>
                  <w:tcW w:w="1814" w:type="dxa"/>
                  <w:vAlign w:val="center"/>
                </w:tcPr>
                <w:p>
                  <w:pPr>
                    <w:pStyle w:val="141"/>
                    <w:spacing w:line="24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高度危害（P2）</w:t>
                  </w:r>
                </w:p>
              </w:tc>
              <w:tc>
                <w:tcPr>
                  <w:tcW w:w="1814" w:type="dxa"/>
                  <w:vAlign w:val="center"/>
                </w:tcPr>
                <w:p>
                  <w:pPr>
                    <w:pStyle w:val="141"/>
                    <w:spacing w:line="24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中度危害（P3）</w:t>
                  </w:r>
                </w:p>
              </w:tc>
              <w:tc>
                <w:tcPr>
                  <w:tcW w:w="1815" w:type="dxa"/>
                  <w:tcBorders>
                    <w:right w:val="single" w:color="000000" w:sz="12" w:space="0"/>
                  </w:tcBorders>
                  <w:vAlign w:val="center"/>
                </w:tcPr>
                <w:p>
                  <w:pPr>
                    <w:pStyle w:val="141"/>
                    <w:spacing w:line="24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轻度危害（P4）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Borders>
                    <w:left w:val="single" w:color="000000" w:sz="4" w:space="0"/>
                  </w:tcBorders>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环境高敏感度区（E1）</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IV</w:t>
                  </w:r>
                  <w:r>
                    <w:rPr>
                      <w:rFonts w:hint="default" w:ascii="Times New Roman" w:hAnsi="Times New Roman" w:cs="Times New Roman"/>
                      <w:color w:val="auto"/>
                      <w:sz w:val="21"/>
                      <w:szCs w:val="21"/>
                      <w:vertAlign w:val="superscript"/>
                    </w:rPr>
                    <w:t>+</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IV</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1815" w:type="dxa"/>
                  <w:tcBorders>
                    <w:right w:val="single" w:color="000000" w:sz="12" w:space="0"/>
                  </w:tcBorders>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Borders>
                    <w:left w:val="single" w:color="000000" w:sz="4" w:space="0"/>
                  </w:tcBorders>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环境中敏感度区（E2）</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IV</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1815" w:type="dxa"/>
                  <w:tcBorders>
                    <w:right w:val="single" w:color="000000" w:sz="12" w:space="0"/>
                  </w:tcBorders>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Borders>
                    <w:left w:val="single" w:color="000000" w:sz="4" w:space="0"/>
                  </w:tcBorders>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环境低敏感度区（E3）</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1814" w:type="dxa"/>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w:t>
                  </w:r>
                </w:p>
              </w:tc>
              <w:tc>
                <w:tcPr>
                  <w:tcW w:w="1815" w:type="dxa"/>
                  <w:tcBorders>
                    <w:right w:val="single" w:color="000000" w:sz="12" w:space="0"/>
                  </w:tcBorders>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jc w:val="center"/>
              </w:trPr>
              <w:tc>
                <w:tcPr>
                  <w:tcW w:w="9071" w:type="dxa"/>
                  <w:gridSpan w:val="5"/>
                  <w:tcBorders>
                    <w:left w:val="single" w:color="000000" w:sz="4" w:space="0"/>
                    <w:right w:val="single" w:color="000000" w:sz="12" w:space="0"/>
                  </w:tcBorders>
                  <w:vAlign w:val="center"/>
                </w:tcPr>
                <w:p>
                  <w:pPr>
                    <w:pStyle w:val="141"/>
                    <w:spacing w:line="24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注：IV</w:t>
                  </w:r>
                  <w:r>
                    <w:rPr>
                      <w:rFonts w:hint="default" w:ascii="Times New Roman" w:hAnsi="Times New Roman" w:cs="Times New Roman"/>
                      <w:color w:val="auto"/>
                      <w:sz w:val="21"/>
                      <w:szCs w:val="21"/>
                      <w:vertAlign w:val="superscript"/>
                    </w:rPr>
                    <w:t>+</w:t>
                  </w:r>
                  <w:r>
                    <w:rPr>
                      <w:rFonts w:hint="default" w:ascii="Times New Roman" w:hAnsi="Times New Roman" w:cs="Times New Roman"/>
                      <w:color w:val="auto"/>
                      <w:sz w:val="21"/>
                      <w:szCs w:val="21"/>
                    </w:rPr>
                    <w:t>为极高环境风险</w:t>
                  </w:r>
                </w:p>
              </w:tc>
            </w:tr>
          </w:tbl>
          <w:p>
            <w:pPr>
              <w:pStyle w:val="100"/>
              <w:rPr>
                <w:rFonts w:hint="default" w:ascii="Times New Roman" w:hAnsi="Times New Roman" w:cs="Times New Roman"/>
                <w:color w:val="auto"/>
              </w:rPr>
            </w:pPr>
          </w:p>
          <w:p>
            <w:pPr>
              <w:pStyle w:val="43"/>
              <w:spacing w:line="360" w:lineRule="auto"/>
              <w:ind w:firstLine="48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根据《建设项目环境风险评价技术导则》（HJ169-2018）附录B 重点关注的危险物质及临界量中，表B.1突发环境事件风险物质及临界量可知，本项目最大存储量及临界量见表38。</w:t>
            </w:r>
          </w:p>
          <w:p>
            <w:pPr>
              <w:pStyle w:val="129"/>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表38 项目储存量、临界量一览表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63"/>
              <w:gridCol w:w="2063"/>
              <w:gridCol w:w="2064"/>
              <w:gridCol w:w="206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63" w:type="dxa"/>
                </w:tcPr>
                <w:p>
                  <w:pPr>
                    <w:pStyle w:val="141"/>
                    <w:spacing w:line="36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物质名称</w:t>
                  </w:r>
                </w:p>
              </w:tc>
              <w:tc>
                <w:tcPr>
                  <w:tcW w:w="2063" w:type="dxa"/>
                </w:tcPr>
                <w:p>
                  <w:pPr>
                    <w:pStyle w:val="141"/>
                    <w:spacing w:line="36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储存位置</w:t>
                  </w:r>
                </w:p>
              </w:tc>
              <w:tc>
                <w:tcPr>
                  <w:tcW w:w="2064" w:type="dxa"/>
                </w:tcPr>
                <w:p>
                  <w:pPr>
                    <w:pStyle w:val="141"/>
                    <w:spacing w:line="36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最大储存量（t）</w:t>
                  </w:r>
                </w:p>
              </w:tc>
              <w:tc>
                <w:tcPr>
                  <w:tcW w:w="2064" w:type="dxa"/>
                </w:tcPr>
                <w:p>
                  <w:pPr>
                    <w:pStyle w:val="141"/>
                    <w:spacing w:line="360" w:lineRule="auto"/>
                    <w:ind w:firstLine="42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临界量(t)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63" w:type="dxa"/>
                </w:tcPr>
                <w:p>
                  <w:pPr>
                    <w:pStyle w:val="141"/>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粗白油</w:t>
                  </w:r>
                </w:p>
              </w:tc>
              <w:tc>
                <w:tcPr>
                  <w:tcW w:w="2063" w:type="dxa"/>
                </w:tcPr>
                <w:p>
                  <w:pPr>
                    <w:pStyle w:val="141"/>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储罐区</w:t>
                  </w:r>
                </w:p>
              </w:tc>
              <w:tc>
                <w:tcPr>
                  <w:tcW w:w="2064" w:type="dxa"/>
                </w:tcPr>
                <w:p>
                  <w:pPr>
                    <w:pStyle w:val="141"/>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15770</w:t>
                  </w:r>
                </w:p>
              </w:tc>
              <w:tc>
                <w:tcPr>
                  <w:tcW w:w="2064" w:type="dxa"/>
                </w:tcPr>
                <w:p>
                  <w:pPr>
                    <w:pStyle w:val="141"/>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2500</w:t>
                  </w:r>
                </w:p>
              </w:tc>
            </w:tr>
          </w:tbl>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（1）Q值的确定</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根据《建设项目环境风险评价技术导则》（HJ169-2018）附录C的规定：</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1）当厂界内只涉及一种危险物质时，计算该物质的总量与其临界量比值，即为 Q；</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2）当厂界内存在多种危险物质时，则按式（C.1）计算物质总量与其临界量比值（Q）：</w:t>
            </w:r>
          </w:p>
          <w:p>
            <w:pPr>
              <w:pStyle w:val="69"/>
              <w:spacing w:line="360" w:lineRule="auto"/>
              <w:ind w:firstLine="1440" w:firstLineChars="6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pict>
                <v:shape id="对象 354" o:spid="_x0000_s2834" o:spt="75" type="#_x0000_t75" style="position:absolute;left:0pt;margin-left:91.55pt;margin-top:1.1pt;height:35.4pt;width:97.45pt;z-index:-251668480;mso-width-relative:page;mso-height-relative:page;" o:ole="t" filled="f" o:preferrelative="t" stroked="f" coordsize="21600,21600">
                  <v:path/>
                  <v:fill on="f" focussize="0,0"/>
                  <v:stroke on="f" joinstyle="miter"/>
                  <v:imagedata r:id="rId10" o:title=""/>
                  <o:lock v:ext="edit" aspectratio="t"/>
                </v:shape>
                <o:OLEObject Type="Embed" ProgID="Equations" ShapeID="对象 354" DrawAspect="Content" ObjectID="_1468075726" r:id="rId9">
                  <o:LockedField>false</o:LockedField>
                </o:OLEObject>
              </w:pict>
            </w:r>
            <w:r>
              <w:rPr>
                <w:rFonts w:hint="default" w:ascii="Times New Roman" w:hAnsi="Times New Roman" w:cs="Times New Roman"/>
                <w:color w:val="auto"/>
                <w:sz w:val="24"/>
                <w:szCs w:val="24"/>
              </w:rPr>
              <w:t>Q=</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式中，q1，q2，…qn—每种危险物质的最大存在总量，t；</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Q1，Q2，…Qn——每种危险物质的临界量，t。</w:t>
            </w:r>
          </w:p>
          <w:p>
            <w:pPr>
              <w:spacing w:line="360" w:lineRule="auto"/>
              <w:ind w:firstLine="480"/>
              <w:rPr>
                <w:rFonts w:hint="default" w:ascii="Times New Roman" w:hAnsi="Times New Roman" w:cs="Times New Roman"/>
                <w:color w:val="auto"/>
                <w:sz w:val="24"/>
              </w:rPr>
            </w:pPr>
            <w:r>
              <w:rPr>
                <w:rFonts w:hint="default" w:ascii="Times New Roman" w:hAnsi="Times New Roman" w:cs="Times New Roman"/>
                <w:color w:val="auto"/>
                <w:sz w:val="24"/>
              </w:rPr>
              <w:t>当Q＜1 时，该项目环境风险潜势为Ⅰ。当Q≥1 时，将 Q值划分为：</w:t>
            </w: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 1 \* GB3 </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①</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1≤Q＜10；</w:t>
            </w: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 2 \* GB3 </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②</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10≤Q＜100；</w:t>
            </w: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 3 \* GB3 </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③</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Q≥100。</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经计算,本项目的Q值为6.308＞1，</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（2）M值的确定</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本项目为油库项目，仅涉及粗白油储存。根据《建设项目环境风险评价技术导则》（HJ169-2018）附录C中表C.1的规定，按照油库（不含加油加气站的油库）进行评价，则本项目站场的M值为10,用M3表示。</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（3）P值的确定</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根据危险物质数量与临界量比值（Q）和行业及生产工艺（M）确定危险物质及工艺系统危险性等级（P）判断 ，分别以 P1、P2、P3、P4 表示,其判断依据见表39。</w:t>
            </w:r>
          </w:p>
          <w:p>
            <w:pPr>
              <w:pStyle w:val="129"/>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表39 危险物质及工艺系统危险性等级判断（P）依据一览表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730"/>
              <w:gridCol w:w="1705"/>
              <w:gridCol w:w="1705"/>
              <w:gridCol w:w="1705"/>
              <w:gridCol w:w="170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vMerge w:val="restart"/>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危险物质数量与临界量比值（Q）</w:t>
                  </w:r>
                </w:p>
              </w:tc>
              <w:tc>
                <w:tcPr>
                  <w:tcW w:w="7257" w:type="dxa"/>
                  <w:gridSpan w:val="4"/>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行业及生产工艺（P）</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vMerge w:val="continue"/>
                </w:tcPr>
                <w:p>
                  <w:pPr>
                    <w:pStyle w:val="141"/>
                    <w:rPr>
                      <w:rFonts w:hint="default" w:ascii="Times New Roman" w:hAnsi="Times New Roman" w:cs="Times New Roman"/>
                      <w:color w:val="auto"/>
                      <w:sz w:val="21"/>
                      <w:szCs w:val="21"/>
                    </w:rPr>
                  </w:pP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M1</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M2</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M3</w:t>
                  </w:r>
                </w:p>
              </w:tc>
              <w:tc>
                <w:tcPr>
                  <w:tcW w:w="1815"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Q≥100</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P1</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P1</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P2</w:t>
                  </w:r>
                </w:p>
              </w:tc>
              <w:tc>
                <w:tcPr>
                  <w:tcW w:w="1815"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10≤Q＜100</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P1</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P2</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P3</w:t>
                  </w:r>
                </w:p>
              </w:tc>
              <w:tc>
                <w:tcPr>
                  <w:tcW w:w="1815"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1≤Q＜10</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P2</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P3</w:t>
                  </w:r>
                </w:p>
              </w:tc>
              <w:tc>
                <w:tcPr>
                  <w:tcW w:w="1814"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P4</w:t>
                  </w:r>
                </w:p>
              </w:tc>
              <w:tc>
                <w:tcPr>
                  <w:tcW w:w="1815" w:type="dxa"/>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P4</w:t>
                  </w:r>
                </w:p>
              </w:tc>
            </w:tr>
          </w:tbl>
          <w:p>
            <w:pPr>
              <w:pStyle w:val="100"/>
              <w:rPr>
                <w:rFonts w:hint="default" w:ascii="Times New Roman" w:hAnsi="Times New Roman" w:cs="Times New Roman"/>
                <w:color w:val="auto"/>
              </w:rPr>
            </w:pP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本项目的Q值为6.308；M值为10，以M3表示，根据表16判断，本项目的P值以P4表示。</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（4）环境敏感程度的确定</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1）大气环境敏感程度</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建设项目环境风险评价技术导则》（HJ169-2018）附录D的规定:项目所在区域大气环境敏感程度是依据环境敏感目标环境敏感性及人口密度划分环境风险受体的敏感性来确定。大气环境敏感程度共分为三种类型:E1为环境高度敏感区，E2 为环境中度敏感区，E3 为环境低度敏感区，分级原则见表40。</w:t>
            </w: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表40  大气环境敏感程度分级原则一览表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34"/>
              <w:gridCol w:w="798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34" w:type="dxa"/>
                  <w:vAlign w:val="center"/>
                </w:tcPr>
                <w:p>
                  <w:pPr>
                    <w:pStyle w:val="141"/>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分级</w:t>
                  </w:r>
                </w:p>
              </w:tc>
              <w:tc>
                <w:tcPr>
                  <w:tcW w:w="7988" w:type="dxa"/>
                  <w:vAlign w:val="center"/>
                </w:tcPr>
                <w:p>
                  <w:pPr>
                    <w:pStyle w:val="141"/>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大气环境敏感性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34" w:type="dxa"/>
                  <w:vAlign w:val="center"/>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7988"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周边5 km范围内居住区、医疗卫生、文化教育、科研、行政办公等机构人口总数大于 5万人，或其他需要特殊保护区域；或周边500m范围内人口总数大于1000人；油气、化学品输送管线管段周边200 m范围内，每千米管段人口数大于200人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34" w:type="dxa"/>
                  <w:vAlign w:val="center"/>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c>
                <w:tcPr>
                  <w:tcW w:w="7988"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周边5 km范围内居住区、医疗卫生、文化教育、科研、行政办公等机构人口总数大于1万人，小于5 万人；或周边500m范围内人口总数大于500人，小于1000人；油气、化学品输送管线管段周边200 m范围内，每千米管段人口数大于100人，小于200人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34" w:type="dxa"/>
                  <w:vAlign w:val="center"/>
                </w:tcPr>
                <w:p>
                  <w:pPr>
                    <w:pStyle w:val="141"/>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c>
                <w:tcPr>
                  <w:tcW w:w="7988"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周边5 km范围内居住区、医疗卫生、文化教育、科研、行政办公等机构人口总数小于1万人；或周边500m范围内人口总数小于500人；油气、化学品输送管线管段周边200m范围内，每千米管段人口数小于100人</w:t>
                  </w:r>
                </w:p>
              </w:tc>
            </w:tr>
          </w:tbl>
          <w:p>
            <w:pPr>
              <w:pStyle w:val="129"/>
              <w:rPr>
                <w:rFonts w:hint="default" w:ascii="Times New Roman" w:hAnsi="Times New Roman" w:cs="Times New Roman"/>
                <w:color w:val="auto"/>
              </w:rPr>
            </w:pP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根据现场调查，项目周边5km范围内居住区、医疗卫生、文化教育、科研、行政办公等机构人口总数小于1万人，根据表22判定，项目的所在区域大气环境敏感程度为环境高度敏感区E3。</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2）地表水环境敏感程度</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建设项目环境风险评价技术导则》（HJ169-2018）附录D的规定：区域地表水环境敏感程度依据事故情况下危险物质泄漏到水体的排放点受纳地表水体功能敏感性与下游环境敏感目标情况确定。区域地表水环境敏感程度共分为三种类型，E1 为环境高度敏感区，E2为环境中度敏感区，E3为环境低度敏感区，其分级原则见表41</w:t>
            </w:r>
            <w:r>
              <w:rPr>
                <w:rFonts w:hint="eastAsia" w:ascii="Times New Roman" w:hAnsi="Times New Roman" w:eastAsia="宋体" w:cs="Times New Roman"/>
                <w:bCs w:val="0"/>
                <w:color w:val="auto"/>
                <w:kern w:val="2"/>
                <w:sz w:val="24"/>
                <w:lang w:eastAsia="zh-CN"/>
              </w:rPr>
              <w:t>，</w:t>
            </w:r>
            <w:r>
              <w:rPr>
                <w:rFonts w:hint="default" w:ascii="Times New Roman" w:hAnsi="Times New Roman" w:eastAsia="宋体" w:cs="Times New Roman"/>
                <w:bCs w:val="0"/>
                <w:color w:val="auto"/>
                <w:kern w:val="2"/>
                <w:sz w:val="24"/>
              </w:rPr>
              <w:t>其中地表水功能敏感性分区和环境敏感目标分级原则分别见表42和表43。</w:t>
            </w: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表41  地表水环境敏感程度分级原则一览表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951"/>
              <w:gridCol w:w="2309"/>
              <w:gridCol w:w="2131"/>
              <w:gridCol w:w="21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环境敏感目标</w:t>
                  </w:r>
                </w:p>
              </w:tc>
              <w:tc>
                <w:tcPr>
                  <w:tcW w:w="6571" w:type="dxa"/>
                  <w:gridSpan w:val="3"/>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--地表水功能敏感性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141"/>
                    <w:spacing w:line="240" w:lineRule="auto"/>
                    <w:rPr>
                      <w:rFonts w:hint="default" w:ascii="Times New Roman" w:hAnsi="Times New Roman" w:cs="Times New Roman"/>
                      <w:color w:val="auto"/>
                      <w:sz w:val="21"/>
                      <w:szCs w:val="21"/>
                    </w:rPr>
                  </w:pP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F3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S1</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S2</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S3</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r>
          </w:tbl>
          <w:p>
            <w:pPr>
              <w:pStyle w:val="100"/>
              <w:rPr>
                <w:rFonts w:hint="default" w:ascii="Times New Roman" w:hAnsi="Times New Roman" w:cs="Times New Roman"/>
                <w:color w:val="auto"/>
              </w:rPr>
            </w:pP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表42   地表水功能敏感性分区原则一览表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756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敏感性</w:t>
                  </w:r>
                </w:p>
              </w:tc>
              <w:tc>
                <w:tcPr>
                  <w:tcW w:w="756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地表水环境敏感特征</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敏感F1</w:t>
                  </w:r>
                </w:p>
              </w:tc>
              <w:tc>
                <w:tcPr>
                  <w:tcW w:w="756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排放点进入地表水水域环境功能为Ⅱ类及以上，或海水水质分类第一类； 或以发生事故时，危险物质泄漏到水体的排放点算起，排放进入受纳河流最大流速时，24 h 流经范围内涉跨国界的</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较敏感F2</w:t>
                  </w:r>
                </w:p>
              </w:tc>
              <w:tc>
                <w:tcPr>
                  <w:tcW w:w="756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排放点进入地表水水域环境功能为Ⅲ类，或海水水质分类第二类；或以发生事故时，危险物质泄漏到水体的排放点算起，排放进入受纳河流最大流速时，24 h 流经范围内涉跨省界的</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低敏感F3</w:t>
                  </w:r>
                </w:p>
              </w:tc>
              <w:tc>
                <w:tcPr>
                  <w:tcW w:w="756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上述地区之外的其他地区</w:t>
                  </w:r>
                </w:p>
              </w:tc>
            </w:tr>
          </w:tbl>
          <w:p>
            <w:pPr>
              <w:pStyle w:val="129"/>
              <w:rPr>
                <w:rFonts w:hint="default" w:ascii="Times New Roman" w:hAnsi="Times New Roman" w:cs="Times New Roman"/>
                <w:color w:val="auto"/>
              </w:rPr>
            </w:pPr>
          </w:p>
          <w:p>
            <w:pPr>
              <w:pStyle w:val="129"/>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表43 环境敏感目标分级原则一览表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756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分级</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环境敏感目标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S1</w:t>
                  </w:r>
                </w:p>
              </w:tc>
              <w:tc>
                <w:tcPr>
                  <w:tcW w:w="7563"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发生事故时，危险物质泄漏到内陆水体的排放点下游（顺水流向）10 km范围内、近岸海域一个潮周期水质点可能达到的最大水平距离的两倍范围内，有如下一类或多类环境风险受体：集中式地表水饮用水水源保护区（包括一级保护区、二级保护区及准保护区）；农村及分散式饮用水水源保护区自然保护区；重要湿地；珍稀濒危野生动植物天然集中分布区；重要水生生物的自然产卵场及索饵场、越冬场和洄游通道；世界文化和自然遗产地；红树林、珊瑚礁等滨海湿地生态系统；珍稀、濒危海洋生物的天然集中分布区；海洋特别保护区；海上自然保护区；盐场保护区；海水浴场；海洋自然历史遗迹；风景名胜区；或其他特殊重要保护区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S2</w:t>
                  </w:r>
                </w:p>
              </w:tc>
              <w:tc>
                <w:tcPr>
                  <w:tcW w:w="7563"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发生事故时，危险物质泄漏到内陆水体的排放点下游（顺水流向）10 km范围内、近岸海域一个潮周期水质点可能达到的最大水平距离的两倍范围内，有如下一类或多类环境风险受体的：水产养殖区；天然渔场；森林公园；地质公园；海滨风景游览区；具有重要经济价值的海洋生物生存区域</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S3</w:t>
                  </w:r>
                </w:p>
              </w:tc>
              <w:tc>
                <w:tcPr>
                  <w:tcW w:w="7563"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排放点下游（顺水流向）10 km范围、近岸海域一个潮周期水质点可能达到的最大水平距离的两倍范围内无上述类型1和类型 2包括的敏感保护目标</w:t>
                  </w:r>
                </w:p>
              </w:tc>
            </w:tr>
          </w:tbl>
          <w:p>
            <w:pPr>
              <w:pStyle w:val="100"/>
              <w:rPr>
                <w:rFonts w:hint="default" w:ascii="Times New Roman" w:hAnsi="Times New Roman" w:cs="Times New Roman"/>
                <w:color w:val="auto"/>
              </w:rPr>
            </w:pP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根据项目工程分析，项目周边5km范围内无环境地表水体，距离地表水体较远。因此，本项目不考虑风险事故泄露危险物质对地表水体的影响。</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fldChar w:fldCharType="begin"/>
            </w:r>
            <w:r>
              <w:rPr>
                <w:rFonts w:hint="default" w:ascii="Times New Roman" w:hAnsi="Times New Roman" w:eastAsia="宋体" w:cs="Times New Roman"/>
                <w:bCs w:val="0"/>
                <w:color w:val="auto"/>
                <w:kern w:val="2"/>
                <w:sz w:val="24"/>
              </w:rPr>
              <w:instrText xml:space="preserve"> = 3 \* GB2 </w:instrText>
            </w:r>
            <w:r>
              <w:rPr>
                <w:rFonts w:hint="default" w:ascii="Times New Roman" w:hAnsi="Times New Roman" w:eastAsia="宋体" w:cs="Times New Roman"/>
                <w:bCs w:val="0"/>
                <w:color w:val="auto"/>
                <w:kern w:val="2"/>
                <w:sz w:val="24"/>
              </w:rPr>
              <w:fldChar w:fldCharType="separate"/>
            </w:r>
            <w:r>
              <w:rPr>
                <w:rFonts w:hint="default" w:ascii="Times New Roman" w:hAnsi="Times New Roman" w:eastAsia="宋体" w:cs="Times New Roman"/>
                <w:bCs w:val="0"/>
                <w:color w:val="auto"/>
                <w:kern w:val="2"/>
                <w:sz w:val="24"/>
              </w:rPr>
              <w:t>⑶</w:t>
            </w:r>
            <w:r>
              <w:rPr>
                <w:rFonts w:hint="default" w:ascii="Times New Roman" w:hAnsi="Times New Roman" w:eastAsia="宋体" w:cs="Times New Roman"/>
                <w:bCs w:val="0"/>
                <w:color w:val="auto"/>
                <w:kern w:val="2"/>
                <w:sz w:val="24"/>
              </w:rPr>
              <w:fldChar w:fldCharType="end"/>
            </w:r>
            <w:r>
              <w:rPr>
                <w:rFonts w:hint="default" w:ascii="Times New Roman" w:hAnsi="Times New Roman" w:eastAsia="宋体" w:cs="Times New Roman"/>
                <w:bCs w:val="0"/>
                <w:color w:val="auto"/>
                <w:kern w:val="2"/>
                <w:sz w:val="24"/>
              </w:rPr>
              <w:t>地下水环境敏感程度的确定</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根据《建设项目环境风险评价技术导则》（HJ169-2018）附录D的规定：项目所在区域地下水环境敏感程度依据地下水功能敏感性与包气带防污性能确定。区域地下水环境敏感程度共分为三种类型，E1 为环境高度敏感区，E2 为环境中度敏感区，E3 为环境低度敏感区，其分级原则见表44。其中地下水功能敏感性分区和包气带防污性能分级分别见表45 和表46。当同一建设项目涉及两个 G分区或 D分级及以上时，取相对值。</w:t>
            </w:r>
          </w:p>
          <w:p>
            <w:pPr>
              <w:pStyle w:val="129"/>
              <w:ind w:firstLine="480"/>
              <w:rPr>
                <w:rFonts w:hint="default" w:ascii="Times New Roman" w:hAnsi="Times New Roman" w:eastAsia="宋体" w:cs="Times New Roman"/>
                <w:color w:val="auto"/>
                <w:sz w:val="24"/>
                <w:szCs w:val="24"/>
              </w:rPr>
            </w:pPr>
          </w:p>
          <w:p>
            <w:pPr>
              <w:pStyle w:val="129"/>
              <w:ind w:firstLine="480"/>
              <w:rPr>
                <w:rFonts w:hint="default" w:ascii="Times New Roman" w:hAnsi="Times New Roman" w:eastAsia="宋体" w:cs="Times New Roman"/>
                <w:color w:val="auto"/>
                <w:sz w:val="24"/>
                <w:szCs w:val="24"/>
              </w:rPr>
            </w:pPr>
          </w:p>
          <w:p>
            <w:pPr>
              <w:pStyle w:val="129"/>
              <w:ind w:firstLine="480"/>
              <w:rPr>
                <w:rFonts w:hint="default" w:ascii="Times New Roman" w:hAnsi="Times New Roman" w:eastAsia="宋体" w:cs="Times New Roman"/>
                <w:color w:val="auto"/>
                <w:sz w:val="24"/>
                <w:szCs w:val="24"/>
              </w:rPr>
            </w:pP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表44  地下水环境敏感程度分级原则一览表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951"/>
              <w:gridCol w:w="2309"/>
              <w:gridCol w:w="2131"/>
              <w:gridCol w:w="21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restart"/>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环境敏感目标</w:t>
                  </w:r>
                </w:p>
              </w:tc>
              <w:tc>
                <w:tcPr>
                  <w:tcW w:w="6571" w:type="dxa"/>
                  <w:gridSpan w:val="3"/>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地下水功能敏感性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Merge w:val="continue"/>
                  <w:vAlign w:val="center"/>
                </w:tcPr>
                <w:p>
                  <w:pPr>
                    <w:pStyle w:val="141"/>
                    <w:spacing w:line="240" w:lineRule="auto"/>
                    <w:rPr>
                      <w:rFonts w:hint="default" w:ascii="Times New Roman" w:hAnsi="Times New Roman" w:cs="Times New Roman"/>
                      <w:color w:val="auto"/>
                      <w:sz w:val="21"/>
                      <w:szCs w:val="21"/>
                    </w:rPr>
                  </w:pP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D1</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D2</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E1</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5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D3</w:t>
                  </w:r>
                </w:p>
              </w:tc>
              <w:tc>
                <w:tcPr>
                  <w:tcW w:w="230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E2</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c>
                <w:tcPr>
                  <w:tcW w:w="2131"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E3</w:t>
                  </w:r>
                </w:p>
              </w:tc>
            </w:tr>
          </w:tbl>
          <w:p>
            <w:pPr>
              <w:pStyle w:val="100"/>
              <w:rPr>
                <w:rFonts w:hint="default" w:ascii="Times New Roman" w:hAnsi="Times New Roman" w:cs="Times New Roman"/>
                <w:color w:val="auto"/>
              </w:rPr>
            </w:pP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表45 地下水功能敏感性分区原则一览表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756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分级</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包气带岩土的渗透性能</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敏感G1</w:t>
                  </w:r>
                </w:p>
              </w:tc>
              <w:tc>
                <w:tcPr>
                  <w:tcW w:w="7563"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集中式饮用水水源（包括已建成的在用、备用、应急水源，在建和规划的饮用水水源）准保护区；除集中式饮用水水源以外的国家或地方政府设定的与地下水环境相关的其他保护区，如热水、矿泉水、温泉等特殊地下水资源保护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较敏感G2</w:t>
                  </w:r>
                </w:p>
              </w:tc>
              <w:tc>
                <w:tcPr>
                  <w:tcW w:w="7563" w:type="dxa"/>
                  <w:vAlign w:val="center"/>
                </w:tcPr>
                <w:p>
                  <w:pPr>
                    <w:pStyle w:val="141"/>
                    <w:spacing w:line="24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集中式饮用水水源（包括已建成的在用、备用、应急水源，在建和规划的饮用水水源）准保护区以外的补给径流区；未划定准保护区的集中式饮用水水源，其保护区以外的补给径流区；分散式饮用水水源地；特殊地下水资源（如热水、矿泉水、温泉等）保护区以外的分布区等其他未列入上述敏感分级的环境敏感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不敏感G3</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上述地区之外的其他地区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2"/>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环境敏感区”是指《建设项目环境影响评价分类管理名录》中所界定的涉及地下水的环境敏感区</w:t>
                  </w:r>
                </w:p>
              </w:tc>
            </w:tr>
          </w:tbl>
          <w:p>
            <w:pPr>
              <w:pStyle w:val="100"/>
              <w:rPr>
                <w:rFonts w:hint="default" w:ascii="Times New Roman" w:hAnsi="Times New Roman" w:cs="Times New Roman"/>
                <w:color w:val="auto"/>
              </w:rPr>
            </w:pP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表46 包气带防污性能分级原则一览表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756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分级</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环境敏感目标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敏感G1</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Mb≥1.0m，K≤1.0×10</w:t>
                  </w:r>
                  <w:r>
                    <w:rPr>
                      <w:rFonts w:hint="default" w:ascii="Times New Roman" w:hAnsi="Times New Roman" w:cs="Times New Roman"/>
                      <w:color w:val="auto"/>
                      <w:sz w:val="21"/>
                      <w:szCs w:val="21"/>
                      <w:vertAlign w:val="superscript"/>
                    </w:rPr>
                    <w:t>-6</w:t>
                  </w:r>
                  <w:r>
                    <w:rPr>
                      <w:rFonts w:hint="default" w:ascii="Times New Roman" w:hAnsi="Times New Roman" w:cs="Times New Roman"/>
                      <w:color w:val="auto"/>
                      <w:sz w:val="21"/>
                      <w:szCs w:val="21"/>
                    </w:rPr>
                    <w:t>cm/s，且分布连续、稳定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较敏感G2</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0.5m≤Mb&lt;1.0m，K≤1.0×10</w:t>
                  </w:r>
                  <w:r>
                    <w:rPr>
                      <w:rFonts w:hint="default" w:ascii="Times New Roman" w:hAnsi="Times New Roman" w:cs="Times New Roman"/>
                      <w:color w:val="auto"/>
                      <w:sz w:val="21"/>
                      <w:szCs w:val="21"/>
                      <w:vertAlign w:val="superscript"/>
                    </w:rPr>
                    <w:t>-6</w:t>
                  </w:r>
                  <w:r>
                    <w:rPr>
                      <w:rFonts w:hint="default" w:ascii="Times New Roman" w:hAnsi="Times New Roman" w:cs="Times New Roman"/>
                      <w:color w:val="auto"/>
                      <w:sz w:val="21"/>
                      <w:szCs w:val="21"/>
                    </w:rPr>
                    <w:t xml:space="preserve">cm/s，且分布连续、稳定 </w:t>
                  </w:r>
                </w:p>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Mb≥1.0m，1.0×10</w:t>
                  </w:r>
                  <w:r>
                    <w:rPr>
                      <w:rFonts w:hint="default" w:ascii="Times New Roman" w:hAnsi="Times New Roman" w:cs="Times New Roman"/>
                      <w:color w:val="auto"/>
                      <w:sz w:val="21"/>
                      <w:szCs w:val="21"/>
                      <w:vertAlign w:val="superscript"/>
                    </w:rPr>
                    <w:t>-6</w:t>
                  </w:r>
                  <w:r>
                    <w:rPr>
                      <w:rFonts w:hint="default" w:ascii="Times New Roman" w:hAnsi="Times New Roman" w:cs="Times New Roman"/>
                      <w:color w:val="auto"/>
                      <w:sz w:val="21"/>
                      <w:szCs w:val="21"/>
                    </w:rPr>
                    <w:t>cm/s＜K≤1.0×10</w:t>
                  </w:r>
                  <w:r>
                    <w:rPr>
                      <w:rFonts w:hint="default" w:ascii="Times New Roman" w:hAnsi="Times New Roman" w:cs="Times New Roman"/>
                      <w:color w:val="auto"/>
                      <w:sz w:val="21"/>
                      <w:szCs w:val="21"/>
                      <w:vertAlign w:val="superscript"/>
                    </w:rPr>
                    <w:t>-4</w:t>
                  </w:r>
                  <w:r>
                    <w:rPr>
                      <w:rFonts w:hint="default" w:ascii="Times New Roman" w:hAnsi="Times New Roman" w:cs="Times New Roman"/>
                      <w:color w:val="auto"/>
                      <w:sz w:val="21"/>
                      <w:szCs w:val="21"/>
                    </w:rPr>
                    <w:t>cm/s，且分布连续、稳定</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9"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不敏感G3</w:t>
                  </w:r>
                </w:p>
              </w:tc>
              <w:tc>
                <w:tcPr>
                  <w:tcW w:w="7563"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岩（土）层不满足上述“D2”和“D3”条件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2"/>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Mb：岩土层单层厚度。K：渗透系数。</w:t>
                  </w:r>
                </w:p>
              </w:tc>
            </w:tr>
          </w:tbl>
          <w:p>
            <w:pPr>
              <w:pStyle w:val="100"/>
              <w:rPr>
                <w:rFonts w:hint="default" w:ascii="Times New Roman" w:hAnsi="Times New Roman" w:cs="Times New Roman"/>
                <w:color w:val="auto"/>
              </w:rPr>
            </w:pP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项目所在区域既不属于集中式地下水饮用水水源（包括已建成的在用、备用、应急水源，在建和规划的饮用水水源）准保护区和准保护区以外的补给径流区，也不属于除集中式饮用水水源以外的国家或地方政府设定的与地下水环境相关的其他保护区，如热水、矿泉水、温泉等特殊地下水资源保护区和其他保护区的补给径流区；同时也不属于未划定准保护区的集中式饮用水水源、分散式饮用水水源地，根据表22的判定依据，本项目所在区域地下水功能敏感性为“不敏感”。</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根据前人研究成果，项目所在区域包气带厚度为6m,且分布连续、稳定，包气带渗透系数为11.97m/d(1.38x10-2cm/s)，根据的判定依据，本项目所在区域包气带防污性能分级为“D3”。</w:t>
            </w:r>
          </w:p>
          <w:p>
            <w:pPr>
              <w:pStyle w:val="12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根据判定依据，项目所在区域的地下水环境敏感程度分级为“E3”。</w:t>
            </w:r>
          </w:p>
          <w:p>
            <w:pPr>
              <w:pStyle w:val="12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（4）环境风险潜势判定</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经分析得知，本项目不考虑风险事故泄露危险物质对地表水体的影响，项目的所在区域大气环境敏感程度为环境低度敏感区E3，项目所在区域的地下水环境敏感程度分级为“E3”，其环境风险潜势判定结果具体见表47。</w:t>
            </w: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表47 项目环境风险潜势判定结果一览表</w:t>
            </w:r>
          </w:p>
          <w:tbl>
            <w:tblPr>
              <w:tblStyle w:val="33"/>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576"/>
              <w:gridCol w:w="594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576" w:type="dxa"/>
                  <w:vMerge w:val="restart"/>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项目环境敏感程度</w:t>
                  </w:r>
                </w:p>
              </w:tc>
              <w:tc>
                <w:tcPr>
                  <w:tcW w:w="594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项目危险物质及工艺系统危险性P</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576" w:type="dxa"/>
                  <w:vMerge w:val="continue"/>
                  <w:vAlign w:val="center"/>
                </w:tcPr>
                <w:p>
                  <w:pPr>
                    <w:pStyle w:val="141"/>
                    <w:spacing w:line="240" w:lineRule="auto"/>
                    <w:rPr>
                      <w:rFonts w:hint="default" w:ascii="Times New Roman" w:hAnsi="Times New Roman" w:cs="Times New Roman"/>
                      <w:color w:val="auto"/>
                      <w:sz w:val="21"/>
                      <w:szCs w:val="21"/>
                    </w:rPr>
                  </w:pPr>
                </w:p>
              </w:tc>
              <w:tc>
                <w:tcPr>
                  <w:tcW w:w="594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（P4）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57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大气环境高敏感度区（E3）</w:t>
                  </w:r>
                </w:p>
              </w:tc>
              <w:tc>
                <w:tcPr>
                  <w:tcW w:w="594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57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地下水环境中敏感度区（E3）</w:t>
                  </w:r>
                </w:p>
              </w:tc>
              <w:tc>
                <w:tcPr>
                  <w:tcW w:w="5946" w:type="dxa"/>
                  <w:vAlign w:val="center"/>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w:t>
                  </w:r>
                </w:p>
              </w:tc>
            </w:tr>
          </w:tbl>
          <w:p>
            <w:pPr>
              <w:pStyle w:val="100"/>
              <w:rPr>
                <w:rFonts w:hint="default" w:ascii="Times New Roman" w:hAnsi="Times New Roman" w:cs="Times New Roman"/>
                <w:color w:val="auto"/>
              </w:rPr>
            </w:pPr>
          </w:p>
          <w:p>
            <w:pPr>
              <w:pStyle w:val="127"/>
              <w:spacing w:line="360" w:lineRule="auto"/>
              <w:rPr>
                <w:rFonts w:hint="default" w:ascii="Times New Roman" w:hAnsi="Times New Roman" w:eastAsia="宋体" w:cs="Times New Roman"/>
                <w:bCs w:val="0"/>
                <w:color w:val="auto"/>
                <w:kern w:val="2"/>
                <w:sz w:val="24"/>
                <w:szCs w:val="24"/>
              </w:rPr>
            </w:pPr>
            <w:r>
              <w:rPr>
                <w:rFonts w:hint="default" w:ascii="Times New Roman" w:hAnsi="Times New Roman" w:eastAsia="宋体" w:cs="Times New Roman"/>
                <w:bCs w:val="0"/>
                <w:color w:val="auto"/>
                <w:kern w:val="2"/>
                <w:sz w:val="24"/>
                <w:szCs w:val="24"/>
              </w:rPr>
              <w:t>从表24中可知，本项目的大气环境风险潜势和地下水环境风险潜势分别为</w:t>
            </w:r>
            <w:r>
              <w:rPr>
                <w:rFonts w:hint="default" w:ascii="Times New Roman" w:hAnsi="Times New Roman" w:eastAsia="宋体" w:cs="Times New Roman"/>
                <w:color w:val="auto"/>
                <w:sz w:val="24"/>
                <w:szCs w:val="24"/>
              </w:rPr>
              <w:t>I</w:t>
            </w:r>
            <w:r>
              <w:rPr>
                <w:rFonts w:hint="default" w:ascii="Times New Roman" w:hAnsi="Times New Roman" w:eastAsia="宋体" w:cs="Times New Roman"/>
                <w:bCs w:val="0"/>
                <w:color w:val="auto"/>
                <w:kern w:val="2"/>
                <w:sz w:val="24"/>
                <w:szCs w:val="24"/>
              </w:rPr>
              <w:t>级和</w:t>
            </w:r>
            <w:r>
              <w:rPr>
                <w:rFonts w:hint="default" w:ascii="Times New Roman" w:hAnsi="Times New Roman" w:eastAsia="宋体" w:cs="Times New Roman"/>
                <w:color w:val="auto"/>
                <w:sz w:val="24"/>
                <w:szCs w:val="24"/>
              </w:rPr>
              <w:t>I</w:t>
            </w:r>
            <w:r>
              <w:rPr>
                <w:rFonts w:hint="default" w:ascii="Times New Roman" w:hAnsi="Times New Roman" w:eastAsia="宋体" w:cs="Times New Roman"/>
                <w:bCs w:val="0"/>
                <w:color w:val="auto"/>
                <w:kern w:val="2"/>
                <w:sz w:val="24"/>
                <w:szCs w:val="24"/>
              </w:rPr>
              <w:t>级。根据《建设项目环境风险评价技术导则》（HJ169-2018）的要求：“建设项目环境风险潜势综合等级取各要素等级的相对高值。”，因此，本项目的环境风险潜势为</w:t>
            </w:r>
            <w:r>
              <w:rPr>
                <w:rFonts w:hint="default" w:ascii="Times New Roman" w:hAnsi="Times New Roman" w:eastAsia="宋体" w:cs="Times New Roman"/>
                <w:color w:val="auto"/>
                <w:sz w:val="24"/>
                <w:szCs w:val="24"/>
              </w:rPr>
              <w:t>I</w:t>
            </w:r>
            <w:r>
              <w:rPr>
                <w:rFonts w:hint="default" w:ascii="Times New Roman" w:hAnsi="Times New Roman" w:eastAsia="宋体" w:cs="Times New Roman"/>
                <w:bCs w:val="0"/>
                <w:color w:val="auto"/>
                <w:kern w:val="2"/>
                <w:sz w:val="24"/>
                <w:szCs w:val="24"/>
              </w:rPr>
              <w:t>级。</w:t>
            </w:r>
          </w:p>
          <w:p>
            <w:pPr>
              <w:pStyle w:val="76"/>
              <w:numPr>
                <w:ilvl w:val="0"/>
                <w:numId w:val="0"/>
              </w:numPr>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rPr>
              <w:t>5.3 评价等级</w:t>
            </w: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根据《建设项目环境风险评价技术导则》（HJ169-2018）规定：“环境风险评价工作是依据建设项目涉及的物质及工艺系统危险性和所在地的环境敏感性确定环境风险潜势进行分级，其具体分级判据见表48。</w:t>
            </w: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表48 项目环境影响评价等级判据一览表</w:t>
            </w:r>
          </w:p>
          <w:tbl>
            <w:tblPr>
              <w:tblStyle w:val="33"/>
              <w:tblW w:w="0" w:type="auto"/>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812"/>
              <w:gridCol w:w="2221"/>
              <w:gridCol w:w="2223"/>
              <w:gridCol w:w="222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12" w:type="dxa"/>
                  <w:tcBorders>
                    <w:left w:val="single" w:color="auto" w:sz="0" w:space="0"/>
                  </w:tcBorders>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VI、VI</w:t>
                  </w:r>
                  <w:r>
                    <w:rPr>
                      <w:rFonts w:hint="default" w:ascii="Times New Roman" w:hAnsi="Times New Roman" w:cs="Times New Roman"/>
                      <w:color w:val="auto"/>
                      <w:sz w:val="21"/>
                      <w:szCs w:val="21"/>
                      <w:vertAlign w:val="superscript"/>
                    </w:rPr>
                    <w:t>+</w:t>
                  </w:r>
                </w:p>
              </w:tc>
              <w:tc>
                <w:tcPr>
                  <w:tcW w:w="2221"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III</w:t>
                  </w:r>
                </w:p>
              </w:tc>
              <w:tc>
                <w:tcPr>
                  <w:tcW w:w="222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II</w:t>
                  </w:r>
                </w:p>
              </w:tc>
              <w:tc>
                <w:tcPr>
                  <w:tcW w:w="2223" w:type="dxa"/>
                  <w:tcBorders>
                    <w:right w:val="single" w:color="000000" w:sz="12" w:space="0"/>
                  </w:tcBorders>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I</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1812" w:type="dxa"/>
                  <w:tcBorders>
                    <w:left w:val="single" w:color="000000" w:sz="4" w:space="0"/>
                  </w:tcBorders>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w:t>
                  </w:r>
                </w:p>
              </w:tc>
              <w:tc>
                <w:tcPr>
                  <w:tcW w:w="2221"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二</w:t>
                  </w:r>
                </w:p>
              </w:tc>
              <w:tc>
                <w:tcPr>
                  <w:tcW w:w="2223" w:type="dxa"/>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w:t>
                  </w:r>
                </w:p>
              </w:tc>
              <w:tc>
                <w:tcPr>
                  <w:tcW w:w="2223" w:type="dxa"/>
                  <w:tcBorders>
                    <w:right w:val="single" w:color="000000" w:sz="12" w:space="0"/>
                  </w:tcBorders>
                </w:tcPr>
                <w:p>
                  <w:pPr>
                    <w:pStyle w:val="141"/>
                    <w:spacing w:line="24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简单分析</w:t>
                  </w:r>
                </w:p>
              </w:tc>
            </w:tr>
          </w:tbl>
          <w:p>
            <w:pPr>
              <w:pStyle w:val="100"/>
              <w:rPr>
                <w:rFonts w:hint="default" w:ascii="Times New Roman" w:hAnsi="Times New Roman" w:cs="Times New Roman"/>
                <w:color w:val="auto"/>
              </w:rPr>
            </w:pPr>
          </w:p>
          <w:p>
            <w:pPr>
              <w:pStyle w:val="127"/>
              <w:spacing w:line="360" w:lineRule="auto"/>
              <w:rPr>
                <w:rFonts w:hint="default" w:ascii="Times New Roman" w:hAnsi="Times New Roman" w:eastAsia="宋体" w:cs="Times New Roman"/>
                <w:bCs w:val="0"/>
                <w:color w:val="auto"/>
                <w:kern w:val="2"/>
                <w:sz w:val="24"/>
              </w:rPr>
            </w:pPr>
            <w:r>
              <w:rPr>
                <w:rFonts w:hint="default" w:ascii="Times New Roman" w:hAnsi="Times New Roman" w:eastAsia="宋体" w:cs="Times New Roman"/>
                <w:bCs w:val="0"/>
                <w:color w:val="auto"/>
                <w:kern w:val="2"/>
                <w:sz w:val="24"/>
              </w:rPr>
              <w:t xml:space="preserve"> 根据分析结果显示，本项目的环境风险潜势为</w:t>
            </w:r>
            <w:r>
              <w:rPr>
                <w:rFonts w:hint="default" w:ascii="Times New Roman" w:hAnsi="Times New Roman" w:eastAsia="宋体" w:cs="Times New Roman"/>
                <w:color w:val="auto"/>
                <w:sz w:val="24"/>
                <w:szCs w:val="24"/>
              </w:rPr>
              <w:t>I</w:t>
            </w:r>
            <w:r>
              <w:rPr>
                <w:rFonts w:hint="default" w:ascii="Times New Roman" w:hAnsi="Times New Roman" w:eastAsia="宋体" w:cs="Times New Roman"/>
                <w:bCs w:val="0"/>
                <w:color w:val="auto"/>
                <w:kern w:val="2"/>
                <w:sz w:val="24"/>
              </w:rPr>
              <w:t>级，因此本项目的环境风险评价等级为简单分析。</w:t>
            </w:r>
          </w:p>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5.4环境敏感目标概况</w:t>
            </w:r>
          </w:p>
          <w:p>
            <w:pPr>
              <w:ind w:firstLine="480" w:firstLineChars="200"/>
              <w:rPr>
                <w:rFonts w:hint="default" w:ascii="Times New Roman" w:hAnsi="Times New Roman" w:eastAsia="Times New Roman" w:cs="Times New Roman"/>
                <w:b/>
                <w:bCs/>
                <w:color w:val="auto"/>
                <w:sz w:val="24"/>
              </w:rPr>
            </w:pPr>
            <w:r>
              <w:rPr>
                <w:rFonts w:hint="default" w:ascii="Times New Roman" w:hAnsi="Times New Roman" w:cs="Times New Roman"/>
                <w:color w:val="auto"/>
                <w:sz w:val="24"/>
              </w:rPr>
              <w:t>项目周边3km范围内无居民区、医疗卫生、文化教育、科研等敏感目标，项目区周边范围以农田为主。</w:t>
            </w:r>
          </w:p>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5.5环境风险识别</w:t>
            </w:r>
          </w:p>
          <w:p>
            <w:pPr>
              <w:pStyle w:val="127"/>
              <w:spacing w:line="360" w:lineRule="auto"/>
              <w:rPr>
                <w:rFonts w:hint="default" w:ascii="Times New Roman" w:hAnsi="Times New Roman" w:eastAsia="宋体" w:cs="Times New Roman"/>
                <w:bCs w:val="0"/>
                <w:color w:val="auto"/>
                <w:kern w:val="2"/>
                <w:sz w:val="24"/>
                <w:szCs w:val="24"/>
              </w:rPr>
            </w:pPr>
            <w:r>
              <w:rPr>
                <w:rFonts w:hint="default" w:ascii="Times New Roman" w:hAnsi="Times New Roman" w:eastAsia="宋体" w:cs="Times New Roman"/>
                <w:color w:val="auto"/>
                <w:sz w:val="24"/>
                <w:szCs w:val="24"/>
              </w:rPr>
              <w:t>（1）</w:t>
            </w:r>
            <w:r>
              <w:rPr>
                <w:rFonts w:hint="default" w:ascii="Times New Roman" w:hAnsi="Times New Roman" w:eastAsia="宋体" w:cs="Times New Roman"/>
                <w:bCs w:val="0"/>
                <w:color w:val="auto"/>
                <w:kern w:val="2"/>
                <w:sz w:val="24"/>
                <w:szCs w:val="24"/>
              </w:rPr>
              <w:t>物质危险性识别</w:t>
            </w:r>
          </w:p>
          <w:p>
            <w:pPr>
              <w:tabs>
                <w:tab w:val="left" w:pos="2310"/>
              </w:tabs>
              <w:topLinePunct/>
              <w:autoSpaceDN w:val="0"/>
              <w:snapToGrid w:val="0"/>
              <w:spacing w:line="360" w:lineRule="auto"/>
              <w:ind w:right="-29" w:rightChars="-14" w:firstLine="480" w:firstLineChars="200"/>
              <w:jc w:val="left"/>
              <w:rPr>
                <w:rFonts w:hint="default" w:ascii="Times New Roman" w:hAnsi="Times New Roman" w:cs="Times New Roman"/>
                <w:bCs/>
                <w:color w:val="auto"/>
                <w:sz w:val="24"/>
              </w:rPr>
            </w:pPr>
            <w:r>
              <w:rPr>
                <w:rFonts w:hint="default" w:ascii="Times New Roman" w:hAnsi="Times New Roman" w:cs="Times New Roman"/>
                <w:bCs/>
                <w:color w:val="auto"/>
                <w:sz w:val="24"/>
              </w:rPr>
              <w:t>本项目主要涉及物质有粗白油。依据《危险化学品目录》（2015版）对本项目涉及的物质进行辨别可知：本项目涉及的粗白油不属于危险化学品</w:t>
            </w:r>
            <w:r>
              <w:rPr>
                <w:rFonts w:hint="default" w:ascii="Times New Roman" w:hAnsi="Times New Roman" w:cs="Times New Roman"/>
                <w:color w:val="auto"/>
                <w:sz w:val="24"/>
              </w:rPr>
              <w:t>。</w:t>
            </w:r>
          </w:p>
          <w:p>
            <w:pPr>
              <w:widowControl/>
              <w:spacing w:line="360" w:lineRule="auto"/>
              <w:ind w:firstLine="480"/>
              <w:jc w:val="left"/>
              <w:rPr>
                <w:rFonts w:hint="default" w:ascii="Times New Roman" w:hAnsi="Times New Roman" w:cs="Times New Roman"/>
                <w:color w:val="auto"/>
                <w:sz w:val="24"/>
              </w:rPr>
            </w:pPr>
            <w:r>
              <w:rPr>
                <w:rFonts w:hint="default" w:ascii="Times New Roman" w:hAnsi="Times New Roman" w:cs="Times New Roman"/>
                <w:color w:val="auto"/>
                <w:sz w:val="24"/>
              </w:rPr>
              <w:t>（2）生产系统危险性识别</w:t>
            </w:r>
          </w:p>
          <w:p>
            <w:pPr>
              <w:pStyle w:val="2"/>
              <w:spacing w:after="0"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参照GB6441-1986《企业职工伤亡事故分类》，综合考虑起因物、引起事故的诱导性原因、致害物、伤害方式等，对项目储存过程中存在的主要危险、有害因素进行辨识。详见表49。</w:t>
            </w:r>
          </w:p>
          <w:p>
            <w:pPr>
              <w:pStyle w:val="129"/>
              <w:ind w:firstLine="480"/>
              <w:rPr>
                <w:rFonts w:hint="default" w:ascii="Times New Roman" w:hAnsi="Times New Roman" w:eastAsia="宋体" w:cs="Times New Roman"/>
                <w:color w:val="auto"/>
                <w:sz w:val="24"/>
                <w:szCs w:val="24"/>
              </w:rPr>
            </w:pPr>
          </w:p>
          <w:p>
            <w:pPr>
              <w:pStyle w:val="129"/>
              <w:ind w:firstLine="480"/>
              <w:rPr>
                <w:rFonts w:hint="default" w:ascii="Times New Roman" w:hAnsi="Times New Roman" w:eastAsia="宋体" w:cs="Times New Roman"/>
                <w:color w:val="auto"/>
                <w:sz w:val="24"/>
                <w:szCs w:val="24"/>
              </w:rPr>
            </w:pPr>
          </w:p>
          <w:p>
            <w:pPr>
              <w:pStyle w:val="129"/>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表49  项目危险性识别及分布</w:t>
            </w:r>
          </w:p>
          <w:tbl>
            <w:tblPr>
              <w:tblStyle w:val="33"/>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9"/>
              <w:gridCol w:w="1044"/>
              <w:gridCol w:w="1053"/>
              <w:gridCol w:w="1047"/>
              <w:gridCol w:w="1533"/>
              <w:gridCol w:w="34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3" w:type="pct"/>
                  <w:vAlign w:val="center"/>
                </w:tcPr>
                <w:p>
                  <w:pPr>
                    <w:topLinePunct/>
                    <w:autoSpaceDN w:val="0"/>
                    <w:ind w:right="-29" w:rightChars="-14"/>
                    <w:jc w:val="center"/>
                    <w:rPr>
                      <w:rFonts w:hint="default" w:ascii="Times New Roman" w:hAnsi="Times New Roman" w:cs="Times New Roman"/>
                      <w:b/>
                      <w:color w:val="auto"/>
                      <w:szCs w:val="21"/>
                    </w:rPr>
                  </w:pPr>
                  <w:r>
                    <w:rPr>
                      <w:rFonts w:hint="default" w:ascii="Times New Roman" w:hAnsi="Times New Roman" w:cs="Times New Roman"/>
                      <w:b/>
                      <w:color w:val="auto"/>
                      <w:szCs w:val="21"/>
                    </w:rPr>
                    <w:t>序号</w:t>
                  </w:r>
                </w:p>
              </w:tc>
              <w:tc>
                <w:tcPr>
                  <w:tcW w:w="1225" w:type="pct"/>
                  <w:gridSpan w:val="2"/>
                  <w:vAlign w:val="center"/>
                </w:tcPr>
                <w:p>
                  <w:pPr>
                    <w:topLinePunct/>
                    <w:autoSpaceDN w:val="0"/>
                    <w:ind w:right="-29" w:rightChars="-14"/>
                    <w:jc w:val="center"/>
                    <w:rPr>
                      <w:rFonts w:hint="default" w:ascii="Times New Roman" w:hAnsi="Times New Roman" w:cs="Times New Roman"/>
                      <w:b/>
                      <w:color w:val="auto"/>
                      <w:szCs w:val="21"/>
                    </w:rPr>
                  </w:pPr>
                  <w:r>
                    <w:rPr>
                      <w:rFonts w:hint="default" w:ascii="Times New Roman" w:hAnsi="Times New Roman" w:cs="Times New Roman"/>
                      <w:b/>
                      <w:color w:val="auto"/>
                      <w:szCs w:val="21"/>
                    </w:rPr>
                    <w:t>单元划分</w:t>
                  </w:r>
                </w:p>
              </w:tc>
              <w:tc>
                <w:tcPr>
                  <w:tcW w:w="612" w:type="pct"/>
                  <w:vAlign w:val="center"/>
                </w:tcPr>
                <w:p>
                  <w:pPr>
                    <w:topLinePunct/>
                    <w:autoSpaceDN w:val="0"/>
                    <w:ind w:right="-29" w:rightChars="-14"/>
                    <w:jc w:val="center"/>
                    <w:rPr>
                      <w:rFonts w:hint="default" w:ascii="Times New Roman" w:hAnsi="Times New Roman" w:cs="Times New Roman"/>
                      <w:b/>
                      <w:color w:val="auto"/>
                      <w:szCs w:val="21"/>
                    </w:rPr>
                  </w:pPr>
                  <w:r>
                    <w:rPr>
                      <w:rFonts w:hint="default" w:ascii="Times New Roman" w:hAnsi="Times New Roman" w:cs="Times New Roman"/>
                      <w:b/>
                      <w:color w:val="auto"/>
                      <w:szCs w:val="21"/>
                    </w:rPr>
                    <w:t>装置或设施</w:t>
                  </w:r>
                </w:p>
              </w:tc>
              <w:tc>
                <w:tcPr>
                  <w:tcW w:w="896" w:type="pct"/>
                  <w:vAlign w:val="center"/>
                </w:tcPr>
                <w:p>
                  <w:pPr>
                    <w:topLinePunct/>
                    <w:autoSpaceDN w:val="0"/>
                    <w:ind w:right="-29" w:rightChars="-14"/>
                    <w:jc w:val="center"/>
                    <w:rPr>
                      <w:rFonts w:hint="default" w:ascii="Times New Roman" w:hAnsi="Times New Roman" w:cs="Times New Roman"/>
                      <w:b/>
                      <w:color w:val="auto"/>
                      <w:szCs w:val="21"/>
                    </w:rPr>
                  </w:pPr>
                  <w:r>
                    <w:rPr>
                      <w:rFonts w:hint="default" w:ascii="Times New Roman" w:hAnsi="Times New Roman" w:cs="Times New Roman"/>
                      <w:b/>
                      <w:color w:val="auto"/>
                      <w:szCs w:val="21"/>
                    </w:rPr>
                    <w:t>诱导性原因、致害物</w:t>
                  </w:r>
                </w:p>
              </w:tc>
              <w:tc>
                <w:tcPr>
                  <w:tcW w:w="2031" w:type="pct"/>
                  <w:vAlign w:val="center"/>
                </w:tcPr>
                <w:p>
                  <w:pPr>
                    <w:topLinePunct/>
                    <w:autoSpaceDN w:val="0"/>
                    <w:ind w:right="-29" w:rightChars="-14"/>
                    <w:jc w:val="center"/>
                    <w:rPr>
                      <w:rFonts w:hint="default" w:ascii="Times New Roman" w:hAnsi="Times New Roman" w:cs="Times New Roman"/>
                      <w:b/>
                      <w:color w:val="auto"/>
                      <w:szCs w:val="21"/>
                    </w:rPr>
                  </w:pPr>
                  <w:r>
                    <w:rPr>
                      <w:rFonts w:hint="default" w:ascii="Times New Roman" w:hAnsi="Times New Roman" w:cs="Times New Roman"/>
                      <w:b/>
                      <w:color w:val="auto"/>
                      <w:szCs w:val="21"/>
                    </w:rPr>
                    <w:t>事故类别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233" w:type="pct"/>
                  <w:vMerge w:val="restart"/>
                  <w:vAlign w:val="center"/>
                </w:tcPr>
                <w:p>
                  <w:pPr>
                    <w:topLinePunct/>
                    <w:autoSpaceDN w:val="0"/>
                    <w:ind w:right="-29" w:rightChars="-14"/>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610" w:type="pct"/>
                  <w:vMerge w:val="restar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储存单元</w:t>
                  </w:r>
                </w:p>
              </w:tc>
              <w:tc>
                <w:tcPr>
                  <w:tcW w:w="614" w:type="pct"/>
                  <w:vAlign w:val="center"/>
                </w:tcPr>
                <w:p>
                  <w:pPr>
                    <w:pStyle w:val="12"/>
                    <w:tabs>
                      <w:tab w:val="left" w:pos="240"/>
                    </w:tabs>
                    <w:snapToGrid w:val="0"/>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储罐区</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粗白油储罐</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粗白油、罐体</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泄漏、火灾、爆炸、中毒、机械伤害、触电、高处坠落、物体打击、噪声等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33" w:type="pct"/>
                  <w:vMerge w:val="continue"/>
                  <w:vAlign w:val="center"/>
                </w:tcPr>
                <w:p>
                  <w:pPr>
                    <w:topLinePunct/>
                    <w:autoSpaceDN w:val="0"/>
                    <w:ind w:right="-29" w:rightChars="-14"/>
                    <w:rPr>
                      <w:rFonts w:hint="default" w:ascii="Times New Roman" w:hAnsi="Times New Roman" w:cs="Times New Roman"/>
                      <w:color w:val="auto"/>
                      <w:szCs w:val="21"/>
                    </w:rPr>
                  </w:pPr>
                </w:p>
              </w:tc>
              <w:tc>
                <w:tcPr>
                  <w:tcW w:w="610" w:type="pct"/>
                  <w:vMerge w:val="continue"/>
                  <w:vAlign w:val="center"/>
                </w:tcPr>
                <w:p>
                  <w:pPr>
                    <w:topLinePunct/>
                    <w:autoSpaceDN w:val="0"/>
                    <w:snapToGrid w:val="0"/>
                    <w:ind w:right="-29" w:rightChars="-14"/>
                    <w:jc w:val="center"/>
                    <w:rPr>
                      <w:rFonts w:hint="default" w:ascii="Times New Roman" w:hAnsi="Times New Roman" w:cs="Times New Roman"/>
                      <w:color w:val="auto"/>
                      <w:szCs w:val="21"/>
                    </w:rPr>
                  </w:pPr>
                </w:p>
              </w:tc>
              <w:tc>
                <w:tcPr>
                  <w:tcW w:w="614" w:type="pct"/>
                  <w:vAlign w:val="center"/>
                </w:tcPr>
                <w:p>
                  <w:pPr>
                    <w:pStyle w:val="12"/>
                    <w:tabs>
                      <w:tab w:val="left" w:pos="240"/>
                    </w:tabs>
                    <w:snapToGrid w:val="0"/>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管线</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物料管线</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泄漏、火灾、爆炸、中毒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233" w:type="pct"/>
                  <w:vMerge w:val="continue"/>
                  <w:vAlign w:val="center"/>
                </w:tcPr>
                <w:p>
                  <w:pPr>
                    <w:topLinePunct/>
                    <w:autoSpaceDN w:val="0"/>
                    <w:ind w:right="-29" w:rightChars="-14"/>
                    <w:rPr>
                      <w:rFonts w:hint="default" w:ascii="Times New Roman" w:hAnsi="Times New Roman" w:cs="Times New Roman"/>
                      <w:color w:val="auto"/>
                      <w:szCs w:val="21"/>
                    </w:rPr>
                  </w:pPr>
                </w:p>
              </w:tc>
              <w:tc>
                <w:tcPr>
                  <w:tcW w:w="610" w:type="pct"/>
                  <w:vMerge w:val="continue"/>
                  <w:vAlign w:val="center"/>
                </w:tcPr>
                <w:p>
                  <w:pPr>
                    <w:topLinePunct/>
                    <w:autoSpaceDN w:val="0"/>
                    <w:snapToGrid w:val="0"/>
                    <w:ind w:right="-29" w:rightChars="-14"/>
                    <w:jc w:val="center"/>
                    <w:rPr>
                      <w:rFonts w:hint="default" w:ascii="Times New Roman" w:hAnsi="Times New Roman" w:cs="Times New Roman"/>
                      <w:color w:val="auto"/>
                      <w:szCs w:val="21"/>
                    </w:rPr>
                  </w:pPr>
                </w:p>
              </w:tc>
              <w:tc>
                <w:tcPr>
                  <w:tcW w:w="614" w:type="pct"/>
                  <w:vAlign w:val="center"/>
                </w:tcPr>
                <w:p>
                  <w:pPr>
                    <w:pStyle w:val="12"/>
                    <w:tabs>
                      <w:tab w:val="left" w:pos="240"/>
                    </w:tabs>
                    <w:snapToGrid w:val="0"/>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装卸站</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装卸台、鹤管</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粗白油、槽车</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泄漏、火灾、爆炸、中毒、车辆伤害、触电、高处坠落、噪声等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233" w:type="pct"/>
                  <w:vMerge w:val="restart"/>
                  <w:vAlign w:val="center"/>
                </w:tcPr>
                <w:p>
                  <w:pPr>
                    <w:topLinePunct/>
                    <w:autoSpaceDN w:val="0"/>
                    <w:ind w:right="-29" w:rightChars="-14"/>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610" w:type="pct"/>
                  <w:vMerge w:val="restart"/>
                  <w:vAlign w:val="center"/>
                </w:tcPr>
                <w:p>
                  <w:pPr>
                    <w:topLinePunct/>
                    <w:autoSpaceDN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共用工程</w:t>
                  </w:r>
                </w:p>
              </w:tc>
              <w:tc>
                <w:tcPr>
                  <w:tcW w:w="614" w:type="pct"/>
                  <w:vAlign w:val="center"/>
                </w:tcPr>
                <w:p>
                  <w:pPr>
                    <w:pStyle w:val="12"/>
                    <w:tabs>
                      <w:tab w:val="left" w:pos="240"/>
                    </w:tabs>
                    <w:spacing w:line="300" w:lineRule="exact"/>
                    <w:ind w:firstLine="0" w:firstLineChars="0"/>
                    <w:jc w:val="left"/>
                    <w:rPr>
                      <w:rFonts w:hint="default" w:ascii="Times New Roman" w:hAnsi="Times New Roman" w:cs="Times New Roman"/>
                      <w:color w:val="auto"/>
                      <w:szCs w:val="21"/>
                    </w:rPr>
                  </w:pPr>
                  <w:r>
                    <w:rPr>
                      <w:rFonts w:hint="default" w:ascii="Times New Roman" w:hAnsi="Times New Roman" w:cs="Times New Roman"/>
                      <w:color w:val="auto"/>
                      <w:szCs w:val="21"/>
                    </w:rPr>
                    <w:t>供配电</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电气设备、设施</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电</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触电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33" w:type="pct"/>
                  <w:vMerge w:val="continue"/>
                  <w:vAlign w:val="center"/>
                </w:tcPr>
                <w:p>
                  <w:pPr>
                    <w:widowControl/>
                    <w:topLinePunct/>
                    <w:autoSpaceDN w:val="0"/>
                    <w:ind w:right="-29" w:rightChars="-14"/>
                    <w:jc w:val="left"/>
                    <w:rPr>
                      <w:rFonts w:hint="default" w:ascii="Times New Roman" w:hAnsi="Times New Roman" w:cs="Times New Roman"/>
                      <w:color w:val="auto"/>
                      <w:szCs w:val="21"/>
                    </w:rPr>
                  </w:pPr>
                </w:p>
              </w:tc>
              <w:tc>
                <w:tcPr>
                  <w:tcW w:w="610" w:type="pct"/>
                  <w:vMerge w:val="continue"/>
                  <w:vAlign w:val="center"/>
                </w:tcPr>
                <w:p>
                  <w:pPr>
                    <w:widowControl/>
                    <w:topLinePunct/>
                    <w:autoSpaceDN w:val="0"/>
                    <w:ind w:right="-29" w:rightChars="-14"/>
                    <w:jc w:val="center"/>
                    <w:rPr>
                      <w:rFonts w:hint="default" w:ascii="Times New Roman" w:hAnsi="Times New Roman" w:cs="Times New Roman"/>
                      <w:color w:val="auto"/>
                      <w:szCs w:val="21"/>
                    </w:rPr>
                  </w:pPr>
                </w:p>
              </w:tc>
              <w:tc>
                <w:tcPr>
                  <w:tcW w:w="614" w:type="pct"/>
                  <w:vAlign w:val="center"/>
                </w:tcPr>
                <w:p>
                  <w:pPr>
                    <w:pStyle w:val="12"/>
                    <w:tabs>
                      <w:tab w:val="left" w:pos="240"/>
                    </w:tabs>
                    <w:spacing w:line="300" w:lineRule="exact"/>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给排水</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33" w:type="pct"/>
                  <w:vMerge w:val="continue"/>
                  <w:vAlign w:val="center"/>
                </w:tcPr>
                <w:p>
                  <w:pPr>
                    <w:widowControl/>
                    <w:topLinePunct/>
                    <w:autoSpaceDN w:val="0"/>
                    <w:ind w:right="-29" w:rightChars="-14"/>
                    <w:jc w:val="left"/>
                    <w:rPr>
                      <w:rFonts w:hint="default" w:ascii="Times New Roman" w:hAnsi="Times New Roman" w:cs="Times New Roman"/>
                      <w:color w:val="auto"/>
                      <w:szCs w:val="21"/>
                    </w:rPr>
                  </w:pPr>
                </w:p>
              </w:tc>
              <w:tc>
                <w:tcPr>
                  <w:tcW w:w="610" w:type="pct"/>
                  <w:vMerge w:val="restart"/>
                  <w:vAlign w:val="center"/>
                </w:tcPr>
                <w:p>
                  <w:pPr>
                    <w:widowControl/>
                    <w:topLinePunct/>
                    <w:autoSpaceDN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辅助设施</w:t>
                  </w:r>
                </w:p>
              </w:tc>
              <w:tc>
                <w:tcPr>
                  <w:tcW w:w="614" w:type="pct"/>
                  <w:vAlign w:val="center"/>
                </w:tcPr>
                <w:p>
                  <w:pPr>
                    <w:pStyle w:val="12"/>
                    <w:tabs>
                      <w:tab w:val="left" w:pos="240"/>
                    </w:tabs>
                    <w:spacing w:line="300" w:lineRule="exact"/>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消防水系统</w:t>
                  </w:r>
                </w:p>
              </w:tc>
              <w:tc>
                <w:tcPr>
                  <w:tcW w:w="612" w:type="pct"/>
                  <w:vAlign w:val="center"/>
                </w:tcPr>
                <w:p>
                  <w:pPr>
                    <w:wordWrap w:val="0"/>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消防水池、循环水池</w:t>
                  </w:r>
                </w:p>
              </w:tc>
              <w:tc>
                <w:tcPr>
                  <w:tcW w:w="896" w:type="pct"/>
                  <w:vAlign w:val="center"/>
                </w:tcPr>
                <w:p>
                  <w:pPr>
                    <w:wordWrap w:val="0"/>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水、水泵</w:t>
                  </w:r>
                </w:p>
              </w:tc>
              <w:tc>
                <w:tcPr>
                  <w:tcW w:w="2031" w:type="pct"/>
                  <w:vAlign w:val="center"/>
                </w:tcPr>
                <w:p>
                  <w:pPr>
                    <w:wordWrap w:val="0"/>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淹溺、触电、机械伤害等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33" w:type="pct"/>
                  <w:vMerge w:val="continue"/>
                  <w:vAlign w:val="center"/>
                </w:tcPr>
                <w:p>
                  <w:pPr>
                    <w:widowControl/>
                    <w:topLinePunct/>
                    <w:autoSpaceDN w:val="0"/>
                    <w:ind w:right="-29" w:rightChars="-14"/>
                    <w:jc w:val="left"/>
                    <w:rPr>
                      <w:rFonts w:hint="default" w:ascii="Times New Roman" w:hAnsi="Times New Roman" w:cs="Times New Roman"/>
                      <w:color w:val="auto"/>
                      <w:szCs w:val="21"/>
                    </w:rPr>
                  </w:pPr>
                </w:p>
              </w:tc>
              <w:tc>
                <w:tcPr>
                  <w:tcW w:w="610" w:type="pct"/>
                  <w:vMerge w:val="continue"/>
                  <w:vAlign w:val="center"/>
                </w:tcPr>
                <w:p>
                  <w:pPr>
                    <w:widowControl/>
                    <w:topLinePunct/>
                    <w:autoSpaceDN w:val="0"/>
                    <w:ind w:right="-29" w:rightChars="-14"/>
                    <w:jc w:val="center"/>
                    <w:rPr>
                      <w:rFonts w:hint="default" w:ascii="Times New Roman" w:hAnsi="Times New Roman" w:cs="Times New Roman"/>
                      <w:color w:val="auto"/>
                      <w:szCs w:val="21"/>
                    </w:rPr>
                  </w:pPr>
                </w:p>
              </w:tc>
              <w:tc>
                <w:tcPr>
                  <w:tcW w:w="614" w:type="pct"/>
                  <w:vAlign w:val="center"/>
                </w:tcPr>
                <w:p>
                  <w:pPr>
                    <w:pStyle w:val="12"/>
                    <w:tabs>
                      <w:tab w:val="left" w:pos="240"/>
                    </w:tabs>
                    <w:spacing w:line="300" w:lineRule="exact"/>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防雷接地设施</w:t>
                  </w:r>
                </w:p>
              </w:tc>
              <w:tc>
                <w:tcPr>
                  <w:tcW w:w="612"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96"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雷、电</w:t>
                  </w:r>
                </w:p>
              </w:tc>
              <w:tc>
                <w:tcPr>
                  <w:tcW w:w="2031" w:type="pct"/>
                  <w:vAlign w:val="center"/>
                </w:tcPr>
                <w:p>
                  <w:pPr>
                    <w:topLinePunct/>
                    <w:autoSpaceDN w:val="0"/>
                    <w:snapToGrid w:val="0"/>
                    <w:ind w:right="-29" w:rightChars="-14"/>
                    <w:jc w:val="center"/>
                    <w:rPr>
                      <w:rFonts w:hint="default" w:ascii="Times New Roman" w:hAnsi="Times New Roman" w:cs="Times New Roman"/>
                      <w:color w:val="auto"/>
                      <w:szCs w:val="21"/>
                    </w:rPr>
                  </w:pPr>
                  <w:r>
                    <w:rPr>
                      <w:rFonts w:hint="default" w:ascii="Times New Roman" w:hAnsi="Times New Roman" w:cs="Times New Roman"/>
                      <w:color w:val="auto"/>
                      <w:szCs w:val="21"/>
                    </w:rPr>
                    <w:t>触电</w:t>
                  </w:r>
                </w:p>
              </w:tc>
            </w:tr>
          </w:tbl>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5.6风险预测分析与评价</w:t>
            </w:r>
          </w:p>
          <w:p>
            <w:pPr>
              <w:pStyle w:val="2"/>
              <w:keepNext w:val="0"/>
              <w:keepLines w:val="0"/>
              <w:pageBreakBefore w:val="0"/>
              <w:widowControl w:val="0"/>
              <w:kinsoku/>
              <w:wordWrap/>
              <w:overflowPunct/>
              <w:topLinePunct w:val="0"/>
              <w:autoSpaceDE/>
              <w:autoSpaceDN/>
              <w:bidi w:val="0"/>
              <w:spacing w:after="0" w:line="360" w:lineRule="auto"/>
              <w:ind w:left="0" w:leftChars="0" w:right="0" w:rightChars="0" w:firstLine="480" w:firstLineChars="200"/>
              <w:jc w:val="both"/>
              <w:textAlignment w:val="auto"/>
              <w:outlineLvl w:val="9"/>
              <w:rPr>
                <w:rFonts w:hint="default" w:ascii="Times New Roman" w:hAnsi="Times New Roman" w:cs="Times New Roman"/>
                <w:snapToGrid w:val="0"/>
                <w:color w:val="auto"/>
                <w:sz w:val="24"/>
              </w:rPr>
            </w:pPr>
            <w:r>
              <w:rPr>
                <w:rFonts w:hint="default" w:ascii="Times New Roman" w:hAnsi="Times New Roman" w:cs="Times New Roman"/>
                <w:snapToGrid w:val="0"/>
                <w:color w:val="auto"/>
                <w:sz w:val="24"/>
              </w:rPr>
              <w:t>（1）泄漏环境风险预测分析</w:t>
            </w:r>
          </w:p>
          <w:p>
            <w:pPr>
              <w:pStyle w:val="144"/>
              <w:keepNext w:val="0"/>
              <w:keepLines w:val="0"/>
              <w:pageBreakBefore w:val="0"/>
              <w:widowControl w:val="0"/>
              <w:kinsoku/>
              <w:wordWrap/>
              <w:overflowPunct/>
              <w:topLinePunct w:val="0"/>
              <w:autoSpaceDE/>
              <w:autoSpaceDN/>
              <w:bidi w:val="0"/>
              <w:snapToGrid w:val="0"/>
              <w:spacing w:line="360" w:lineRule="auto"/>
              <w:ind w:left="0" w:leftChars="0" w:right="0" w:rightChars="0" w:firstLine="432" w:firstLineChars="200"/>
              <w:jc w:val="both"/>
              <w:textAlignment w:val="auto"/>
              <w:outlineLvl w:val="9"/>
              <w:rPr>
                <w:rFonts w:hint="default" w:ascii="Times New Roman" w:hAnsi="Times New Roman" w:cs="Times New Roman"/>
                <w:snapToGrid w:val="0"/>
                <w:color w:val="auto"/>
                <w:sz w:val="24"/>
              </w:rPr>
            </w:pPr>
            <w:r>
              <w:rPr>
                <w:rFonts w:hint="default" w:ascii="Times New Roman" w:hAnsi="Times New Roman" w:cs="Times New Roman"/>
                <w:snapToGrid w:val="0"/>
                <w:color w:val="auto"/>
                <w:sz w:val="24"/>
              </w:rPr>
              <w:t>根据本报告地下水环境影响与预测章节，</w:t>
            </w:r>
            <w:r>
              <w:rPr>
                <w:rFonts w:hint="default" w:ascii="Times New Roman" w:hAnsi="Times New Roman" w:cs="Times New Roman"/>
                <w:color w:val="auto"/>
                <w:w w:val="100"/>
                <w:kern w:val="2"/>
                <w:sz w:val="24"/>
                <w:szCs w:val="22"/>
                <w:lang w:val="en-US" w:eastAsia="zh-CN" w:bidi="ar-SA"/>
              </w:rPr>
              <w:t>非正常工况设定源强下，项目如果不进行防渗处理措施，污染物泄露进入地下水后，污染晕影响范围随时间的推移，先增大至一定范围后逐渐减小。对</w:t>
            </w:r>
            <w:r>
              <w:rPr>
                <w:rFonts w:hint="default" w:ascii="Times New Roman" w:hAnsi="Times New Roman" w:cs="Times New Roman"/>
                <w:color w:val="auto"/>
                <w:w w:val="100"/>
                <w:kern w:val="2"/>
                <w:sz w:val="24"/>
                <w:szCs w:val="22"/>
                <w:lang w:eastAsia="zh-CN" w:bidi="ar-SA"/>
              </w:rPr>
              <w:t>罐区</w:t>
            </w:r>
            <w:r>
              <w:rPr>
                <w:rFonts w:hint="default" w:ascii="Times New Roman" w:hAnsi="Times New Roman" w:cs="Times New Roman"/>
                <w:color w:val="auto"/>
                <w:w w:val="100"/>
                <w:kern w:val="2"/>
                <w:sz w:val="24"/>
                <w:szCs w:val="22"/>
                <w:lang w:val="en-US" w:eastAsia="zh-CN" w:bidi="ar-SA"/>
              </w:rPr>
              <w:t>周边地下水环境将产生一定影响。因此，建设单位需加强设施的维护和管理，防止</w:t>
            </w:r>
            <w:r>
              <w:rPr>
                <w:rFonts w:hint="default" w:ascii="Times New Roman" w:hAnsi="Times New Roman" w:cs="Times New Roman"/>
                <w:color w:val="auto"/>
                <w:w w:val="100"/>
                <w:kern w:val="2"/>
                <w:sz w:val="24"/>
                <w:szCs w:val="22"/>
                <w:lang w:eastAsia="zh-CN" w:bidi="ar-SA"/>
              </w:rPr>
              <w:t>罐区、</w:t>
            </w:r>
            <w:r>
              <w:rPr>
                <w:rFonts w:hint="default" w:ascii="Times New Roman" w:hAnsi="Times New Roman" w:cs="Times New Roman"/>
                <w:color w:val="auto"/>
                <w:w w:val="100"/>
                <w:kern w:val="2"/>
                <w:sz w:val="24"/>
                <w:szCs w:val="22"/>
                <w:lang w:val="en-US" w:eastAsia="zh-CN" w:bidi="ar-SA"/>
              </w:rPr>
              <w:t>管道、阀门的跑冒滴漏和非正常状况情况发生。</w:t>
            </w:r>
            <w:r>
              <w:rPr>
                <w:rFonts w:hint="default" w:ascii="Times New Roman" w:hAnsi="Times New Roman" w:cs="Times New Roman"/>
                <w:snapToGrid w:val="0"/>
                <w:color w:val="auto"/>
                <w:sz w:val="24"/>
              </w:rPr>
              <w:t>本项目罐区根据《石油化工工程防渗技术规范》（GB/T50934-2013）进行污染防治分区划分并进行相应防渗设计，并设置地下水监测系统，及时发现污染、及时控制。</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default" w:ascii="Times New Roman" w:hAnsi="Times New Roman" w:cs="Times New Roman"/>
                <w:color w:val="auto"/>
                <w:sz w:val="24"/>
              </w:rPr>
            </w:pPr>
            <w:r>
              <w:rPr>
                <w:rFonts w:hint="default" w:ascii="Times New Roman" w:hAnsi="Times New Roman" w:cs="Times New Roman"/>
                <w:snapToGrid w:val="0"/>
                <w:color w:val="auto"/>
                <w:sz w:val="24"/>
              </w:rPr>
              <w:t>（2）中毒风险预测分析</w:t>
            </w:r>
          </w:p>
          <w:p>
            <w:pPr>
              <w:snapToGrid w:val="0"/>
              <w:spacing w:line="360" w:lineRule="auto"/>
              <w:ind w:firstLine="480" w:firstLineChars="200"/>
              <w:rPr>
                <w:rFonts w:hint="default" w:ascii="Times New Roman" w:hAnsi="Times New Roman" w:cs="Times New Roman"/>
                <w:bCs/>
                <w:snapToGrid w:val="0"/>
                <w:color w:val="auto"/>
                <w:sz w:val="24"/>
              </w:rPr>
            </w:pPr>
            <w:r>
              <w:rPr>
                <w:rFonts w:hint="default" w:ascii="Times New Roman" w:hAnsi="Times New Roman" w:cs="Times New Roman"/>
                <w:bCs/>
                <w:snapToGrid w:val="0"/>
                <w:color w:val="auto"/>
                <w:sz w:val="24"/>
              </w:rPr>
              <w:t>本项目涉及的物质中粗白油具有毒性，人员在巡检、装卸、操作的过程中接触泄漏的粗白油可能造成人员中毒事故。急性中毒：对中枢神经系统有麻醉作用。轻度中毒症状有头晕、头痛、恶心、呕吐、步态不稳、共济失调。高浓度吸入出现中毒性脑病。极高浓度吸入引起意识突然丧失、反射性呼吸停止。可伴有中毒性周围神经病及化学性肺炎。部分患者出现中毒性精神病。液体吸入呼吸道可引起吸入性肺炎。溅入眼内可致角膜溃疡、穿孔，甚至失明。皮肤接触致急性接触性皮炎，甚至灼伤。</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（3）可燃性风险预测分析</w:t>
            </w:r>
          </w:p>
          <w:p>
            <w:pPr>
              <w:pStyle w:val="2"/>
              <w:spacing w:after="0"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粗白油储存在罐区的储罐内，粗白油属于可燃液体，发生泄漏时可能发生燃烧，造成火灾事故；储罐因操作不当等原因发生物料泄漏，遇火源会发生火灾事故；储罐中用于监测温度、液位报警系统等安全附件或相应控制系统发生故障，造成控制失灵或事故状态下无法及时控制，都会引发安全事故。此外储罐安全装置不齐，装设不当或失灵；环境温度突然升高，储罐内液体由于温度升高导致压力增大；充装量超过储罐容积的安全充装系数等危险因素，都可能造成泄漏或冒顶跑料，遇明火等可引起火灾甚至爆炸事故。储罐由于防雷电设施有缺陷或地区雷电来势过猛，可能发生由于雷电而引发的罐区火灾。</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（4）火灾爆炸事故危害预测分析</w:t>
            </w:r>
          </w:p>
          <w:p>
            <w:pPr>
              <w:pStyle w:val="18"/>
              <w:spacing w:line="360" w:lineRule="auto"/>
              <w:ind w:firstLine="480"/>
              <w:outlineLvl w:val="2"/>
              <w:rPr>
                <w:rFonts w:hint="default" w:ascii="Times New Roman" w:hAnsi="Times New Roman" w:eastAsia="宋体" w:cs="Times New Roman"/>
                <w:color w:val="auto"/>
                <w:sz w:val="24"/>
              </w:rPr>
            </w:pPr>
            <w:bookmarkStart w:id="18" w:name="_Toc226180708"/>
            <w:r>
              <w:rPr>
                <w:rFonts w:hint="default" w:ascii="Times New Roman" w:hAnsi="Times New Roman" w:eastAsia="宋体" w:cs="Times New Roman"/>
                <w:color w:val="auto"/>
                <w:sz w:val="24"/>
              </w:rPr>
              <w:t>①火灾爆炸事故环境彫响分析</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根据对储罐火灾、爆炸特点的有关分析，对几种不同的火灾、爆炸事故分别进行环境影响分析。</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lang w:eastAsia="en-US"/>
              </w:rPr>
              <w:t>A、</w:t>
            </w:r>
            <w:r>
              <w:rPr>
                <w:rFonts w:hint="default" w:ascii="Times New Roman" w:hAnsi="Times New Roman" w:eastAsia="宋体" w:cs="Times New Roman"/>
                <w:color w:val="auto"/>
                <w:sz w:val="24"/>
              </w:rPr>
              <w:t>先爆炸后燃烧的环境影响分析</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先爆炸后燃烧情况一般发生在罐内物料蒸气浓度处在爆炸极限范围内遇到火 源，储罐内先爆炸，储罐爆炸后有的罐盖飞出，有的掀开一部分，有的从储罐中 间或底部裂开，导致物料流出并扩散，由于爆炸的破碎部分和破坏程度不同，物 料的燃烧特点也不同。</w:t>
            </w:r>
          </w:p>
          <w:p>
            <w:pPr>
              <w:pStyle w:val="18"/>
              <w:spacing w:line="360" w:lineRule="auto"/>
              <w:ind w:firstLine="480"/>
              <w:outlineLvl w:val="2"/>
              <w:rPr>
                <w:rFonts w:hint="default" w:ascii="Times New Roman" w:hAnsi="Times New Roman" w:eastAsia="宋体" w:cs="Times New Roman"/>
                <w:color w:val="auto"/>
                <w:sz w:val="24"/>
              </w:rPr>
            </w:pPr>
            <w:bookmarkStart w:id="19" w:name="bookmark138"/>
            <w:r>
              <w:rPr>
                <w:rFonts w:hint="default" w:ascii="Times New Roman" w:hAnsi="Times New Roman" w:eastAsia="宋体" w:cs="Times New Roman"/>
                <w:color w:val="auto"/>
                <w:sz w:val="24"/>
                <w:lang w:eastAsia="en-US"/>
              </w:rPr>
              <w:t>a</w:t>
            </w:r>
            <w:bookmarkEnd w:id="19"/>
            <w:r>
              <w:rPr>
                <w:rFonts w:hint="default" w:ascii="Times New Roman" w:hAnsi="Times New Roman" w:eastAsia="宋体" w:cs="Times New Roman"/>
                <w:color w:val="auto"/>
                <w:sz w:val="24"/>
                <w:lang w:eastAsia="en-US"/>
              </w:rPr>
              <w:t>、</w:t>
            </w:r>
            <w:r>
              <w:rPr>
                <w:rFonts w:hint="default" w:ascii="Times New Roman" w:hAnsi="Times New Roman" w:eastAsia="宋体" w:cs="Times New Roman"/>
                <w:color w:val="auto"/>
                <w:sz w:val="24"/>
              </w:rPr>
              <w:t>罐盖炸飞或掀开一部分</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这种爆炸将引起储罐内物料迅速稳定燃烧，有风的情况下，火焰将向侧面倾 斜，对周围储罐造成强烈的热辐射，由于项目储存有粗白油，有可能溢沸现象，影 响范围包括火灾储罐和周围相邻储罐，不会影响到储罐以外地区。</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一旦发生这种情况，应立即启动消防栓对周围储罐壁进行冷却，防止储罐在 火场火焰或高温作用下，罐内物料蒸气压力急剧增加，发生物理性爆炸，并组织 库区内消防人员对火灾进行扑救。</w:t>
            </w:r>
          </w:p>
          <w:p>
            <w:pPr>
              <w:pStyle w:val="18"/>
              <w:spacing w:line="360" w:lineRule="auto"/>
              <w:ind w:firstLine="480"/>
              <w:outlineLvl w:val="2"/>
              <w:rPr>
                <w:rFonts w:hint="default" w:ascii="Times New Roman" w:hAnsi="Times New Roman" w:eastAsia="宋体" w:cs="Times New Roman"/>
                <w:color w:val="auto"/>
                <w:sz w:val="24"/>
              </w:rPr>
            </w:pPr>
            <w:bookmarkStart w:id="20" w:name="bookmark139"/>
            <w:r>
              <w:rPr>
                <w:rFonts w:hint="default" w:ascii="Times New Roman" w:hAnsi="Times New Roman" w:eastAsia="宋体" w:cs="Times New Roman"/>
                <w:color w:val="auto"/>
                <w:sz w:val="24"/>
                <w:lang w:eastAsia="en-US"/>
              </w:rPr>
              <w:t>b</w:t>
            </w:r>
            <w:bookmarkEnd w:id="20"/>
            <w:r>
              <w:rPr>
                <w:rFonts w:hint="default" w:ascii="Times New Roman" w:hAnsi="Times New Roman" w:eastAsia="宋体" w:cs="Times New Roman"/>
                <w:color w:val="auto"/>
                <w:sz w:val="24"/>
                <w:lang w:eastAsia="en-US"/>
              </w:rPr>
              <w:t>、</w:t>
            </w:r>
            <w:r>
              <w:rPr>
                <w:rFonts w:hint="default" w:ascii="Times New Roman" w:hAnsi="Times New Roman" w:eastAsia="宋体" w:cs="Times New Roman"/>
                <w:color w:val="auto"/>
                <w:sz w:val="24"/>
              </w:rPr>
              <w:t>物料流出燃烧</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储罐内物料液位较高，爆炸时罐盖落入罐内使物料溢出，或储罐中间部位炸 开使物料流出，将形成大面积燃烧。这种情况火灾不易扑救，罐区内消防人员应 立即采取措施防止火灾波及相邻储罐，并拨打119火警电话，由公安消防人员协助灭火，由于围堰的阻挡，此种情况火灾影响范围局限在围堰内。</w:t>
            </w:r>
          </w:p>
          <w:p>
            <w:pPr>
              <w:pStyle w:val="18"/>
              <w:spacing w:line="360" w:lineRule="auto"/>
              <w:ind w:firstLine="480"/>
              <w:outlineLvl w:val="2"/>
              <w:rPr>
                <w:rFonts w:hint="default" w:ascii="Times New Roman" w:hAnsi="Times New Roman" w:eastAsia="宋体" w:cs="Times New Roman"/>
                <w:color w:val="auto"/>
                <w:sz w:val="24"/>
              </w:rPr>
            </w:pPr>
            <w:bookmarkStart w:id="21" w:name="bookmark140"/>
            <w:r>
              <w:rPr>
                <w:rFonts w:hint="default" w:ascii="Times New Roman" w:hAnsi="Times New Roman" w:eastAsia="宋体" w:cs="Times New Roman"/>
                <w:color w:val="auto"/>
                <w:sz w:val="24"/>
                <w:lang w:eastAsia="en-US"/>
              </w:rPr>
              <w:t>c</w:t>
            </w:r>
            <w:bookmarkEnd w:id="21"/>
            <w:r>
              <w:rPr>
                <w:rFonts w:hint="default" w:ascii="Times New Roman" w:hAnsi="Times New Roman" w:eastAsia="宋体" w:cs="Times New Roman"/>
                <w:color w:val="auto"/>
                <w:sz w:val="24"/>
                <w:lang w:eastAsia="en-US"/>
              </w:rPr>
              <w:t>、</w:t>
            </w:r>
            <w:r>
              <w:rPr>
                <w:rFonts w:hint="default" w:ascii="Times New Roman" w:hAnsi="Times New Roman" w:eastAsia="宋体" w:cs="Times New Roman"/>
                <w:color w:val="auto"/>
                <w:sz w:val="24"/>
              </w:rPr>
              <w:t>爆炸后不再燃烧的环境影响分析</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爆炸后不燃烧的情况发生在储罐内物料温度低于闪点，其蒸气浓度又处于爆 炸浓度极限范围内，或储罐内没有储存物料，但存在物料蒸气和空气的混合气体, 一旦遇到明火，瞬间爆炸后即不再继续燃烧，该种情况可能对储罐造成一定的危 害，对周围环境影响不大。</w:t>
            </w:r>
          </w:p>
          <w:p>
            <w:pPr>
              <w:pStyle w:val="18"/>
              <w:spacing w:line="360" w:lineRule="auto"/>
              <w:ind w:firstLine="480"/>
              <w:outlineLvl w:val="2"/>
              <w:rPr>
                <w:rFonts w:hint="default" w:ascii="Times New Roman" w:hAnsi="Times New Roman" w:eastAsia="宋体" w:cs="Times New Roman"/>
                <w:color w:val="auto"/>
                <w:sz w:val="24"/>
              </w:rPr>
            </w:pPr>
            <w:bookmarkStart w:id="22" w:name="bookmark141"/>
            <w:r>
              <w:rPr>
                <w:rFonts w:hint="default" w:ascii="Times New Roman" w:hAnsi="Times New Roman" w:eastAsia="宋体" w:cs="Times New Roman"/>
                <w:color w:val="auto"/>
                <w:sz w:val="24"/>
                <w:lang w:eastAsia="en-US"/>
              </w:rPr>
              <w:t>d</w:t>
            </w:r>
            <w:bookmarkEnd w:id="22"/>
            <w:r>
              <w:rPr>
                <w:rFonts w:hint="default" w:ascii="Times New Roman" w:hAnsi="Times New Roman" w:eastAsia="宋体" w:cs="Times New Roman"/>
                <w:color w:val="auto"/>
                <w:sz w:val="24"/>
                <w:lang w:eastAsia="en-US"/>
              </w:rPr>
              <w:t>、</w:t>
            </w:r>
            <w:r>
              <w:rPr>
                <w:rFonts w:hint="default" w:ascii="Times New Roman" w:hAnsi="Times New Roman" w:eastAsia="宋体" w:cs="Times New Roman"/>
                <w:color w:val="auto"/>
                <w:sz w:val="24"/>
              </w:rPr>
              <w:t>局部稳定燃烧的环境影响分析</w:t>
            </w:r>
          </w:p>
          <w:p>
            <w:pPr>
              <w:pStyle w:val="18"/>
              <w:spacing w:line="360" w:lineRule="auto"/>
              <w:ind w:firstLine="480"/>
              <w:outlineLvl w:val="2"/>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一般是指火焰在储罐顶部的呼吸阀、量料孔、透光孔处燃烧，而没有引入储罐内，这种情况常发生在储罐内液位较高，物料蒸气浓度大，着火后储罐内物料蒸气浓度均在爆炸上限以上，物料蒸气排岀速度大于</w:t>
            </w:r>
            <w:r>
              <w:rPr>
                <w:rFonts w:hint="default" w:ascii="Times New Roman" w:hAnsi="Times New Roman" w:eastAsia="宋体" w:cs="Times New Roman"/>
                <w:color w:val="auto"/>
                <w:sz w:val="24"/>
                <w:lang w:eastAsia="en-US"/>
              </w:rPr>
              <w:t>5m/s,</w:t>
            </w:r>
            <w:r>
              <w:rPr>
                <w:rFonts w:hint="default" w:ascii="Times New Roman" w:hAnsi="Times New Roman" w:eastAsia="宋体" w:cs="Times New Roman"/>
                <w:color w:val="auto"/>
                <w:sz w:val="24"/>
              </w:rPr>
              <w:t>在储罐外遇到火源时即会发生，这类火灾比较易于扑救，物料燃烧充分，产生二氧化碳和水，由于本项目装备了完善的火灾报警系统和消防系统，因此可以对这类火灾进行及时扑救, 不会引起大的火灾，对周围环境影响较小。</w:t>
            </w:r>
            <w:bookmarkEnd w:id="18"/>
          </w:p>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5.3风险事故污水应急储存能力核算</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b w:val="0"/>
                <w:bCs w:val="0"/>
                <w:color w:val="auto"/>
                <w:sz w:val="24"/>
              </w:rPr>
            </w:pPr>
            <w:r>
              <w:rPr>
                <w:rFonts w:hint="default" w:ascii="Times New Roman" w:hAnsi="Times New Roman" w:cs="Times New Roman"/>
                <w:b w:val="0"/>
                <w:bCs w:val="0"/>
                <w:color w:val="auto"/>
                <w:sz w:val="24"/>
              </w:rPr>
              <w:t>（1）事故污水应急储存能力</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b w:val="0"/>
                <w:bCs w:val="0"/>
                <w:color w:val="auto"/>
                <w:sz w:val="24"/>
                <w:vertAlign w:val="baseline"/>
              </w:rPr>
            </w:pPr>
            <w:r>
              <w:rPr>
                <w:rFonts w:hint="default" w:ascii="Times New Roman" w:hAnsi="Times New Roman" w:cs="Times New Roman"/>
                <w:b w:val="0"/>
                <w:bCs w:val="0"/>
                <w:color w:val="auto"/>
                <w:sz w:val="24"/>
              </w:rPr>
              <w:t>本项目事故应急事故池容积2000m</w:t>
            </w:r>
            <w:r>
              <w:rPr>
                <w:rFonts w:hint="default" w:ascii="Times New Roman" w:hAnsi="Times New Roman" w:cs="Times New Roman"/>
                <w:b w:val="0"/>
                <w:bCs w:val="0"/>
                <w:color w:val="auto"/>
                <w:sz w:val="24"/>
                <w:vertAlign w:val="superscript"/>
              </w:rPr>
              <w:t>2</w:t>
            </w:r>
            <w:r>
              <w:rPr>
                <w:rFonts w:hint="default" w:ascii="Times New Roman" w:hAnsi="Times New Roman" w:cs="Times New Roman"/>
                <w:b w:val="0"/>
                <w:bCs w:val="0"/>
                <w:color w:val="auto"/>
                <w:sz w:val="24"/>
                <w:vertAlign w:val="baseline"/>
              </w:rPr>
              <w:t>。</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b w:val="0"/>
                <w:bCs w:val="0"/>
                <w:color w:val="auto"/>
                <w:sz w:val="24"/>
                <w:vertAlign w:val="baseline"/>
              </w:rPr>
            </w:pPr>
            <w:r>
              <w:rPr>
                <w:rFonts w:hint="default" w:ascii="Times New Roman" w:hAnsi="Times New Roman" w:cs="Times New Roman"/>
                <w:b w:val="0"/>
                <w:bCs w:val="0"/>
                <w:color w:val="auto"/>
                <w:sz w:val="24"/>
                <w:vertAlign w:val="baseline"/>
              </w:rPr>
              <w:t>（2）消防污水产生量核算</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b w:val="0"/>
                <w:bCs w:val="0"/>
                <w:color w:val="auto"/>
                <w:sz w:val="24"/>
                <w:vertAlign w:val="baseline"/>
              </w:rPr>
            </w:pPr>
            <w:r>
              <w:rPr>
                <w:rFonts w:hint="default" w:ascii="Times New Roman" w:hAnsi="Times New Roman" w:cs="Times New Roman"/>
                <w:b w:val="0"/>
                <w:bCs w:val="0"/>
                <w:color w:val="auto"/>
                <w:sz w:val="24"/>
                <w:vertAlign w:val="baseline"/>
              </w:rPr>
              <w:t>本项目总占地面积小于100公顷，按照《消防给水及消火栓系统技术规范》（GB50974-2014）要求，全厂应按一次发生一处（全厂最大消防用水量处）火灾考虑。根据技术规范要求，本项目装置区设计消防用水量80L/s，消防延续供水时间根据《石化企业水体环境风险防控技术要求》（QSH 0729-2018）按6h计，所需的消防水产生量为288m</w:t>
            </w:r>
            <w:r>
              <w:rPr>
                <w:rFonts w:hint="default" w:ascii="Times New Roman" w:hAnsi="Times New Roman" w:cs="Times New Roman"/>
                <w:b w:val="0"/>
                <w:bCs w:val="0"/>
                <w:color w:val="auto"/>
                <w:sz w:val="24"/>
                <w:vertAlign w:val="superscript"/>
              </w:rPr>
              <w:t>3</w:t>
            </w:r>
            <w:r>
              <w:rPr>
                <w:rFonts w:hint="default" w:ascii="Times New Roman" w:hAnsi="Times New Roman" w:cs="Times New Roman"/>
                <w:b w:val="0"/>
                <w:bCs w:val="0"/>
                <w:color w:val="auto"/>
                <w:sz w:val="24"/>
                <w:vertAlign w:val="baseline"/>
              </w:rPr>
              <w:t>/h，那么项目发生事故时所需消防水水量为1728m</w:t>
            </w:r>
            <w:r>
              <w:rPr>
                <w:rFonts w:hint="default" w:ascii="Times New Roman" w:hAnsi="Times New Roman" w:cs="Times New Roman"/>
                <w:b w:val="0"/>
                <w:bCs w:val="0"/>
                <w:color w:val="auto"/>
                <w:sz w:val="24"/>
                <w:vertAlign w:val="superscript"/>
              </w:rPr>
              <w:t>3</w:t>
            </w:r>
            <w:r>
              <w:rPr>
                <w:rFonts w:hint="default" w:ascii="Times New Roman" w:hAnsi="Times New Roman" w:cs="Times New Roman"/>
                <w:b w:val="0"/>
                <w:bCs w:val="0"/>
                <w:color w:val="auto"/>
                <w:sz w:val="24"/>
                <w:vertAlign w:val="baseline"/>
              </w:rPr>
              <w:t>。</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cs="Times New Roman"/>
                <w:b w:val="0"/>
                <w:bCs w:val="0"/>
                <w:color w:val="auto"/>
                <w:sz w:val="24"/>
                <w:vertAlign w:val="baseline"/>
              </w:rPr>
            </w:pPr>
            <w:r>
              <w:rPr>
                <w:rFonts w:hint="default" w:ascii="Times New Roman" w:hAnsi="Times New Roman" w:cs="Times New Roman"/>
                <w:b w:val="0"/>
                <w:bCs w:val="0"/>
                <w:color w:val="auto"/>
                <w:sz w:val="24"/>
                <w:vertAlign w:val="baseline"/>
              </w:rPr>
              <w:t>综上所述，本项目应急事故池保障事故状态下，消防事故水不外排。</w:t>
            </w:r>
          </w:p>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5.4环境风险防范措施与应急预案</w:t>
            </w:r>
          </w:p>
          <w:p>
            <w:pPr>
              <w:adjustRightInd w:val="0"/>
              <w:snapToGrid w:val="0"/>
              <w:spacing w:line="360" w:lineRule="auto"/>
              <w:ind w:firstLine="480" w:firstLineChars="200"/>
              <w:outlineLvl w:val="1"/>
              <w:rPr>
                <w:rFonts w:hint="default" w:ascii="Times New Roman" w:hAnsi="Times New Roman" w:cs="Times New Roman"/>
                <w:color w:val="auto"/>
                <w:sz w:val="24"/>
              </w:rPr>
            </w:pPr>
            <w:r>
              <w:rPr>
                <w:rFonts w:hint="default" w:ascii="Times New Roman" w:hAnsi="Times New Roman" w:cs="Times New Roman"/>
                <w:color w:val="auto"/>
                <w:sz w:val="24"/>
              </w:rPr>
              <w:t>本项目工艺已比较成熟，在运营阶段应严格执行以下风险防范管理措施及建议：</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（1）防火、防爆风险防范措施</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1）在罐区进行动火作业时应严格按照规程先办理动火作业证，在作业过程中应有专人在旁监护，及时发现隐患，防止产生明火点而导致火灾事故的发生。</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2）本项目在储存区配置灭火器设备，并设置明显的安全警示标识。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3）储罐应采用钢罐。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4）加强人员管理，树立安全意识。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5）储罐出口管道均采用柔性连接，防止储罐基础下沉引起的管道变形发生可燃物料泄漏。</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6）电缆敷设主导方式为架空电缆槽盒，电缆沟穿越建筑物的配线管管口采用非燃烧材料严密堵封，敷设于电缆沟或直埋的电缆采用铠装电缆。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7）罐组应设防火堤，防火堤内的有效容积应符合GB501606.2.12条的规定。</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8）立式储罐至防火堤内堤脚线的距离不应小于罐壁高度的一半。</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9）常压拱顶罐的罐顶应采用弱顶结构或采取其他泄压措施。</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10）低支架敷设的管道不应环绕罐组布置，并不应妨碍消防车的通行。</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11）工艺管道采用地上布置形式。输送粗白油的金属管道除需要法兰连接外，均采用焊接连接，且管道不穿过与其无关的建筑物。</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12）管道跨越厂内道路的净空高度不应小于5m。</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13）装卸鹤管处、储罐进出口管线设置紧急切断阀。</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14）储罐及装卸区设置可燃气体检测报警装置。</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15）对于利旧设备或改造设备设施均需在检测合格后方可投入使用。</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16）装卸车场应采用现浇混凝土地面。</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sz w:val="24"/>
              </w:rPr>
              <w:t>17）装卸车鹤位之间的距离不应小于4m；双侧装卸车栈台相邻鹤位之间或同一鹤位相邻鹤管之间的距离应满足鹤管正常操作和检修的要求。</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18）新增管道应设置保温层。</w:t>
            </w:r>
          </w:p>
          <w:p>
            <w:pPr>
              <w:pStyle w:val="20"/>
              <w:spacing w:after="0" w:line="360" w:lineRule="auto"/>
              <w:rPr>
                <w:rFonts w:hint="default" w:ascii="Times New Roman" w:hAnsi="Times New Roman" w:cs="Times New Roman"/>
                <w:color w:val="auto"/>
                <w:sz w:val="24"/>
              </w:rPr>
            </w:pPr>
            <w:r>
              <w:rPr>
                <w:rFonts w:hint="default" w:ascii="Times New Roman" w:hAnsi="Times New Roman" w:cs="Times New Roman"/>
                <w:color w:val="auto"/>
                <w:sz w:val="24"/>
              </w:rPr>
              <w:t>19）储罐区均设1m高围堰，地面应设防渗措施，一旦发生物料泄漏，泄漏物可收集并处理。</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20）设1座应急事故池，有效容积约2000m³，在事故发生时将泄漏的污染物有效截留。</w:t>
            </w:r>
          </w:p>
          <w:p>
            <w:pPr>
              <w:pStyle w:val="20"/>
              <w:spacing w:after="0" w:line="360" w:lineRule="auto"/>
              <w:rPr>
                <w:rFonts w:hint="default" w:ascii="Times New Roman" w:hAnsi="Times New Roman" w:cs="Times New Roman"/>
                <w:color w:val="auto"/>
                <w:sz w:val="24"/>
              </w:rPr>
            </w:pPr>
            <w:r>
              <w:rPr>
                <w:rFonts w:hint="default" w:ascii="Times New Roman" w:hAnsi="Times New Roman" w:cs="Times New Roman"/>
                <w:color w:val="auto"/>
                <w:sz w:val="24"/>
              </w:rPr>
              <w:t>（2）防中毒风险防范措施</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1）配置防毒面罩、正压式空气呼吸器等个人防护用品。</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2）在罐区最高处设置风向标。</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3）企业应在储罐区出入台阶等适当位置，设置“当心中毒”、“禁止停留”、“严禁烟火”、“禁止堆放易燃物”、“必须佩戴防护用品”等安全警示标志。</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环境风险评价技术导则》的要求，项目须制定风险事故应急预案，并在当地生态环境部门备案；以便事故发生时，通过事故鉴别，能及时分别采取针对性措施，控制事故的进一步发展，把事故造成的破坏降至最低程度。本项目的应急预案主要内容见下表。</w:t>
            </w:r>
          </w:p>
          <w:p>
            <w:pPr>
              <w:pStyle w:val="3"/>
              <w:spacing w:before="0" w:after="0" w:line="360" w:lineRule="auto"/>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表50    环境风险的突发性事故制定应急预案</w:t>
            </w:r>
          </w:p>
          <w:tbl>
            <w:tblPr>
              <w:tblStyle w:val="33"/>
              <w:tblW w:w="499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53"/>
              <w:gridCol w:w="1649"/>
              <w:gridCol w:w="61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序号</w:t>
                  </w:r>
                </w:p>
              </w:tc>
              <w:tc>
                <w:tcPr>
                  <w:tcW w:w="963" w:type="pct"/>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项目</w:t>
                  </w:r>
                </w:p>
              </w:tc>
              <w:tc>
                <w:tcPr>
                  <w:tcW w:w="3595" w:type="pct"/>
                  <w:vAlign w:val="center"/>
                </w:tcPr>
                <w:p>
                  <w:pPr>
                    <w:snapToGrid w:val="0"/>
                    <w:jc w:val="center"/>
                    <w:rPr>
                      <w:rFonts w:hint="default" w:ascii="Times New Roman" w:hAnsi="Times New Roman" w:cs="Times New Roman"/>
                      <w:b/>
                      <w:color w:val="auto"/>
                      <w:szCs w:val="21"/>
                    </w:rPr>
                  </w:pPr>
                  <w:r>
                    <w:rPr>
                      <w:rFonts w:hint="default" w:ascii="Times New Roman" w:hAnsi="Times New Roman" w:cs="Times New Roman"/>
                      <w:b/>
                      <w:color w:val="auto"/>
                      <w:szCs w:val="21"/>
                    </w:rPr>
                    <w:t>内容及要求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总则</w:t>
                  </w:r>
                </w:p>
              </w:tc>
              <w:tc>
                <w:tcPr>
                  <w:tcW w:w="3595" w:type="pct"/>
                  <w:vAlign w:val="center"/>
                </w:tcPr>
                <w:p>
                  <w:pPr>
                    <w:snapToGrid w:val="0"/>
                    <w:jc w:val="center"/>
                    <w:rPr>
                      <w:rFonts w:hint="default" w:ascii="Times New Roman" w:hAnsi="Times New Roman" w:cs="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危险源情况</w:t>
                  </w:r>
                </w:p>
              </w:tc>
              <w:tc>
                <w:tcPr>
                  <w:tcW w:w="3595" w:type="pct"/>
                  <w:vAlign w:val="center"/>
                </w:tcPr>
                <w:p>
                  <w:pPr>
                    <w:tabs>
                      <w:tab w:val="left" w:pos="420"/>
                      <w:tab w:val="left" w:pos="1727"/>
                      <w:tab w:val="left" w:pos="1884"/>
                      <w:tab w:val="left" w:pos="2940"/>
                    </w:tabs>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详细说明危险源类型、数量、分布及其对环境的风险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应急计划区</w:t>
                  </w:r>
                </w:p>
              </w:tc>
              <w:tc>
                <w:tcPr>
                  <w:tcW w:w="3595"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生活区、储罐区、临近地区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应急组织                                            </w:t>
                  </w:r>
                </w:p>
              </w:tc>
              <w:tc>
                <w:tcPr>
                  <w:tcW w:w="3595" w:type="pct"/>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储罐区：由项目区专人负责——负责现场全面指挥，专业救援队伍--负责事故控制、救援和善后处理</w:t>
                  </w:r>
                </w:p>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 xml:space="preserve">临近地区：由储罐区专人负责——负责储罐附近地区全面指挥，救援、管制和疏散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应急状态分类应急响应程序</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规定环境风险事故的级别及相应的应急状态分类，以此制定相应的应急响应程序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应急设施</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设备与材料     </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储罐区：防火灾事故的应急设施、设备与材料，主要为消防器材、消防服等；防有毒有害物质外溢、扩散，主要是水或低压蒸汽幕、喷淋设备、防毒服和中毒人员急救所用的一些药品、器材</w:t>
                  </w:r>
                </w:p>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临界地区：烧伤、中毒人员急救所用的一些药品、器材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应急通讯</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与交通   </w:t>
                  </w:r>
                </w:p>
              </w:tc>
              <w:tc>
                <w:tcPr>
                  <w:tcW w:w="3595"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规定应急状态下的通讯、通告方式和交通保障、管制等事项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应急环境监测及事故后评估</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由专业人员对环境风险事故现场进行应急监测，对事故性质、严重程度等所造成的环境危害后果进行评估，吸取经验教训免再次发生事故，为指挥部门提供决策依据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应急防护措施消除泄漏措施及需使用器材</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事故现场：控制事故发展，防止扩大、蔓延及连锁反应；清除现场泄漏物，降低危害；相应的设施器材配备</w:t>
                  </w:r>
                </w:p>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临近地区：划分腐蚀区域，控制和消除环境污染的措施及相应的设备配备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应急剂量控制撤离组织计划医疗救护与保护公众健康</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事故现场：事故处理人员制定毒物的应急剂量、现场及临近装置人员的撤离组织计划和紧急救护方案</w:t>
                  </w:r>
                </w:p>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临近地区：制定受事故影响的临近地区内人员对毒物的应急剂量、公众的疏散组织计划和紧急救护方案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11</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应急状态中止恢复措施 </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事故现场：规定应急状态终止秩序：事故现场善后处理，恢复生产措施</w:t>
                  </w:r>
                </w:p>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临近地区：解除事故警戒、公众返回和善后恢复措施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12</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人员培训与演习</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应急计划制定后，平时安排事故处理人员进行相关知识培训进行事故应急处理演习；对加气项目区工人进行安全卫生教育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13</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公众教育，</w:t>
                  </w:r>
                </w:p>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信息发布</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对储罐区临近地区公众开展环境风险事故预防教育、应急知识培训并定期发布相关信息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14</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记录和报告                                                </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设应急事故专门记录，建立档案和报告制度，设专门部门负责管理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440"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15</w:t>
                  </w:r>
                </w:p>
              </w:tc>
              <w:tc>
                <w:tcPr>
                  <w:tcW w:w="963" w:type="pct"/>
                  <w:vAlign w:val="center"/>
                </w:tcPr>
                <w:p>
                  <w:pPr>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附件</w:t>
                  </w:r>
                </w:p>
              </w:tc>
              <w:tc>
                <w:tcPr>
                  <w:tcW w:w="3595" w:type="pct"/>
                  <w:vAlign w:val="center"/>
                </w:tcPr>
                <w:p>
                  <w:pPr>
                    <w:snapToGrid w:val="0"/>
                    <w:rPr>
                      <w:rFonts w:hint="default" w:ascii="Times New Roman" w:hAnsi="Times New Roman" w:cs="Times New Roman"/>
                      <w:color w:val="auto"/>
                      <w:szCs w:val="21"/>
                    </w:rPr>
                  </w:pPr>
                  <w:r>
                    <w:rPr>
                      <w:rFonts w:hint="default" w:ascii="Times New Roman" w:hAnsi="Times New Roman" w:cs="Times New Roman"/>
                      <w:color w:val="auto"/>
                      <w:szCs w:val="21"/>
                    </w:rPr>
                    <w:t>准备并形成环境风险事故应急处理有关的附件材料</w:t>
                  </w:r>
                </w:p>
              </w:tc>
            </w:tr>
          </w:tbl>
          <w:p>
            <w:pPr>
              <w:pStyle w:val="2"/>
              <w:spacing w:after="0"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5.4风险评价结论</w:t>
            </w:r>
          </w:p>
          <w:p>
            <w:pPr>
              <w:spacing w:line="360" w:lineRule="auto"/>
              <w:ind w:right="59" w:rightChars="28" w:firstLine="480" w:firstLineChars="200"/>
              <w:rPr>
                <w:rFonts w:hint="default" w:ascii="Times New Roman" w:hAnsi="Times New Roman" w:eastAsia="黑体" w:cs="Times New Roman"/>
                <w:bCs/>
                <w:color w:val="auto"/>
                <w:sz w:val="28"/>
                <w:szCs w:val="28"/>
              </w:rPr>
            </w:pPr>
            <w:r>
              <w:rPr>
                <w:rFonts w:hint="default" w:ascii="Times New Roman" w:hAnsi="Times New Roman" w:cs="Times New Roman"/>
                <w:color w:val="auto"/>
                <w:sz w:val="24"/>
              </w:rPr>
              <w:t>本项目尽管工程工艺安全可靠性极高，但建议建设单位仍然应对此引起高度重视。本项目不构成重大风险源，本项目的环境风险主要为粗白油的可燃性，会产生爆炸、火灾风险、</w:t>
            </w:r>
            <w:r>
              <w:rPr>
                <w:rFonts w:hint="default" w:ascii="Times New Roman" w:hAnsi="Times New Roman" w:cs="Times New Roman"/>
                <w:snapToGrid w:val="0"/>
                <w:color w:val="auto"/>
                <w:sz w:val="24"/>
              </w:rPr>
              <w:t>运营期严格杜绝储罐及管线的跑、冒、滴、漏现象的发生，要防火、防爆、防雷击，注意安全，</w:t>
            </w:r>
            <w:r>
              <w:rPr>
                <w:rFonts w:hint="default" w:ascii="Times New Roman" w:hAnsi="Times New Roman" w:cs="Times New Roman"/>
                <w:color w:val="auto"/>
                <w:sz w:val="24"/>
              </w:rPr>
              <w:t>及其引发的次生环境污染。</w:t>
            </w:r>
            <w:r>
              <w:rPr>
                <w:rFonts w:hint="default" w:ascii="Times New Roman" w:hAnsi="Times New Roman" w:cs="Times New Roman"/>
                <w:snapToGrid w:val="0"/>
                <w:color w:val="auto"/>
                <w:sz w:val="24"/>
              </w:rPr>
              <w:t>项目建成后，严格执行本环评中提出的风险防范措施，合理建设，风险事故将降至到最低，也保证了厂区和周围人们的生命财产安全。</w:t>
            </w:r>
            <w:r>
              <w:rPr>
                <w:rFonts w:hint="default" w:ascii="Times New Roman" w:hAnsi="Times New Roman" w:cs="Times New Roman"/>
                <w:color w:val="auto"/>
                <w:sz w:val="24"/>
              </w:rPr>
              <w:t>通过采取相应的风险防范措施，事故风险发生的概率很小。因此本项目事故风险属于可以接受。</w:t>
            </w:r>
          </w:p>
          <w:p>
            <w:pPr>
              <w:pStyle w:val="29"/>
              <w:spacing w:before="0" w:beforeAutospacing="0" w:after="0" w:afterAutospacing="0" w:line="360" w:lineRule="auto"/>
              <w:outlineLvl w:val="0"/>
              <w:rPr>
                <w:rFonts w:hint="default" w:ascii="Times New Roman" w:hAnsi="Times New Roman" w:cs="Times New Roman"/>
                <w:b/>
                <w:color w:val="auto"/>
              </w:rPr>
            </w:pPr>
            <w:r>
              <w:rPr>
                <w:rFonts w:hint="default" w:ascii="Times New Roman" w:hAnsi="Times New Roman" w:cs="Times New Roman"/>
                <w:b/>
                <w:color w:val="auto"/>
              </w:rPr>
              <w:t>6.环境管理</w:t>
            </w:r>
            <w:r>
              <w:rPr>
                <w:rStyle w:val="41"/>
                <w:rFonts w:hint="default" w:ascii="Times New Roman" w:hAnsi="Times New Roman" w:cs="Times New Roman"/>
                <w:b/>
                <w:color w:val="auto"/>
                <w:kern w:val="2"/>
                <w:sz w:val="24"/>
                <w:szCs w:val="24"/>
              </w:rPr>
              <w:t>与监测计划</w:t>
            </w:r>
          </w:p>
          <w:p>
            <w:pPr>
              <w:widowControl/>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6.1环境管理</w:t>
            </w:r>
          </w:p>
          <w:p>
            <w:pPr>
              <w:widowControl/>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本项目建成运营实施后有效的环境管理机制，保障项目区周边生态环境不因本项目运营对周围生态环境造成较大影响。</w:t>
            </w:r>
          </w:p>
          <w:p>
            <w:pPr>
              <w:widowControl/>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（1）管理机构：</w:t>
            </w:r>
            <w:r>
              <w:rPr>
                <w:rFonts w:hint="default" w:ascii="Times New Roman" w:hAnsi="Times New Roman" w:cs="Times New Roman"/>
                <w:color w:val="auto"/>
                <w:sz w:val="24"/>
              </w:rPr>
              <w:t>新疆鲁兴化工有限公司</w:t>
            </w:r>
            <w:r>
              <w:rPr>
                <w:rFonts w:hint="default" w:ascii="Times New Roman" w:hAnsi="Times New Roman" w:cs="Times New Roman"/>
                <w:bCs/>
                <w:color w:val="auto"/>
                <w:sz w:val="24"/>
              </w:rPr>
              <w:t>。</w:t>
            </w:r>
          </w:p>
          <w:p>
            <w:pPr>
              <w:widowControl/>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（2）管理任务：贯彻国家及</w:t>
            </w:r>
            <w:r>
              <w:rPr>
                <w:rFonts w:hint="eastAsia" w:cs="Times New Roman"/>
                <w:bCs/>
                <w:color w:val="auto"/>
                <w:sz w:val="24"/>
                <w:lang w:val="en-US" w:eastAsia="zh-CN"/>
              </w:rPr>
              <w:t>生态环境</w:t>
            </w:r>
            <w:r>
              <w:rPr>
                <w:rFonts w:hint="default" w:ascii="Times New Roman" w:hAnsi="Times New Roman" w:cs="Times New Roman"/>
                <w:bCs/>
                <w:color w:val="auto"/>
                <w:sz w:val="24"/>
              </w:rPr>
              <w:t>部门的方针、政策、法规条例，落实环保投资，对工程环保措施的执行进行监督检查，制定环境保护管理办法，并监督实施，加强对人员进行环境保护宣传教育，增强人员环保意识。</w:t>
            </w:r>
          </w:p>
          <w:p>
            <w:pPr>
              <w:widowControl/>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①要求合理布局，减少对周边环境的影响。</w:t>
            </w:r>
          </w:p>
          <w:p>
            <w:pPr>
              <w:adjustRightInd w:val="0"/>
              <w:snapToGrid w:val="0"/>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②生活垃圾</w:t>
            </w:r>
            <w:r>
              <w:rPr>
                <w:rFonts w:hint="default" w:ascii="Times New Roman" w:hAnsi="Times New Roman" w:cs="Times New Roman"/>
                <w:color w:val="auto"/>
                <w:sz w:val="24"/>
              </w:rPr>
              <w:t>集中收集后交由环卫工人拉运至垃圾填埋场卫生填埋。</w:t>
            </w:r>
          </w:p>
          <w:p>
            <w:pPr>
              <w:widowControl/>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③加强绿化，美化项目区环境。</w:t>
            </w:r>
          </w:p>
          <w:p>
            <w:pPr>
              <w:jc w:val="center"/>
              <w:rPr>
                <w:rFonts w:hint="default" w:ascii="Times New Roman" w:hAnsi="Times New Roman" w:cs="Times New Roman"/>
                <w:b/>
                <w:color w:val="auto"/>
                <w:sz w:val="24"/>
              </w:rPr>
            </w:pPr>
            <w:r>
              <w:rPr>
                <w:rFonts w:hint="default" w:ascii="Times New Roman" w:hAnsi="Times New Roman" w:cs="Times New Roman"/>
                <w:b/>
                <w:color w:val="auto"/>
                <w:sz w:val="24"/>
              </w:rPr>
              <w:t>表51  环境保护监管计划一览表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287"/>
              <w:gridCol w:w="4648"/>
              <w:gridCol w:w="709"/>
              <w:gridCol w:w="709"/>
              <w:gridCol w:w="709"/>
              <w:gridCol w:w="47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78" w:hRule="atLeast"/>
                <w:jc w:val="center"/>
              </w:trPr>
              <w:tc>
                <w:tcPr>
                  <w:tcW w:w="1287"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工程名称</w:t>
                  </w:r>
                </w:p>
              </w:tc>
              <w:tc>
                <w:tcPr>
                  <w:tcW w:w="4648"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环保措施</w:t>
                  </w:r>
                </w:p>
              </w:tc>
              <w:tc>
                <w:tcPr>
                  <w:tcW w:w="709"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实施单位</w:t>
                  </w:r>
                </w:p>
              </w:tc>
              <w:tc>
                <w:tcPr>
                  <w:tcW w:w="709"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监管单位</w:t>
                  </w:r>
                </w:p>
              </w:tc>
              <w:tc>
                <w:tcPr>
                  <w:tcW w:w="709"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实施时段</w:t>
                  </w:r>
                </w:p>
              </w:tc>
              <w:tc>
                <w:tcPr>
                  <w:tcW w:w="472" w:type="dxa"/>
                  <w:vAlign w:val="center"/>
                </w:tcPr>
                <w:p>
                  <w:pPr>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负责人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7" w:hRule="atLeast"/>
                <w:jc w:val="center"/>
              </w:trPr>
              <w:tc>
                <w:tcPr>
                  <w:tcW w:w="1287"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食堂油烟、汽车尾气</w:t>
                  </w:r>
                </w:p>
              </w:tc>
              <w:tc>
                <w:tcPr>
                  <w:tcW w:w="4648" w:type="dxa"/>
                  <w:vAlign w:val="center"/>
                </w:tcPr>
                <w:p>
                  <w:pPr>
                    <w:overflowPunct w:val="0"/>
                    <w:adjustRightInd w:val="0"/>
                    <w:snapToGrid w:val="0"/>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油烟经油烟净化器处理后通过专用烟道引至食堂屋顶排放，不会降低该区域大气环境质量，对周边环境影响较小；汽车尾气对环境有一定影响。汽车尾气属于无组织、间歇排放的流动污染源，且项目区周围开阔，空气流动性好、易扩散，对周围大气环境影响不大。</w:t>
                  </w:r>
                </w:p>
              </w:tc>
              <w:tc>
                <w:tcPr>
                  <w:tcW w:w="709"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建设单位</w:t>
                  </w:r>
                </w:p>
              </w:tc>
              <w:tc>
                <w:tcPr>
                  <w:tcW w:w="709"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当地</w:t>
                  </w:r>
                </w:p>
                <w:p>
                  <w:pPr>
                    <w:adjustRightInd w:val="0"/>
                    <w:snapToGrid w:val="0"/>
                    <w:jc w:val="center"/>
                    <w:rPr>
                      <w:rFonts w:hint="default" w:ascii="Times New Roman" w:hAnsi="Times New Roman" w:cs="Times New Roman"/>
                      <w:color w:val="auto"/>
                      <w:szCs w:val="21"/>
                    </w:rPr>
                  </w:pPr>
                  <w:r>
                    <w:rPr>
                      <w:rFonts w:hint="eastAsia" w:cs="Times New Roman"/>
                      <w:color w:val="auto"/>
                      <w:szCs w:val="21"/>
                      <w:lang w:val="en-US" w:eastAsia="zh-CN"/>
                    </w:rPr>
                    <w:t>生态环境</w:t>
                  </w:r>
                  <w:r>
                    <w:rPr>
                      <w:rFonts w:hint="default" w:ascii="Times New Roman" w:hAnsi="Times New Roman" w:cs="Times New Roman"/>
                      <w:color w:val="auto"/>
                      <w:szCs w:val="21"/>
                    </w:rPr>
                    <w:t>部门</w:t>
                  </w:r>
                </w:p>
              </w:tc>
              <w:tc>
                <w:tcPr>
                  <w:tcW w:w="709"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环评</w:t>
                  </w:r>
                </w:p>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批复后</w:t>
                  </w:r>
                </w:p>
              </w:tc>
              <w:tc>
                <w:tcPr>
                  <w:tcW w:w="472"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法人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3" w:hRule="atLeast"/>
                <w:jc w:val="center"/>
              </w:trPr>
              <w:tc>
                <w:tcPr>
                  <w:tcW w:w="128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生活污水</w:t>
                  </w:r>
                </w:p>
              </w:tc>
              <w:tc>
                <w:tcPr>
                  <w:tcW w:w="4648" w:type="dxa"/>
                  <w:vAlign w:val="center"/>
                </w:tcPr>
                <w:p>
                  <w:pPr>
                    <w:overflowPunct w:val="0"/>
                    <w:adjustRightInd w:val="0"/>
                    <w:snapToGrid w:val="0"/>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生活污水经厂区化粪池预处理后排入呼图壁县工业园区下水管网，最终进入呼图壁县工业园污水处理厂</w:t>
                  </w: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472" w:type="dxa"/>
                  <w:vMerge w:val="continue"/>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1287"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噪声</w:t>
                  </w:r>
                </w:p>
              </w:tc>
              <w:tc>
                <w:tcPr>
                  <w:tcW w:w="4648" w:type="dxa"/>
                </w:tcPr>
                <w:p>
                  <w:pPr>
                    <w:overflowPunct w:val="0"/>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① 对噪声防治采用综合治理方法，首先从声源上加以控制，采用必要的减振、消音、隔声、吸声、绿化等措施，将环境噪声控制在规定标准内；② 尽量选用低噪声设备；③ 加强对职工的个人防护和保护，如佩戴防噪耳罩等；④ 粗白油的卸载、输送尽量避免在夜间进行，缓解对区域声环境影响；⑤ 在厂区总体布置中注意防噪间距，同时加强绿化，减少噪声污染。</w:t>
                  </w: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472" w:type="dxa"/>
                  <w:vMerge w:val="continue"/>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1287"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生活垃圾</w:t>
                  </w:r>
                </w:p>
              </w:tc>
              <w:tc>
                <w:tcPr>
                  <w:tcW w:w="4648"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bCs/>
                      <w:color w:val="auto"/>
                      <w:sz w:val="21"/>
                      <w:szCs w:val="21"/>
                    </w:rPr>
                    <w:t>生活垃圾</w:t>
                  </w:r>
                  <w:r>
                    <w:rPr>
                      <w:rFonts w:hint="default" w:ascii="Times New Roman" w:hAnsi="Times New Roman" w:cs="Times New Roman"/>
                      <w:color w:val="auto"/>
                      <w:sz w:val="21"/>
                      <w:szCs w:val="21"/>
                    </w:rPr>
                    <w:t>集中收集后交由环卫工人拉运至垃圾填埋场卫生填埋。</w:t>
                  </w: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472" w:type="dxa"/>
                  <w:vMerge w:val="continue"/>
                  <w:vAlign w:val="center"/>
                </w:tcPr>
                <w:p>
                  <w:pPr>
                    <w:adjustRightInd w:val="0"/>
                    <w:snapToGrid w:val="0"/>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1287" w:type="dxa"/>
                  <w:vAlign w:val="center"/>
                </w:tcPr>
                <w:p>
                  <w:pPr>
                    <w:pStyle w:val="59"/>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环境风险</w:t>
                  </w:r>
                </w:p>
              </w:tc>
              <w:tc>
                <w:tcPr>
                  <w:tcW w:w="4648" w:type="dxa"/>
                  <w:vAlign w:val="center"/>
                </w:tcPr>
                <w:p>
                  <w:pPr>
                    <w:pStyle w:val="59"/>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设1座应急事故池，有效容积约2000m³</w:t>
                  </w: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709" w:type="dxa"/>
                  <w:vMerge w:val="continue"/>
                  <w:vAlign w:val="center"/>
                </w:tcPr>
                <w:p>
                  <w:pPr>
                    <w:adjustRightInd w:val="0"/>
                    <w:snapToGrid w:val="0"/>
                    <w:jc w:val="center"/>
                    <w:rPr>
                      <w:rFonts w:hint="default" w:ascii="Times New Roman" w:hAnsi="Times New Roman" w:cs="Times New Roman"/>
                      <w:color w:val="auto"/>
                      <w:szCs w:val="21"/>
                    </w:rPr>
                  </w:pPr>
                </w:p>
              </w:tc>
              <w:tc>
                <w:tcPr>
                  <w:tcW w:w="472" w:type="dxa"/>
                  <w:vMerge w:val="continue"/>
                  <w:vAlign w:val="center"/>
                </w:tcPr>
                <w:p>
                  <w:pPr>
                    <w:adjustRightInd w:val="0"/>
                    <w:snapToGrid w:val="0"/>
                    <w:jc w:val="center"/>
                    <w:rPr>
                      <w:rFonts w:hint="default" w:ascii="Times New Roman" w:hAnsi="Times New Roman" w:cs="Times New Roman"/>
                      <w:color w:val="auto"/>
                      <w:szCs w:val="21"/>
                    </w:rPr>
                  </w:pPr>
                </w:p>
              </w:tc>
            </w:tr>
          </w:tbl>
          <w:p>
            <w:pPr>
              <w:widowControl/>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6.2 环境监测计划</w:t>
            </w:r>
          </w:p>
          <w:p>
            <w:pPr>
              <w:widowControl/>
              <w:spacing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snapToGrid w:val="0"/>
                <w:color w:val="auto"/>
                <w:kern w:val="0"/>
                <w:sz w:val="24"/>
              </w:rPr>
              <w:t>环境监测是环保工作重要组成部分，它是弄清污染物来源、性质、数量和分布，正确评价环境质量和处理装置效果必不可少的手段。要求建设单位监测任务委托专业环境监测站承担，并要求与对方签订协议，明确监测范围、监测项目及监测频次。</w:t>
            </w:r>
          </w:p>
          <w:p>
            <w:pPr>
              <w:widowControl/>
              <w:spacing w:line="360" w:lineRule="auto"/>
              <w:ind w:firstLine="480" w:firstLineChars="200"/>
              <w:rPr>
                <w:rFonts w:hint="default" w:ascii="Times New Roman" w:hAnsi="Times New Roman" w:cs="Times New Roman"/>
                <w:b/>
                <w:color w:val="auto"/>
                <w:kern w:val="28"/>
                <w:szCs w:val="21"/>
              </w:rPr>
            </w:pPr>
            <w:r>
              <w:rPr>
                <w:rFonts w:hint="default" w:ascii="Times New Roman" w:hAnsi="Times New Roman" w:cs="Times New Roman"/>
                <w:snapToGrid w:val="0"/>
                <w:color w:val="auto"/>
                <w:kern w:val="0"/>
                <w:sz w:val="24"/>
              </w:rPr>
              <w:t>本项目竣工验收时污染源监测和运营期间常规污染源监测工作可委托专业环境监测单位定期进行，并将监测结果上报</w:t>
            </w:r>
            <w:r>
              <w:rPr>
                <w:rFonts w:hint="eastAsia" w:cs="Times New Roman"/>
                <w:snapToGrid w:val="0"/>
                <w:color w:val="auto"/>
                <w:kern w:val="0"/>
                <w:sz w:val="24"/>
                <w:lang w:val="en-US" w:eastAsia="zh-CN"/>
              </w:rPr>
              <w:t>当地生态环境局</w:t>
            </w:r>
            <w:r>
              <w:rPr>
                <w:rFonts w:hint="default" w:ascii="Times New Roman" w:hAnsi="Times New Roman" w:cs="Times New Roman"/>
                <w:snapToGrid w:val="0"/>
                <w:color w:val="auto"/>
                <w:kern w:val="0"/>
                <w:sz w:val="24"/>
              </w:rPr>
              <w:t>。本项目环境监测计划见表52。</w:t>
            </w:r>
          </w:p>
          <w:p>
            <w:pPr>
              <w:overflowPunct w:val="0"/>
              <w:adjustRightInd w:val="0"/>
              <w:snapToGrid w:val="0"/>
              <w:jc w:val="center"/>
              <w:rPr>
                <w:rFonts w:hint="default" w:ascii="Times New Roman" w:hAnsi="Times New Roman" w:cs="Times New Roman"/>
                <w:b/>
                <w:color w:val="auto"/>
                <w:kern w:val="28"/>
                <w:sz w:val="24"/>
              </w:rPr>
            </w:pPr>
            <w:r>
              <w:rPr>
                <w:rFonts w:hint="default" w:ascii="Times New Roman" w:hAnsi="Times New Roman" w:cs="Times New Roman"/>
                <w:b/>
                <w:color w:val="auto"/>
                <w:kern w:val="28"/>
                <w:sz w:val="24"/>
              </w:rPr>
              <w:t>表52  环境监测计划一览表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679"/>
              <w:gridCol w:w="1069"/>
              <w:gridCol w:w="1457"/>
              <w:gridCol w:w="1065"/>
              <w:gridCol w:w="666"/>
              <w:gridCol w:w="1183"/>
              <w:gridCol w:w="815"/>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overflowPunct w:val="0"/>
                    <w:adjustRightInd w:val="0"/>
                    <w:snapToGrid w:val="0"/>
                    <w:rPr>
                      <w:rFonts w:hint="default" w:ascii="Times New Roman" w:hAnsi="Times New Roman" w:cs="Times New Roman"/>
                      <w:bCs/>
                      <w:color w:val="auto"/>
                      <w:szCs w:val="21"/>
                    </w:rPr>
                  </w:pPr>
                  <w:r>
                    <w:rPr>
                      <w:rFonts w:hint="default" w:ascii="Times New Roman" w:hAnsi="Times New Roman" w:cs="Times New Roman"/>
                      <w:bCs/>
                      <w:color w:val="auto"/>
                      <w:szCs w:val="21"/>
                    </w:rPr>
                    <w:t>监测</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阶段</w:t>
                  </w:r>
                </w:p>
              </w:tc>
              <w:tc>
                <w:tcPr>
                  <w:tcW w:w="67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类别</w:t>
                  </w:r>
                </w:p>
              </w:tc>
              <w:tc>
                <w:tcPr>
                  <w:tcW w:w="106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监测点位</w:t>
                  </w:r>
                </w:p>
              </w:tc>
              <w:tc>
                <w:tcPr>
                  <w:tcW w:w="1457"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监测项目</w:t>
                  </w:r>
                </w:p>
              </w:tc>
              <w:tc>
                <w:tcPr>
                  <w:tcW w:w="106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监测频率</w:t>
                  </w:r>
                </w:p>
              </w:tc>
              <w:tc>
                <w:tcPr>
                  <w:tcW w:w="666"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时间</w:t>
                  </w:r>
                </w:p>
              </w:tc>
              <w:tc>
                <w:tcPr>
                  <w:tcW w:w="1183"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采样时间</w:t>
                  </w:r>
                </w:p>
              </w:tc>
              <w:tc>
                <w:tcPr>
                  <w:tcW w:w="81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实施</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机构</w:t>
                  </w:r>
                </w:p>
              </w:tc>
              <w:tc>
                <w:tcPr>
                  <w:tcW w:w="714"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监督</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restart"/>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运</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营</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期</w:t>
                  </w:r>
                </w:p>
              </w:tc>
              <w:tc>
                <w:tcPr>
                  <w:tcW w:w="679" w:type="dxa"/>
                  <w:vMerge w:val="restart"/>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废气</w:t>
                  </w:r>
                </w:p>
              </w:tc>
              <w:tc>
                <w:tcPr>
                  <w:tcW w:w="106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罐区下风向厂界</w:t>
                  </w:r>
                </w:p>
              </w:tc>
              <w:tc>
                <w:tcPr>
                  <w:tcW w:w="1457"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VOCs</w:t>
                  </w:r>
                </w:p>
              </w:tc>
              <w:tc>
                <w:tcPr>
                  <w:tcW w:w="106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每年1次</w:t>
                  </w:r>
                </w:p>
              </w:tc>
              <w:tc>
                <w:tcPr>
                  <w:tcW w:w="666"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2天</w:t>
                  </w:r>
                </w:p>
              </w:tc>
              <w:tc>
                <w:tcPr>
                  <w:tcW w:w="1183"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每天4次</w:t>
                  </w:r>
                </w:p>
              </w:tc>
              <w:tc>
                <w:tcPr>
                  <w:tcW w:w="815" w:type="dxa"/>
                  <w:vMerge w:val="restart"/>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专业</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环境</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监测单位</w:t>
                  </w:r>
                </w:p>
              </w:tc>
              <w:tc>
                <w:tcPr>
                  <w:tcW w:w="714" w:type="dxa"/>
                  <w:vMerge w:val="restart"/>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昌吉州生态环境局呼图壁县分局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48"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679"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106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油烟排放口</w:t>
                  </w:r>
                </w:p>
              </w:tc>
              <w:tc>
                <w:tcPr>
                  <w:tcW w:w="1457"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饮食业油烟</w:t>
                  </w:r>
                </w:p>
              </w:tc>
              <w:tc>
                <w:tcPr>
                  <w:tcW w:w="106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每年1次随机抽查</w:t>
                  </w:r>
                </w:p>
              </w:tc>
              <w:tc>
                <w:tcPr>
                  <w:tcW w:w="666"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2天</w:t>
                  </w:r>
                </w:p>
              </w:tc>
              <w:tc>
                <w:tcPr>
                  <w:tcW w:w="1183"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每天2次</w:t>
                  </w:r>
                </w:p>
              </w:tc>
              <w:tc>
                <w:tcPr>
                  <w:tcW w:w="815"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714"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67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地下水</w:t>
                  </w:r>
                </w:p>
              </w:tc>
              <w:tc>
                <w:tcPr>
                  <w:tcW w:w="106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监测井</w:t>
                  </w:r>
                </w:p>
              </w:tc>
              <w:tc>
                <w:tcPr>
                  <w:tcW w:w="1457"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石油类</w:t>
                  </w:r>
                </w:p>
              </w:tc>
              <w:tc>
                <w:tcPr>
                  <w:tcW w:w="106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每季度1次</w:t>
                  </w:r>
                </w:p>
              </w:tc>
              <w:tc>
                <w:tcPr>
                  <w:tcW w:w="666"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2</w:t>
                  </w:r>
                </w:p>
              </w:tc>
              <w:tc>
                <w:tcPr>
                  <w:tcW w:w="1183"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每天采样1次</w:t>
                  </w:r>
                </w:p>
              </w:tc>
              <w:tc>
                <w:tcPr>
                  <w:tcW w:w="815"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714"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67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噪声</w:t>
                  </w:r>
                </w:p>
              </w:tc>
              <w:tc>
                <w:tcPr>
                  <w:tcW w:w="1069"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厂界外</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1m处</w:t>
                  </w:r>
                </w:p>
              </w:tc>
              <w:tc>
                <w:tcPr>
                  <w:tcW w:w="1457"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厂界噪声</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（等效</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A声级）</w:t>
                  </w:r>
                </w:p>
              </w:tc>
              <w:tc>
                <w:tcPr>
                  <w:tcW w:w="1065"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每年1次</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随机抽查</w:t>
                  </w:r>
                </w:p>
              </w:tc>
              <w:tc>
                <w:tcPr>
                  <w:tcW w:w="666"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1天</w:t>
                  </w:r>
                </w:p>
              </w:tc>
              <w:tc>
                <w:tcPr>
                  <w:tcW w:w="1183"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每天昼、夜</w:t>
                  </w:r>
                </w:p>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间各1次</w:t>
                  </w:r>
                </w:p>
              </w:tc>
              <w:tc>
                <w:tcPr>
                  <w:tcW w:w="815"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c>
                <w:tcPr>
                  <w:tcW w:w="714" w:type="dxa"/>
                  <w:vMerge w:val="continue"/>
                  <w:vAlign w:val="center"/>
                </w:tcPr>
                <w:p>
                  <w:pPr>
                    <w:overflowPunct w:val="0"/>
                    <w:adjustRightInd w:val="0"/>
                    <w:snapToGrid w:val="0"/>
                    <w:jc w:val="center"/>
                    <w:rPr>
                      <w:rFonts w:hint="default" w:ascii="Times New Roman" w:hAnsi="Times New Roman" w:cs="Times New Roman"/>
                      <w:bCs/>
                      <w:color w:val="auto"/>
                      <w:szCs w:val="21"/>
                    </w:rPr>
                  </w:pPr>
                </w:p>
              </w:tc>
            </w:tr>
          </w:tbl>
          <w:p>
            <w:pPr>
              <w:widowControl/>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6.3 排污许可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国务院办公厅关于印发控制污染物排放许可制实施方案的通知》中提出：分步实现排污许可全覆盖。排污许可证管理内容主要包括大气污染物、水污染物，并依法逐步纳入其他污染物。按行业分步实现对固定污染源的全覆盖，率先对火电、造纸行业企业核发排污许可证，2020年全国基本完成排污许可证核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2018年1月17日原环保部颁发了《排污许可管理办法(试行)》规定了环境保护部依法制定并公布固定污染源排污许可分类管理名录，明确纳入排污许可管理的范围和申领时限。纳入固定污染源排污许可分类管理名录的企业事业单位和其他生产经营者(以下简称排污单位)应当按照规定的时限申请并取得排污许可证。排污单位应当依法持有排污许可证，并按照排污许可证的规定排放污染物。应当取得排污许可证而未取得的，不得排放污染物。对污染物产生量大、排放量大或者环境危害程度高的排污单位实行排污许可重点管理，对其他排污单位实行排污许可简化管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对照《固定污染源排污许可分类管理名录(2019年版)》，本项目为四十四、装卸搬运和仓储业59，102危险品仓储594，本工程属于简化管理行业，。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rPr>
              <w:t>因此，建设单位应按照《排污许可管理办法(试行)》和《新疆维吾尔自治区排污许可证管理暂行办法》、《排污许可证申请与核发技术规范 储油库、加油站》（HJ 1118-2020）的要求尽快申请排污许可证。</w:t>
            </w:r>
          </w:p>
          <w:p>
            <w:pPr>
              <w:overflowPunct w:val="0"/>
              <w:adjustRightIn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7.环保投资</w:t>
            </w:r>
          </w:p>
          <w:p>
            <w:pPr>
              <w:spacing w:line="360" w:lineRule="auto"/>
              <w:ind w:firstLine="480" w:firstLineChars="200"/>
              <w:rPr>
                <w:rFonts w:hint="default" w:ascii="Times New Roman" w:hAnsi="Times New Roman" w:eastAsia="黑体" w:cs="Times New Roman"/>
                <w:b/>
                <w:color w:val="auto"/>
                <w:szCs w:val="21"/>
              </w:rPr>
            </w:pPr>
            <w:r>
              <w:rPr>
                <w:rFonts w:hint="default" w:ascii="Times New Roman" w:hAnsi="Times New Roman" w:cs="Times New Roman"/>
                <w:color w:val="auto"/>
                <w:kern w:val="24"/>
                <w:sz w:val="24"/>
              </w:rPr>
              <w:t>本项目总投资</w:t>
            </w:r>
            <w:r>
              <w:rPr>
                <w:rFonts w:hint="default" w:ascii="Times New Roman" w:hAnsi="Times New Roman" w:cs="Times New Roman"/>
                <w:color w:val="auto"/>
                <w:sz w:val="24"/>
              </w:rPr>
              <w:t>2050</w:t>
            </w:r>
            <w:r>
              <w:rPr>
                <w:rFonts w:hint="default" w:ascii="Times New Roman" w:hAnsi="Times New Roman" w:cs="Times New Roman"/>
                <w:color w:val="auto"/>
                <w:kern w:val="24"/>
                <w:sz w:val="24"/>
              </w:rPr>
              <w:t>万元，其中环保投资约40.7万元，占总投资的1.99%，具体环保投资估算见表53。</w:t>
            </w:r>
            <w:r>
              <w:rPr>
                <w:rFonts w:hint="default" w:ascii="Times New Roman" w:hAnsi="Times New Roman" w:cs="Times New Roman"/>
                <w:color w:val="auto"/>
                <w:sz w:val="24"/>
              </w:rPr>
              <w:t xml:space="preserve">   </w:t>
            </w:r>
            <w:r>
              <w:rPr>
                <w:rFonts w:hint="default" w:ascii="Times New Roman" w:hAnsi="Times New Roman" w:eastAsia="黑体" w:cs="Times New Roman"/>
                <w:b/>
                <w:color w:val="auto"/>
                <w:szCs w:val="21"/>
              </w:rPr>
              <w:t xml:space="preserve">   </w:t>
            </w:r>
          </w:p>
          <w:p>
            <w:pPr>
              <w:jc w:val="center"/>
              <w:rPr>
                <w:rFonts w:hint="default" w:ascii="Times New Roman" w:hAnsi="Times New Roman" w:cs="Times New Roman"/>
                <w:color w:val="auto"/>
                <w:szCs w:val="21"/>
              </w:rPr>
            </w:pPr>
            <w:r>
              <w:rPr>
                <w:rFonts w:hint="default" w:ascii="Times New Roman" w:hAnsi="Times New Roman" w:cs="Times New Roman"/>
                <w:b/>
                <w:color w:val="auto"/>
                <w:sz w:val="24"/>
              </w:rPr>
              <w:t xml:space="preserve">表53   环保投资估算 </w:t>
            </w:r>
            <w:r>
              <w:rPr>
                <w:rFonts w:hint="default" w:ascii="Times New Roman" w:hAnsi="Times New Roman" w:eastAsia="黑体" w:cs="Times New Roman"/>
                <w:b/>
                <w:color w:val="auto"/>
                <w:szCs w:val="21"/>
              </w:rPr>
              <w:t xml:space="preserve"> </w:t>
            </w:r>
          </w:p>
          <w:tbl>
            <w:tblPr>
              <w:tblStyle w:val="3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88"/>
              <w:gridCol w:w="1695"/>
              <w:gridCol w:w="5130"/>
              <w:gridCol w:w="10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688" w:type="dxa"/>
                  <w:vAlign w:val="center"/>
                </w:tcPr>
                <w:p>
                  <w:pPr>
                    <w:topLinePunct/>
                    <w:adjustRightInd w:val="0"/>
                    <w:snapToGrid w:val="0"/>
                    <w:jc w:val="center"/>
                    <w:rPr>
                      <w:rFonts w:hint="default" w:ascii="Times New Roman" w:hAnsi="Times New Roman" w:cs="Times New Roman"/>
                      <w:b/>
                      <w:bCs/>
                      <w:snapToGrid w:val="0"/>
                      <w:color w:val="auto"/>
                      <w:kern w:val="0"/>
                      <w:szCs w:val="21"/>
                    </w:rPr>
                  </w:pPr>
                  <w:r>
                    <w:rPr>
                      <w:rFonts w:hint="default" w:ascii="Times New Roman" w:hAnsi="Times New Roman" w:cs="Times New Roman"/>
                      <w:b/>
                      <w:bCs/>
                      <w:snapToGrid w:val="0"/>
                      <w:color w:val="auto"/>
                      <w:kern w:val="0"/>
                      <w:szCs w:val="21"/>
                    </w:rPr>
                    <w:t>项目</w:t>
                  </w:r>
                </w:p>
              </w:tc>
              <w:tc>
                <w:tcPr>
                  <w:tcW w:w="1695" w:type="dxa"/>
                  <w:vAlign w:val="center"/>
                </w:tcPr>
                <w:p>
                  <w:pPr>
                    <w:topLinePunct/>
                    <w:adjustRightInd w:val="0"/>
                    <w:snapToGrid w:val="0"/>
                    <w:jc w:val="center"/>
                    <w:rPr>
                      <w:rFonts w:hint="default" w:ascii="Times New Roman" w:hAnsi="Times New Roman" w:cs="Times New Roman"/>
                      <w:b/>
                      <w:bCs/>
                      <w:snapToGrid w:val="0"/>
                      <w:color w:val="auto"/>
                      <w:kern w:val="0"/>
                      <w:szCs w:val="21"/>
                    </w:rPr>
                  </w:pPr>
                  <w:r>
                    <w:rPr>
                      <w:rFonts w:hint="default" w:ascii="Times New Roman" w:hAnsi="Times New Roman" w:cs="Times New Roman"/>
                      <w:b/>
                      <w:bCs/>
                      <w:snapToGrid w:val="0"/>
                      <w:color w:val="auto"/>
                      <w:kern w:val="0"/>
                      <w:szCs w:val="21"/>
                    </w:rPr>
                    <w:t>治理对象</w:t>
                  </w:r>
                </w:p>
              </w:tc>
              <w:tc>
                <w:tcPr>
                  <w:tcW w:w="5130" w:type="dxa"/>
                  <w:vAlign w:val="center"/>
                </w:tcPr>
                <w:p>
                  <w:pPr>
                    <w:topLinePunct/>
                    <w:adjustRightInd w:val="0"/>
                    <w:snapToGrid w:val="0"/>
                    <w:jc w:val="center"/>
                    <w:rPr>
                      <w:rFonts w:hint="default" w:ascii="Times New Roman" w:hAnsi="Times New Roman" w:cs="Times New Roman"/>
                      <w:b/>
                      <w:bCs/>
                      <w:snapToGrid w:val="0"/>
                      <w:color w:val="auto"/>
                      <w:kern w:val="0"/>
                      <w:szCs w:val="21"/>
                    </w:rPr>
                  </w:pPr>
                  <w:r>
                    <w:rPr>
                      <w:rFonts w:hint="default" w:ascii="Times New Roman" w:hAnsi="Times New Roman" w:cs="Times New Roman"/>
                      <w:b/>
                      <w:bCs/>
                      <w:snapToGrid w:val="0"/>
                      <w:color w:val="auto"/>
                      <w:kern w:val="0"/>
                      <w:szCs w:val="21"/>
                    </w:rPr>
                    <w:t>治理措施</w:t>
                  </w:r>
                </w:p>
              </w:tc>
              <w:tc>
                <w:tcPr>
                  <w:tcW w:w="1015" w:type="dxa"/>
                  <w:vAlign w:val="center"/>
                </w:tcPr>
                <w:p>
                  <w:pPr>
                    <w:topLinePunct/>
                    <w:adjustRightInd w:val="0"/>
                    <w:snapToGrid w:val="0"/>
                    <w:jc w:val="center"/>
                    <w:rPr>
                      <w:rFonts w:hint="default" w:ascii="Times New Roman" w:hAnsi="Times New Roman" w:cs="Times New Roman"/>
                      <w:b/>
                      <w:bCs/>
                      <w:snapToGrid w:val="0"/>
                      <w:color w:val="auto"/>
                      <w:kern w:val="0"/>
                      <w:szCs w:val="21"/>
                    </w:rPr>
                  </w:pPr>
                  <w:r>
                    <w:rPr>
                      <w:rFonts w:hint="default" w:ascii="Times New Roman" w:hAnsi="Times New Roman" w:cs="Times New Roman"/>
                      <w:b/>
                      <w:bCs/>
                      <w:snapToGrid w:val="0"/>
                      <w:color w:val="auto"/>
                      <w:kern w:val="0"/>
                      <w:szCs w:val="21"/>
                    </w:rPr>
                    <w:t>投资</w:t>
                  </w:r>
                </w:p>
                <w:p>
                  <w:pPr>
                    <w:topLinePunct/>
                    <w:adjustRightInd w:val="0"/>
                    <w:snapToGrid w:val="0"/>
                    <w:jc w:val="center"/>
                    <w:rPr>
                      <w:rFonts w:hint="default" w:ascii="Times New Roman" w:hAnsi="Times New Roman" w:cs="Times New Roman"/>
                      <w:b/>
                      <w:bCs/>
                      <w:snapToGrid w:val="0"/>
                      <w:color w:val="auto"/>
                      <w:kern w:val="0"/>
                      <w:szCs w:val="21"/>
                    </w:rPr>
                  </w:pPr>
                  <w:r>
                    <w:rPr>
                      <w:rFonts w:hint="default" w:ascii="Times New Roman" w:hAnsi="Times New Roman" w:cs="Times New Roman"/>
                      <w:b/>
                      <w:bCs/>
                      <w:snapToGrid w:val="0"/>
                      <w:color w:val="auto"/>
                      <w:kern w:val="0"/>
                      <w:szCs w:val="21"/>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8" w:type="dxa"/>
                  <w:vMerge w:val="restart"/>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废气</w:t>
                  </w:r>
                </w:p>
              </w:tc>
              <w:tc>
                <w:tcPr>
                  <w:tcW w:w="1695" w:type="dxa"/>
                  <w:vAlign w:val="center"/>
                </w:tcPr>
                <w:p>
                  <w:pPr>
                    <w:adjustRightInd w:val="0"/>
                    <w:snapToGrid w:val="0"/>
                    <w:jc w:val="center"/>
                    <w:rPr>
                      <w:rFonts w:hint="default" w:ascii="Times New Roman" w:hAnsi="Times New Roman" w:cs="Times New Roman"/>
                      <w:color w:val="auto"/>
                      <w:szCs w:val="21"/>
                    </w:rPr>
                  </w:pPr>
                  <w:r>
                    <w:rPr>
                      <w:rFonts w:hint="default" w:ascii="Times New Roman" w:hAnsi="Times New Roman" w:cs="Times New Roman"/>
                      <w:snapToGrid w:val="0"/>
                      <w:color w:val="auto"/>
                      <w:kern w:val="0"/>
                      <w:szCs w:val="21"/>
                    </w:rPr>
                    <w:t>VOC</w:t>
                  </w:r>
                  <w:r>
                    <w:rPr>
                      <w:rFonts w:hint="default" w:ascii="Times New Roman" w:hAnsi="Times New Roman" w:cs="Times New Roman"/>
                      <w:snapToGrid w:val="0"/>
                      <w:color w:val="auto"/>
                      <w:kern w:val="0"/>
                      <w:szCs w:val="21"/>
                      <w:vertAlign w:val="subscript"/>
                    </w:rPr>
                    <w:t>s</w:t>
                  </w:r>
                </w:p>
              </w:tc>
              <w:tc>
                <w:tcPr>
                  <w:tcW w:w="5130" w:type="dxa"/>
                  <w:vAlign w:val="center"/>
                </w:tcPr>
                <w:p>
                  <w:pPr>
                    <w:overflowPunct w:val="0"/>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b w:val="0"/>
                      <w:bCs w:val="0"/>
                      <w:color w:val="auto"/>
                      <w:szCs w:val="21"/>
                    </w:rPr>
                    <w:t>氮封装置、</w:t>
                  </w:r>
                  <w:r>
                    <w:rPr>
                      <w:rFonts w:hint="default" w:ascii="Times New Roman" w:hAnsi="Times New Roman" w:cs="Times New Roman"/>
                      <w:snapToGrid w:val="0"/>
                      <w:color w:val="auto"/>
                      <w:kern w:val="0"/>
                      <w:szCs w:val="21"/>
                    </w:rPr>
                    <w:t>油气回收装置</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88" w:type="dxa"/>
                  <w:vMerge w:val="continue"/>
                  <w:vAlign w:val="center"/>
                </w:tcPr>
                <w:p>
                  <w:pPr>
                    <w:adjustRightInd w:val="0"/>
                    <w:snapToGrid w:val="0"/>
                    <w:jc w:val="center"/>
                    <w:rPr>
                      <w:rFonts w:hint="default" w:ascii="Times New Roman" w:hAnsi="Times New Roman" w:cs="Times New Roman"/>
                      <w:color w:val="auto"/>
                      <w:szCs w:val="21"/>
                    </w:rPr>
                  </w:pPr>
                </w:p>
              </w:tc>
              <w:tc>
                <w:tcPr>
                  <w:tcW w:w="1695" w:type="dxa"/>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食堂油烟</w:t>
                  </w:r>
                </w:p>
              </w:tc>
              <w:tc>
                <w:tcPr>
                  <w:tcW w:w="5130" w:type="dxa"/>
                  <w:vAlign w:val="center"/>
                </w:tcPr>
                <w:p>
                  <w:pPr>
                    <w:overflowPunct w:val="0"/>
                    <w:adjustRightInd w:val="0"/>
                    <w:snapToGrid w:val="0"/>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油烟经油烟净化器处理后通过专用烟道引至食堂屋顶排放</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0.5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0" w:hRule="exact"/>
                <w:jc w:val="center"/>
              </w:trPr>
              <w:tc>
                <w:tcPr>
                  <w:tcW w:w="688"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噪声</w:t>
                  </w:r>
                </w:p>
              </w:tc>
              <w:tc>
                <w:tcPr>
                  <w:tcW w:w="169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机械噪声</w:t>
                  </w:r>
                </w:p>
              </w:tc>
              <w:tc>
                <w:tcPr>
                  <w:tcW w:w="5130"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采用隔声、减振等措施</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27" w:hRule="atLeast"/>
                <w:jc w:val="center"/>
              </w:trPr>
              <w:tc>
                <w:tcPr>
                  <w:tcW w:w="688"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固废</w:t>
                  </w:r>
                </w:p>
              </w:tc>
              <w:tc>
                <w:tcPr>
                  <w:tcW w:w="1695" w:type="dxa"/>
                  <w:vAlign w:val="center"/>
                </w:tcPr>
                <w:p>
                  <w:pPr>
                    <w:pStyle w:val="59"/>
                    <w:rPr>
                      <w:rFonts w:hint="default" w:ascii="Times New Roman" w:hAnsi="Times New Roman" w:cs="Times New Roman"/>
                      <w:snapToGrid w:val="0"/>
                      <w:color w:val="auto"/>
                      <w:kern w:val="0"/>
                      <w:sz w:val="21"/>
                      <w:szCs w:val="21"/>
                    </w:rPr>
                  </w:pPr>
                  <w:r>
                    <w:rPr>
                      <w:rFonts w:hint="default" w:ascii="Times New Roman" w:hAnsi="Times New Roman" w:cs="Times New Roman"/>
                      <w:color w:val="auto"/>
                      <w:sz w:val="21"/>
                      <w:szCs w:val="21"/>
                    </w:rPr>
                    <w:t>生活垃圾</w:t>
                  </w:r>
                </w:p>
              </w:tc>
              <w:tc>
                <w:tcPr>
                  <w:tcW w:w="5130" w:type="dxa"/>
                  <w:vAlign w:val="center"/>
                </w:tcPr>
                <w:p>
                  <w:pPr>
                    <w:pStyle w:val="59"/>
                    <w:rPr>
                      <w:rFonts w:hint="default" w:ascii="Times New Roman" w:hAnsi="Times New Roman" w:cs="Times New Roman"/>
                      <w:snapToGrid w:val="0"/>
                      <w:color w:val="auto"/>
                      <w:kern w:val="0"/>
                      <w:szCs w:val="21"/>
                    </w:rPr>
                  </w:pPr>
                  <w:r>
                    <w:rPr>
                      <w:rFonts w:hint="default" w:ascii="Times New Roman" w:hAnsi="Times New Roman" w:cs="Times New Roman"/>
                      <w:color w:val="auto"/>
                      <w:sz w:val="21"/>
                      <w:szCs w:val="21"/>
                    </w:rPr>
                    <w:t>生活垃圾集中收集后交由环卫工人拉运至垃圾填埋场卫生填埋</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27" w:hRule="atLeast"/>
                <w:jc w:val="center"/>
              </w:trPr>
              <w:tc>
                <w:tcPr>
                  <w:tcW w:w="688"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风险应急</w:t>
                  </w:r>
                </w:p>
              </w:tc>
              <w:tc>
                <w:tcPr>
                  <w:tcW w:w="6825" w:type="dxa"/>
                  <w:gridSpan w:val="2"/>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color w:val="auto"/>
                      <w:szCs w:val="21"/>
                    </w:rPr>
                    <w:t>DCS控制系统一套、紧急切断阀16个、可燃气体检测报警装置一套。</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7513" w:type="dxa"/>
                  <w:gridSpan w:val="3"/>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合计</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40.7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7513" w:type="dxa"/>
                  <w:gridSpan w:val="3"/>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总投资</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2050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exact"/>
                <w:jc w:val="center"/>
              </w:trPr>
              <w:tc>
                <w:tcPr>
                  <w:tcW w:w="7513" w:type="dxa"/>
                  <w:gridSpan w:val="3"/>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占总投资（%）</w:t>
                  </w:r>
                </w:p>
              </w:tc>
              <w:tc>
                <w:tcPr>
                  <w:tcW w:w="1015" w:type="dxa"/>
                  <w:vAlign w:val="center"/>
                </w:tcPr>
                <w:p>
                  <w:pPr>
                    <w:topLinePunct/>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1.99%</w:t>
                  </w:r>
                </w:p>
              </w:tc>
            </w:tr>
          </w:tbl>
          <w:p>
            <w:pPr>
              <w:overflowPunct w:val="0"/>
              <w:adjustRightInd w:val="0"/>
              <w:spacing w:line="360" w:lineRule="auto"/>
              <w:rPr>
                <w:rFonts w:hint="default" w:ascii="Times New Roman" w:hAnsi="Times New Roman" w:eastAsia="宋体" w:cs="Times New Roman"/>
                <w:b/>
                <w:color w:val="auto"/>
                <w:sz w:val="24"/>
                <w:lang w:val="en-US" w:eastAsia="zh-CN"/>
              </w:rPr>
            </w:pPr>
            <w:r>
              <w:rPr>
                <w:rFonts w:hint="default" w:ascii="Times New Roman" w:hAnsi="Times New Roman" w:cs="Times New Roman"/>
                <w:b/>
                <w:color w:val="auto"/>
                <w:sz w:val="24"/>
              </w:rPr>
              <w:t>8.</w:t>
            </w:r>
            <w:r>
              <w:rPr>
                <w:rFonts w:hint="eastAsia" w:cs="Times New Roman"/>
                <w:b/>
                <w:color w:val="auto"/>
                <w:sz w:val="24"/>
                <w:lang w:val="en-US" w:eastAsia="zh-CN"/>
              </w:rPr>
              <w:t>竣工环保验收</w:t>
            </w:r>
          </w:p>
          <w:p>
            <w:pPr>
              <w:overflowPunct w:val="0"/>
              <w:adjustRightInd w:val="0"/>
              <w:snapToGrid w:val="0"/>
              <w:spacing w:line="360" w:lineRule="auto"/>
              <w:ind w:firstLine="480" w:firstLineChars="200"/>
              <w:rPr>
                <w:rFonts w:hint="default" w:ascii="Times New Roman" w:hAnsi="Times New Roman" w:cs="Times New Roman"/>
                <w:b/>
                <w:color w:val="auto"/>
                <w:sz w:val="24"/>
              </w:rPr>
            </w:pPr>
            <w:r>
              <w:rPr>
                <w:rFonts w:hint="default" w:ascii="Times New Roman" w:hAnsi="Times New Roman" w:cs="Times New Roman"/>
                <w:color w:val="auto"/>
                <w:sz w:val="24"/>
              </w:rPr>
              <w:t>本项目必须严格执行“三同时”制度，具体计划见表</w:t>
            </w:r>
            <w:r>
              <w:rPr>
                <w:rFonts w:hint="eastAsia" w:cs="Times New Roman"/>
                <w:color w:val="auto"/>
                <w:sz w:val="24"/>
                <w:lang w:val="en-US" w:eastAsia="zh-CN"/>
              </w:rPr>
              <w:t>54</w:t>
            </w:r>
            <w:r>
              <w:rPr>
                <w:rFonts w:hint="default" w:ascii="Times New Roman" w:hAnsi="Times New Roman" w:cs="Times New Roman"/>
                <w:color w:val="auto"/>
                <w:sz w:val="24"/>
              </w:rPr>
              <w:t>。</w:t>
            </w:r>
          </w:p>
          <w:p>
            <w:pPr>
              <w:overflowPunct w:val="0"/>
              <w:adjustRightInd w:val="0"/>
              <w:snapToGrid w:val="0"/>
              <w:spacing w:line="360" w:lineRule="auto"/>
              <w:ind w:firstLine="482" w:firstLineChars="200"/>
              <w:jc w:val="center"/>
              <w:rPr>
                <w:rFonts w:hint="default" w:ascii="Times New Roman" w:hAnsi="Times New Roman" w:cs="Times New Roman"/>
                <w:b/>
                <w:color w:val="auto"/>
                <w:sz w:val="24"/>
              </w:rPr>
            </w:pPr>
          </w:p>
          <w:p>
            <w:pPr>
              <w:overflowPunct w:val="0"/>
              <w:adjustRightInd w:val="0"/>
              <w:snapToGrid w:val="0"/>
              <w:spacing w:line="360" w:lineRule="auto"/>
              <w:ind w:firstLine="482" w:firstLineChars="200"/>
              <w:jc w:val="center"/>
              <w:rPr>
                <w:rFonts w:hint="default" w:ascii="Times New Roman" w:hAnsi="Times New Roman" w:cs="Times New Roman"/>
                <w:b/>
                <w:color w:val="auto"/>
                <w:sz w:val="24"/>
              </w:rPr>
            </w:pPr>
          </w:p>
          <w:p>
            <w:pPr>
              <w:overflowPunct w:val="0"/>
              <w:adjustRightInd w:val="0"/>
              <w:snapToGrid w:val="0"/>
              <w:spacing w:line="360" w:lineRule="auto"/>
              <w:ind w:firstLine="482" w:firstLineChars="200"/>
              <w:jc w:val="center"/>
              <w:rPr>
                <w:rFonts w:hint="default" w:ascii="Times New Roman" w:hAnsi="Times New Roman" w:cs="Times New Roman"/>
                <w:b/>
                <w:color w:val="auto"/>
                <w:sz w:val="24"/>
              </w:rPr>
            </w:pPr>
          </w:p>
          <w:p>
            <w:pPr>
              <w:overflowPunct w:val="0"/>
              <w:adjustRightInd w:val="0"/>
              <w:snapToGrid w:val="0"/>
              <w:spacing w:line="360" w:lineRule="auto"/>
              <w:ind w:firstLine="482" w:firstLineChars="200"/>
              <w:jc w:val="center"/>
              <w:rPr>
                <w:rFonts w:hint="default" w:ascii="Times New Roman" w:hAnsi="Times New Roman" w:cs="Times New Roman"/>
                <w:b/>
                <w:color w:val="auto"/>
                <w:sz w:val="24"/>
              </w:rPr>
            </w:pPr>
            <w:r>
              <w:rPr>
                <w:rFonts w:hint="default" w:ascii="Times New Roman" w:hAnsi="Times New Roman" w:cs="Times New Roman"/>
                <w:b/>
                <w:color w:val="auto"/>
                <w:sz w:val="24"/>
              </w:rPr>
              <w:t>表54   环境保护“三同时”竣工验收一览表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55"/>
              <w:gridCol w:w="4278"/>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Align w:val="center"/>
                </w:tcPr>
                <w:p>
                  <w:pPr>
                    <w:adjustRightInd w:val="0"/>
                    <w:snapToGrid w:val="0"/>
                    <w:spacing w:before="50" w:after="5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工程类别</w:t>
                  </w:r>
                </w:p>
              </w:tc>
              <w:tc>
                <w:tcPr>
                  <w:tcW w:w="4278" w:type="dxa"/>
                  <w:vAlign w:val="center"/>
                </w:tcPr>
                <w:p>
                  <w:pPr>
                    <w:adjustRightInd w:val="0"/>
                    <w:snapToGrid w:val="0"/>
                    <w:spacing w:before="50" w:after="5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治理措施</w:t>
                  </w:r>
                </w:p>
              </w:tc>
              <w:tc>
                <w:tcPr>
                  <w:tcW w:w="3601" w:type="dxa"/>
                  <w:vAlign w:val="center"/>
                </w:tcPr>
                <w:p>
                  <w:pPr>
                    <w:adjustRightInd w:val="0"/>
                    <w:snapToGrid w:val="0"/>
                    <w:spacing w:before="50" w:after="50"/>
                    <w:ind w:left="-99" w:leftChars="-47" w:firstLine="110" w:firstLineChars="52"/>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验收标准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Merge w:val="restart"/>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废气</w:t>
                  </w:r>
                </w:p>
              </w:tc>
              <w:tc>
                <w:tcPr>
                  <w:tcW w:w="4278" w:type="dxa"/>
                  <w:vAlign w:val="center"/>
                </w:tcPr>
                <w:p>
                  <w:pPr>
                    <w:adjustRightInd w:val="0"/>
                    <w:snapToGrid w:val="0"/>
                    <w:spacing w:before="50" w:after="50"/>
                    <w:jc w:val="center"/>
                    <w:rPr>
                      <w:rFonts w:hint="default" w:ascii="Times New Roman" w:hAnsi="Times New Roman" w:cs="Times New Roman"/>
                      <w:b/>
                      <w:bCs/>
                      <w:color w:val="auto"/>
                      <w:szCs w:val="21"/>
                    </w:rPr>
                  </w:pPr>
                  <w:r>
                    <w:rPr>
                      <w:rFonts w:hint="default" w:ascii="Times New Roman" w:hAnsi="Times New Roman" w:cs="Times New Roman"/>
                      <w:b w:val="0"/>
                      <w:bCs w:val="0"/>
                      <w:color w:val="auto"/>
                      <w:szCs w:val="21"/>
                    </w:rPr>
                    <w:t>氮封装置、油气回收装置</w:t>
                  </w:r>
                </w:p>
              </w:tc>
              <w:tc>
                <w:tcPr>
                  <w:tcW w:w="3601" w:type="dxa"/>
                  <w:vAlign w:val="center"/>
                </w:tcPr>
                <w:p>
                  <w:pPr>
                    <w:adjustRightInd w:val="0"/>
                    <w:snapToGrid w:val="0"/>
                    <w:spacing w:before="50" w:after="50"/>
                    <w:ind w:left="-99" w:leftChars="-47" w:firstLine="109" w:firstLineChars="52"/>
                    <w:jc w:val="center"/>
                    <w:rPr>
                      <w:rFonts w:hint="default" w:ascii="Times New Roman" w:hAnsi="Times New Roman" w:cs="Times New Roman"/>
                      <w:b/>
                      <w:bCs/>
                      <w:color w:val="auto"/>
                      <w:szCs w:val="21"/>
                    </w:rPr>
                  </w:pPr>
                  <w:r>
                    <w:rPr>
                      <w:rFonts w:hint="default" w:ascii="Times New Roman" w:hAnsi="Times New Roman" w:cs="Times New Roman"/>
                      <w:b w:val="0"/>
                      <w:bCs w:val="0"/>
                      <w:color w:val="auto"/>
                      <w:szCs w:val="21"/>
                    </w:rPr>
                    <w:t>《石油化学工业污染物排放标准》(GB31571-2015)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Merge w:val="continue"/>
                  <w:vAlign w:val="center"/>
                </w:tcPr>
                <w:p>
                  <w:pPr>
                    <w:adjustRightInd w:val="0"/>
                    <w:snapToGrid w:val="0"/>
                    <w:spacing w:before="50" w:after="50"/>
                    <w:jc w:val="center"/>
                    <w:rPr>
                      <w:rFonts w:hint="default" w:ascii="Times New Roman" w:hAnsi="Times New Roman" w:cs="Times New Roman"/>
                      <w:color w:val="auto"/>
                      <w:szCs w:val="21"/>
                    </w:rPr>
                  </w:pPr>
                </w:p>
              </w:tc>
              <w:tc>
                <w:tcPr>
                  <w:tcW w:w="4278" w:type="dxa"/>
                  <w:vAlign w:val="center"/>
                </w:tcPr>
                <w:p>
                  <w:pPr>
                    <w:overflowPunct w:val="0"/>
                    <w:adjustRightInd w:val="0"/>
                    <w:snapToGrid w:val="0"/>
                    <w:rPr>
                      <w:rFonts w:hint="default" w:ascii="Times New Roman" w:hAnsi="Times New Roman" w:cs="Times New Roman"/>
                      <w:color w:val="auto"/>
                      <w:szCs w:val="21"/>
                    </w:rPr>
                  </w:pPr>
                  <w:r>
                    <w:rPr>
                      <w:rFonts w:hint="default" w:ascii="Times New Roman" w:hAnsi="Times New Roman" w:cs="Times New Roman"/>
                      <w:snapToGrid w:val="0"/>
                      <w:color w:val="auto"/>
                      <w:kern w:val="0"/>
                      <w:szCs w:val="21"/>
                    </w:rPr>
                    <w:t>油烟经油烟净化器处理后通过专用烟道引至食堂屋顶排放</w:t>
                  </w:r>
                </w:p>
              </w:tc>
              <w:tc>
                <w:tcPr>
                  <w:tcW w:w="360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《饮食业油烟排放标准》（GB18483-2001）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废水</w:t>
                  </w:r>
                </w:p>
              </w:tc>
              <w:tc>
                <w:tcPr>
                  <w:tcW w:w="4278" w:type="dxa"/>
                  <w:vAlign w:val="center"/>
                </w:tcPr>
                <w:p>
                  <w:pPr>
                    <w:overflowPunct w:val="0"/>
                    <w:adjustRightInd w:val="0"/>
                    <w:snapToGrid w:val="0"/>
                    <w:rPr>
                      <w:rFonts w:hint="default" w:ascii="Times New Roman" w:hAnsi="Times New Roman" w:cs="Times New Roman"/>
                      <w:bCs/>
                      <w:color w:val="auto"/>
                      <w:szCs w:val="21"/>
                    </w:rPr>
                  </w:pPr>
                  <w:r>
                    <w:rPr>
                      <w:rFonts w:hint="default" w:ascii="Times New Roman" w:hAnsi="Times New Roman" w:cs="Times New Roman"/>
                      <w:snapToGrid w:val="0"/>
                      <w:color w:val="auto"/>
                      <w:kern w:val="0"/>
                      <w:szCs w:val="21"/>
                    </w:rPr>
                    <w:t>生活污水经厂区化粪池预处理后排入呼图壁县工业园区下水管网，最终进入呼图壁县工业园污水处理厂</w:t>
                  </w:r>
                </w:p>
              </w:tc>
              <w:tc>
                <w:tcPr>
                  <w:tcW w:w="3601" w:type="dxa"/>
                  <w:vAlign w:val="center"/>
                </w:tcPr>
                <w:p>
                  <w:pPr>
                    <w:jc w:val="left"/>
                    <w:rPr>
                      <w:rFonts w:hint="default" w:ascii="Times New Roman" w:hAnsi="Times New Roman" w:cs="Times New Roman"/>
                      <w:color w:val="auto"/>
                      <w:szCs w:val="21"/>
                    </w:rPr>
                  </w:pPr>
                  <w:r>
                    <w:rPr>
                      <w:rFonts w:hint="default" w:ascii="Times New Roman" w:hAnsi="Times New Roman" w:cs="Times New Roman"/>
                      <w:color w:val="auto"/>
                      <w:szCs w:val="21"/>
                    </w:rPr>
                    <w:t>《污水综合排放标准》（GB8978-1996）中表4中三级排放标准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地下水</w:t>
                  </w:r>
                </w:p>
              </w:tc>
              <w:tc>
                <w:tcPr>
                  <w:tcW w:w="4278" w:type="dxa"/>
                  <w:vAlign w:val="center"/>
                </w:tcPr>
                <w:p>
                  <w:pPr>
                    <w:overflowPunct w:val="0"/>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罐区防渗、地下水监测井</w:t>
                  </w:r>
                </w:p>
              </w:tc>
              <w:tc>
                <w:tcPr>
                  <w:tcW w:w="3601" w:type="dxa"/>
                  <w:vAlign w:val="center"/>
                </w:tcPr>
                <w:p>
                  <w:pPr>
                    <w:jc w:val="left"/>
                    <w:rPr>
                      <w:rFonts w:hint="default" w:ascii="Times New Roman" w:hAnsi="Times New Roman" w:cs="Times New Roman"/>
                      <w:color w:val="auto"/>
                      <w:szCs w:val="21"/>
                    </w:rPr>
                  </w:pPr>
                  <w:r>
                    <w:rPr>
                      <w:rFonts w:hint="default" w:ascii="Times New Roman" w:hAnsi="Times New Roman" w:cs="Times New Roman"/>
                      <w:color w:val="auto"/>
                      <w:szCs w:val="21"/>
                    </w:rPr>
                    <w:t>等效黏土防渗层Mb≧6m，渗透系数K≦1×10</w:t>
                  </w:r>
                  <w:r>
                    <w:rPr>
                      <w:rFonts w:hint="default" w:ascii="Times New Roman" w:hAnsi="Times New Roman" w:cs="Times New Roman"/>
                      <w:color w:val="auto"/>
                      <w:szCs w:val="21"/>
                      <w:vertAlign w:val="superscript"/>
                    </w:rPr>
                    <w:t xml:space="preserve">-7 </w:t>
                  </w:r>
                  <w:r>
                    <w:rPr>
                      <w:rFonts w:hint="default" w:ascii="Times New Roman" w:hAnsi="Times New Roman" w:cs="Times New Roman"/>
                      <w:color w:val="auto"/>
                      <w:szCs w:val="21"/>
                    </w:rPr>
                    <w:t>cm/s。 罐区地下水下游布设1口监测井。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20" w:hRule="atLeast"/>
                <w:jc w:val="center"/>
              </w:trPr>
              <w:tc>
                <w:tcPr>
                  <w:tcW w:w="655" w:type="dxa"/>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噪声</w:t>
                  </w:r>
                </w:p>
              </w:tc>
              <w:tc>
                <w:tcPr>
                  <w:tcW w:w="4278" w:type="dxa"/>
                </w:tcPr>
                <w:p>
                  <w:pPr>
                    <w:overflowPunct w:val="0"/>
                    <w:adjustRightInd w:val="0"/>
                    <w:snapToGrid w:val="0"/>
                    <w:rPr>
                      <w:rFonts w:hint="default" w:ascii="Times New Roman" w:hAnsi="Times New Roman" w:cs="Times New Roman"/>
                      <w:color w:val="auto"/>
                      <w:szCs w:val="21"/>
                    </w:rPr>
                  </w:pPr>
                  <w:r>
                    <w:rPr>
                      <w:rFonts w:hint="default" w:ascii="Times New Roman" w:hAnsi="Times New Roman" w:cs="Times New Roman"/>
                      <w:color w:val="auto"/>
                      <w:szCs w:val="21"/>
                    </w:rPr>
                    <w:t>① 对噪声防治采用综合治理方法，首先从声源上加以控制，采用必要的减振、消音、隔声、吸声、绿化等措施，将环境噪声控制在规定标准内；② 尽量选用低噪声设备；③ 加强对职工的个人防护和保护，如佩戴防噪耳罩等；④ 粗白油卸载、输送尽量避免在夜间进行，缓解对区域声环境影响；⑤ 在厂区总体布置中注意防噪间距，同时加强绿化，减少噪声污染。</w:t>
                  </w:r>
                </w:p>
              </w:tc>
              <w:tc>
                <w:tcPr>
                  <w:tcW w:w="3601" w:type="dxa"/>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《工业企业厂界环境噪声排放标准》</w:t>
                  </w:r>
                </w:p>
                <w:p>
                  <w:pPr>
                    <w:rPr>
                      <w:rFonts w:hint="default" w:ascii="Times New Roman" w:hAnsi="Times New Roman" w:cs="Times New Roman"/>
                      <w:color w:val="auto"/>
                      <w:szCs w:val="21"/>
                    </w:rPr>
                  </w:pPr>
                  <w:r>
                    <w:rPr>
                      <w:rFonts w:hint="default" w:ascii="Times New Roman" w:hAnsi="Times New Roman" w:cs="Times New Roman"/>
                      <w:color w:val="auto"/>
                      <w:szCs w:val="21"/>
                    </w:rPr>
                    <w:t>（GB12348-2008）中3类声环境功能区环境噪声排放限值标准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固废</w:t>
                  </w:r>
                </w:p>
              </w:tc>
              <w:tc>
                <w:tcPr>
                  <w:tcW w:w="4278" w:type="dxa"/>
                  <w:vAlign w:val="center"/>
                </w:tcPr>
                <w:p>
                  <w:pPr>
                    <w:pStyle w:val="59"/>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生活垃圾集中收集后交由环卫工人拉运至垃圾填埋场卫生填埋；</w:t>
                  </w:r>
                </w:p>
              </w:tc>
              <w:tc>
                <w:tcPr>
                  <w:tcW w:w="3601" w:type="dxa"/>
                  <w:vAlign w:val="center"/>
                </w:tcPr>
                <w:p>
                  <w:pPr>
                    <w:rPr>
                      <w:rFonts w:hint="default" w:ascii="Times New Roman" w:hAnsi="Times New Roman" w:cs="Times New Roman"/>
                      <w:color w:val="auto"/>
                      <w:szCs w:val="21"/>
                    </w:rPr>
                  </w:pPr>
                  <w:r>
                    <w:rPr>
                      <w:rFonts w:hint="default" w:ascii="Times New Roman" w:hAnsi="Times New Roman" w:cs="Times New Roman"/>
                      <w:color w:val="auto"/>
                      <w:szCs w:val="21"/>
                    </w:rPr>
                    <w:t>《一般工业固体废物贮存、处置场污染控制标准》（GB18599-2001）中及修改单标准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10" w:hRule="atLeast"/>
                <w:jc w:val="center"/>
              </w:trPr>
              <w:tc>
                <w:tcPr>
                  <w:tcW w:w="655" w:type="dxa"/>
                  <w:vAlign w:val="center"/>
                </w:tcPr>
                <w:p>
                  <w:pPr>
                    <w:adjustRightInd w:val="0"/>
                    <w:snapToGrid w:val="0"/>
                    <w:spacing w:before="50" w:after="50"/>
                    <w:jc w:val="center"/>
                    <w:rPr>
                      <w:rFonts w:hint="default" w:ascii="Times New Roman" w:hAnsi="Times New Roman" w:cs="Times New Roman"/>
                      <w:color w:val="auto"/>
                      <w:szCs w:val="21"/>
                    </w:rPr>
                  </w:pPr>
                  <w:r>
                    <w:rPr>
                      <w:rFonts w:hint="default" w:ascii="Times New Roman" w:hAnsi="Times New Roman" w:cs="Times New Roman"/>
                      <w:color w:val="auto"/>
                      <w:szCs w:val="21"/>
                    </w:rPr>
                    <w:t>环境风险</w:t>
                  </w:r>
                </w:p>
              </w:tc>
              <w:tc>
                <w:tcPr>
                  <w:tcW w:w="4278" w:type="dxa"/>
                  <w:vAlign w:val="center"/>
                </w:tcPr>
                <w:p>
                  <w:pPr>
                    <w:pStyle w:val="59"/>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围堰、应急事故池、DCS控制系统紧急切断阀、可燃气体检测报警装置</w:t>
                  </w:r>
                </w:p>
              </w:tc>
              <w:tc>
                <w:tcPr>
                  <w:tcW w:w="3601"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r>
          </w:tbl>
          <w:p>
            <w:pPr>
              <w:spacing w:line="360" w:lineRule="auto"/>
              <w:rPr>
                <w:rFonts w:hint="default" w:ascii="Times New Roman" w:hAnsi="Times New Roman" w:cs="Times New Roman"/>
                <w:color w:val="auto"/>
                <w:sz w:val="24"/>
              </w:rPr>
            </w:pPr>
          </w:p>
        </w:tc>
      </w:tr>
    </w:tbl>
    <w:p>
      <w:pPr>
        <w:rPr>
          <w:rFonts w:hint="default" w:ascii="Times New Roman" w:hAnsi="Times New Roman" w:eastAsia="黑体" w:cs="Times New Roman"/>
          <w:b/>
          <w:color w:val="auto"/>
          <w:sz w:val="30"/>
        </w:rPr>
      </w:pPr>
    </w:p>
    <w:p>
      <w:pPr>
        <w:overflowPunct w:val="0"/>
        <w:adjustRightInd w:val="0"/>
        <w:snapToGrid w:val="0"/>
        <w:spacing w:line="360" w:lineRule="auto"/>
        <w:jc w:val="left"/>
        <w:rPr>
          <w:rFonts w:hint="default" w:ascii="Times New Roman" w:hAnsi="Times New Roman" w:eastAsia="黑体" w:cs="Times New Roman"/>
          <w:b/>
          <w:color w:val="auto"/>
          <w:sz w:val="28"/>
          <w:szCs w:val="32"/>
        </w:rPr>
      </w:pPr>
    </w:p>
    <w:p>
      <w:pPr>
        <w:overflowPunct w:val="0"/>
        <w:adjustRightInd w:val="0"/>
        <w:snapToGrid w:val="0"/>
        <w:spacing w:line="360" w:lineRule="auto"/>
        <w:jc w:val="left"/>
        <w:rPr>
          <w:rFonts w:hint="default" w:ascii="Times New Roman" w:hAnsi="Times New Roman" w:cs="Times New Roman"/>
          <w:b/>
          <w:color w:val="auto"/>
          <w:sz w:val="24"/>
        </w:rPr>
      </w:pPr>
      <w:r>
        <w:rPr>
          <w:rFonts w:hint="default" w:ascii="Times New Roman" w:hAnsi="Times New Roman" w:cs="Times New Roman"/>
          <w:b/>
          <w:color w:val="auto"/>
          <w:sz w:val="24"/>
        </w:rPr>
        <w:t>建设项目拟采取的防治措施及预期治理效果</w:t>
      </w:r>
    </w:p>
    <w:tbl>
      <w:tblPr>
        <w:tblStyle w:val="33"/>
        <w:tblW w:w="85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362"/>
        <w:gridCol w:w="1481"/>
        <w:gridCol w:w="4103"/>
        <w:gridCol w:w="94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8" w:hRule="atLeast"/>
        </w:trPr>
        <w:tc>
          <w:tcPr>
            <w:tcW w:w="675" w:type="dxa"/>
            <w:tcBorders>
              <w:tl2br w:val="single" w:color="auto" w:sz="6" w:space="0"/>
            </w:tcBorders>
            <w:vAlign w:val="center"/>
          </w:tcPr>
          <w:p>
            <w:pPr>
              <w:rPr>
                <w:rFonts w:hint="default" w:ascii="Times New Roman" w:hAnsi="Times New Roman" w:cs="Times New Roman"/>
                <w:b/>
                <w:color w:val="auto"/>
                <w:szCs w:val="21"/>
              </w:rPr>
            </w:pPr>
            <w:r>
              <w:rPr>
                <w:rFonts w:hint="default" w:ascii="Times New Roman" w:hAnsi="Times New Roman" w:cs="Times New Roman"/>
                <w:b/>
                <w:color w:val="auto"/>
                <w:szCs w:val="21"/>
              </w:rPr>
              <w:t>内容</w:t>
            </w:r>
          </w:p>
          <w:p>
            <w:pPr>
              <w:rPr>
                <w:rFonts w:hint="default" w:ascii="Times New Roman" w:hAnsi="Times New Roman" w:cs="Times New Roman"/>
                <w:b/>
                <w:color w:val="auto"/>
                <w:szCs w:val="21"/>
              </w:rPr>
            </w:pPr>
            <w:r>
              <w:rPr>
                <w:rFonts w:hint="default" w:ascii="Times New Roman" w:hAnsi="Times New Roman" w:cs="Times New Roman"/>
                <w:b/>
                <w:color w:val="auto"/>
                <w:szCs w:val="21"/>
              </w:rPr>
              <w:t>类型</w:t>
            </w:r>
          </w:p>
        </w:tc>
        <w:tc>
          <w:tcPr>
            <w:tcW w:w="1362"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排放源</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(编号)</w:t>
            </w:r>
          </w:p>
        </w:tc>
        <w:tc>
          <w:tcPr>
            <w:tcW w:w="1481"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污  染</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物名称</w:t>
            </w:r>
          </w:p>
        </w:tc>
        <w:tc>
          <w:tcPr>
            <w:tcW w:w="4103"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防治措施</w:t>
            </w:r>
          </w:p>
        </w:tc>
        <w:tc>
          <w:tcPr>
            <w:tcW w:w="947" w:type="dxa"/>
            <w:vAlign w:val="center"/>
          </w:tcPr>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预期治</w:t>
            </w:r>
          </w:p>
          <w:p>
            <w:pPr>
              <w:jc w:val="center"/>
              <w:rPr>
                <w:rFonts w:hint="default" w:ascii="Times New Roman" w:hAnsi="Times New Roman" w:cs="Times New Roman"/>
                <w:b/>
                <w:color w:val="auto"/>
                <w:szCs w:val="21"/>
              </w:rPr>
            </w:pPr>
            <w:r>
              <w:rPr>
                <w:rFonts w:hint="default" w:ascii="Times New Roman" w:hAnsi="Times New Roman" w:cs="Times New Roman"/>
                <w:b/>
                <w:color w:val="auto"/>
                <w:szCs w:val="21"/>
              </w:rPr>
              <w:t>理效果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trPr>
        <w:tc>
          <w:tcPr>
            <w:tcW w:w="675" w:type="dxa"/>
            <w:vMerge w:val="restart"/>
            <w:vAlign w:val="center"/>
          </w:tcPr>
          <w:p>
            <w:pPr>
              <w:spacing w:line="3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大气</w:t>
            </w:r>
          </w:p>
          <w:p>
            <w:pPr>
              <w:spacing w:line="3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污染物</w:t>
            </w:r>
          </w:p>
        </w:tc>
        <w:tc>
          <w:tcPr>
            <w:tcW w:w="1362" w:type="dxa"/>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罐区</w:t>
            </w:r>
          </w:p>
        </w:tc>
        <w:tc>
          <w:tcPr>
            <w:tcW w:w="1481" w:type="dxa"/>
            <w:tcBorders>
              <w:bottom w:val="single" w:color="auto" w:sz="2" w:space="0"/>
            </w:tcBorders>
            <w:vAlign w:val="center"/>
          </w:tcPr>
          <w:p>
            <w:pPr>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VOC</w:t>
            </w:r>
            <w:r>
              <w:rPr>
                <w:rFonts w:hint="default" w:ascii="Times New Roman" w:hAnsi="Times New Roman" w:cs="Times New Roman"/>
                <w:snapToGrid w:val="0"/>
                <w:color w:val="auto"/>
                <w:kern w:val="0"/>
                <w:szCs w:val="21"/>
                <w:vertAlign w:val="subscript"/>
              </w:rPr>
              <w:t>s</w:t>
            </w:r>
          </w:p>
        </w:tc>
        <w:tc>
          <w:tcPr>
            <w:tcW w:w="4103" w:type="dxa"/>
            <w:tcBorders>
              <w:bottom w:val="single" w:color="auto" w:sz="2" w:space="0"/>
            </w:tcBorders>
            <w:vAlign w:val="center"/>
          </w:tcPr>
          <w:p>
            <w:pPr>
              <w:overflowPunct w:val="0"/>
              <w:adjustRightInd w:val="0"/>
              <w:snapToGrid w:val="0"/>
              <w:jc w:val="center"/>
              <w:rPr>
                <w:rFonts w:hint="default" w:ascii="Times New Roman" w:hAnsi="Times New Roman" w:cs="Times New Roman"/>
                <w:snapToGrid w:val="0"/>
                <w:color w:val="auto"/>
                <w:kern w:val="0"/>
                <w:szCs w:val="21"/>
              </w:rPr>
            </w:pPr>
            <w:r>
              <w:rPr>
                <w:rFonts w:hint="default" w:ascii="Times New Roman" w:hAnsi="Times New Roman" w:cs="Times New Roman"/>
                <w:snapToGrid w:val="0"/>
                <w:color w:val="auto"/>
                <w:kern w:val="0"/>
                <w:szCs w:val="21"/>
              </w:rPr>
              <w:t>氮封装置、油气回收装置</w:t>
            </w:r>
          </w:p>
        </w:tc>
        <w:tc>
          <w:tcPr>
            <w:tcW w:w="947" w:type="dxa"/>
            <w:vMerge w:val="restart"/>
            <w:vAlign w:val="center"/>
          </w:tcPr>
          <w:p>
            <w:pPr>
              <w:adjustRightInd w:val="0"/>
              <w:snapToGrid w:val="0"/>
              <w:spacing w:line="4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达标</w:t>
            </w:r>
          </w:p>
          <w:p>
            <w:pPr>
              <w:adjustRightInd w:val="0"/>
              <w:snapToGrid w:val="0"/>
              <w:spacing w:line="4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排放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trPr>
        <w:tc>
          <w:tcPr>
            <w:tcW w:w="675" w:type="dxa"/>
            <w:vMerge w:val="continue"/>
            <w:vAlign w:val="center"/>
          </w:tcPr>
          <w:p>
            <w:pPr>
              <w:spacing w:line="300" w:lineRule="exact"/>
              <w:jc w:val="center"/>
              <w:rPr>
                <w:rFonts w:hint="default" w:ascii="Times New Roman" w:hAnsi="Times New Roman" w:cs="Times New Roman"/>
                <w:bCs/>
                <w:color w:val="auto"/>
                <w:szCs w:val="21"/>
              </w:rPr>
            </w:pPr>
          </w:p>
        </w:tc>
        <w:tc>
          <w:tcPr>
            <w:tcW w:w="1362" w:type="dxa"/>
            <w:vMerge w:val="restart"/>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生产过程</w:t>
            </w:r>
          </w:p>
        </w:tc>
        <w:tc>
          <w:tcPr>
            <w:tcW w:w="1481" w:type="dxa"/>
            <w:tcBorders>
              <w:bottom w:val="single" w:color="auto" w:sz="2" w:space="0"/>
            </w:tcBorders>
            <w:vAlign w:val="center"/>
          </w:tcPr>
          <w:p>
            <w:pPr>
              <w:adjustRightInd w:val="0"/>
              <w:snapToGrid w:val="0"/>
              <w:jc w:val="center"/>
              <w:rPr>
                <w:rFonts w:hint="default" w:ascii="Times New Roman" w:hAnsi="Times New Roman" w:cs="Times New Roman"/>
                <w:bCs/>
                <w:color w:val="auto"/>
                <w:szCs w:val="21"/>
              </w:rPr>
            </w:pPr>
            <w:r>
              <w:rPr>
                <w:rFonts w:hint="default" w:ascii="Times New Roman" w:hAnsi="Times New Roman" w:cs="Times New Roman"/>
                <w:snapToGrid w:val="0"/>
                <w:color w:val="auto"/>
                <w:kern w:val="0"/>
                <w:szCs w:val="21"/>
              </w:rPr>
              <w:t>食堂油烟</w:t>
            </w:r>
          </w:p>
        </w:tc>
        <w:tc>
          <w:tcPr>
            <w:tcW w:w="4103" w:type="dxa"/>
            <w:tcBorders>
              <w:bottom w:val="single" w:color="auto" w:sz="2" w:space="0"/>
            </w:tcBorders>
            <w:vAlign w:val="center"/>
          </w:tcPr>
          <w:p>
            <w:pPr>
              <w:overflowPunct w:val="0"/>
              <w:adjustRightInd w:val="0"/>
              <w:snapToGrid w:val="0"/>
              <w:rPr>
                <w:rFonts w:hint="default" w:ascii="Times New Roman" w:hAnsi="Times New Roman" w:cs="Times New Roman"/>
                <w:bCs/>
                <w:snapToGrid w:val="0"/>
                <w:color w:val="auto"/>
                <w:kern w:val="0"/>
                <w:szCs w:val="21"/>
              </w:rPr>
            </w:pPr>
            <w:r>
              <w:rPr>
                <w:rFonts w:hint="default" w:ascii="Times New Roman" w:hAnsi="Times New Roman" w:cs="Times New Roman"/>
                <w:snapToGrid w:val="0"/>
                <w:color w:val="auto"/>
                <w:kern w:val="0"/>
                <w:szCs w:val="21"/>
              </w:rPr>
              <w:t>油烟经油烟净化器处理后通过专用烟道引至食堂屋顶排放</w:t>
            </w:r>
          </w:p>
        </w:tc>
        <w:tc>
          <w:tcPr>
            <w:tcW w:w="947" w:type="dxa"/>
            <w:vMerge w:val="continue"/>
            <w:vAlign w:val="center"/>
          </w:tcPr>
          <w:p>
            <w:pPr>
              <w:adjustRightInd w:val="0"/>
              <w:snapToGrid w:val="0"/>
              <w:spacing w:line="400" w:lineRule="exact"/>
              <w:jc w:val="center"/>
              <w:rPr>
                <w:rFonts w:hint="default" w:ascii="Times New Roman" w:hAnsi="Times New Roman"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2" w:hRule="atLeast"/>
        </w:trPr>
        <w:tc>
          <w:tcPr>
            <w:tcW w:w="675" w:type="dxa"/>
            <w:vMerge w:val="continue"/>
            <w:vAlign w:val="center"/>
          </w:tcPr>
          <w:p>
            <w:pPr>
              <w:spacing w:line="300" w:lineRule="exact"/>
              <w:jc w:val="center"/>
              <w:rPr>
                <w:rFonts w:hint="default" w:ascii="Times New Roman" w:hAnsi="Times New Roman" w:cs="Times New Roman"/>
                <w:bCs/>
                <w:color w:val="auto"/>
                <w:szCs w:val="21"/>
              </w:rPr>
            </w:pPr>
          </w:p>
        </w:tc>
        <w:tc>
          <w:tcPr>
            <w:tcW w:w="1362" w:type="dxa"/>
            <w:vMerge w:val="continue"/>
            <w:vAlign w:val="center"/>
          </w:tcPr>
          <w:p>
            <w:pPr>
              <w:jc w:val="center"/>
              <w:rPr>
                <w:rFonts w:hint="default" w:ascii="Times New Roman" w:hAnsi="Times New Roman" w:cs="Times New Roman"/>
                <w:bCs/>
                <w:color w:val="auto"/>
                <w:szCs w:val="21"/>
              </w:rPr>
            </w:pPr>
          </w:p>
        </w:tc>
        <w:tc>
          <w:tcPr>
            <w:tcW w:w="1481" w:type="dxa"/>
            <w:tcBorders>
              <w:bottom w:val="single" w:color="auto" w:sz="2" w:space="0"/>
            </w:tcBorders>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汽车尾气</w:t>
            </w:r>
          </w:p>
        </w:tc>
        <w:tc>
          <w:tcPr>
            <w:tcW w:w="4103" w:type="dxa"/>
            <w:tcBorders>
              <w:bottom w:val="single" w:color="auto" w:sz="2" w:space="0"/>
            </w:tcBorders>
            <w:vAlign w:val="center"/>
          </w:tcPr>
          <w:p>
            <w:pPr>
              <w:jc w:val="left"/>
              <w:rPr>
                <w:rFonts w:hint="default" w:ascii="Times New Roman" w:hAnsi="Times New Roman" w:cs="Times New Roman"/>
                <w:bCs/>
                <w:color w:val="auto"/>
                <w:szCs w:val="21"/>
              </w:rPr>
            </w:pPr>
            <w:r>
              <w:rPr>
                <w:rFonts w:hint="default" w:ascii="Times New Roman" w:hAnsi="Times New Roman" w:cs="Times New Roman"/>
                <w:bCs/>
                <w:snapToGrid w:val="0"/>
                <w:color w:val="auto"/>
                <w:kern w:val="0"/>
                <w:szCs w:val="21"/>
              </w:rPr>
              <w:t>加强管理、加强绿化</w:t>
            </w:r>
          </w:p>
        </w:tc>
        <w:tc>
          <w:tcPr>
            <w:tcW w:w="947" w:type="dxa"/>
            <w:vMerge w:val="continue"/>
            <w:vAlign w:val="center"/>
          </w:tcPr>
          <w:p>
            <w:pPr>
              <w:adjustRightInd w:val="0"/>
              <w:snapToGrid w:val="0"/>
              <w:spacing w:line="400" w:lineRule="exact"/>
              <w:jc w:val="center"/>
              <w:rPr>
                <w:rFonts w:hint="default" w:ascii="Times New Roman" w:hAnsi="Times New Roman" w:cs="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151" w:hRule="atLeast"/>
        </w:trPr>
        <w:tc>
          <w:tcPr>
            <w:tcW w:w="675" w:type="dxa"/>
            <w:vAlign w:val="center"/>
          </w:tcPr>
          <w:p>
            <w:pPr>
              <w:rPr>
                <w:rFonts w:hint="default" w:ascii="Times New Roman" w:hAnsi="Times New Roman" w:cs="Times New Roman"/>
                <w:bCs/>
                <w:color w:val="auto"/>
                <w:szCs w:val="21"/>
              </w:rPr>
            </w:pPr>
            <w:r>
              <w:rPr>
                <w:rFonts w:hint="default" w:ascii="Times New Roman" w:hAnsi="Times New Roman" w:cs="Times New Roman"/>
                <w:bCs/>
                <w:color w:val="auto"/>
                <w:szCs w:val="21"/>
              </w:rPr>
              <w:t>水污</w:t>
            </w:r>
          </w:p>
          <w:p>
            <w:pPr>
              <w:rPr>
                <w:rFonts w:hint="default" w:ascii="Times New Roman" w:hAnsi="Times New Roman" w:cs="Times New Roman"/>
                <w:bCs/>
                <w:color w:val="auto"/>
                <w:szCs w:val="21"/>
              </w:rPr>
            </w:pPr>
            <w:r>
              <w:rPr>
                <w:rFonts w:hint="default" w:ascii="Times New Roman" w:hAnsi="Times New Roman" w:cs="Times New Roman"/>
                <w:bCs/>
                <w:color w:val="auto"/>
                <w:szCs w:val="21"/>
              </w:rPr>
              <w:t>染物</w:t>
            </w:r>
          </w:p>
        </w:tc>
        <w:tc>
          <w:tcPr>
            <w:tcW w:w="1362" w:type="dxa"/>
            <w:tcBorders>
              <w:bottom w:val="single" w:color="auto" w:sz="2" w:space="0"/>
            </w:tcBorders>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生活污水</w:t>
            </w:r>
          </w:p>
        </w:tc>
        <w:tc>
          <w:tcPr>
            <w:tcW w:w="1481" w:type="dxa"/>
            <w:tcBorders>
              <w:bottom w:val="single" w:color="auto" w:sz="2" w:space="0"/>
            </w:tcBorders>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COD、BOD</w:t>
            </w:r>
            <w:r>
              <w:rPr>
                <w:rFonts w:hint="default" w:ascii="Times New Roman" w:hAnsi="Times New Roman" w:cs="Times New Roman"/>
                <w:bCs/>
                <w:color w:val="auto"/>
                <w:szCs w:val="21"/>
                <w:vertAlign w:val="subscript"/>
              </w:rPr>
              <w:t>5</w:t>
            </w:r>
            <w:r>
              <w:rPr>
                <w:rFonts w:hint="default" w:ascii="Times New Roman" w:hAnsi="Times New Roman" w:cs="Times New Roman"/>
                <w:bCs/>
                <w:color w:val="auto"/>
                <w:szCs w:val="21"/>
              </w:rPr>
              <w:t>、SS等</w:t>
            </w:r>
          </w:p>
        </w:tc>
        <w:tc>
          <w:tcPr>
            <w:tcW w:w="4103" w:type="dxa"/>
            <w:tcBorders>
              <w:bottom w:val="single" w:color="auto" w:sz="2" w:space="0"/>
            </w:tcBorders>
            <w:vAlign w:val="center"/>
          </w:tcPr>
          <w:p>
            <w:pPr>
              <w:jc w:val="left"/>
              <w:rPr>
                <w:rFonts w:hint="default" w:ascii="Times New Roman" w:hAnsi="Times New Roman" w:cs="Times New Roman"/>
                <w:bCs/>
                <w:color w:val="auto"/>
                <w:szCs w:val="21"/>
              </w:rPr>
            </w:pPr>
            <w:r>
              <w:rPr>
                <w:rFonts w:hint="default" w:ascii="Times New Roman" w:hAnsi="Times New Roman" w:cs="Times New Roman"/>
                <w:snapToGrid w:val="0"/>
                <w:color w:val="auto"/>
                <w:kern w:val="0"/>
                <w:szCs w:val="21"/>
              </w:rPr>
              <w:t>生活污水经厂区化粪池预处理后排入呼图壁县工业园区下水管网，最终进入呼图壁县工业园污水处理厂</w:t>
            </w:r>
          </w:p>
        </w:tc>
        <w:tc>
          <w:tcPr>
            <w:tcW w:w="947" w:type="dxa"/>
            <w:vAlign w:val="center"/>
          </w:tcPr>
          <w:p>
            <w:pPr>
              <w:rPr>
                <w:rFonts w:hint="default" w:ascii="Times New Roman" w:hAnsi="Times New Roman" w:cs="Times New Roman"/>
                <w:bCs/>
                <w:color w:val="auto"/>
                <w:szCs w:val="21"/>
              </w:rPr>
            </w:pPr>
            <w:r>
              <w:rPr>
                <w:rFonts w:hint="default" w:ascii="Times New Roman" w:hAnsi="Times New Roman" w:cs="Times New Roman"/>
                <w:bCs/>
                <w:color w:val="auto"/>
                <w:szCs w:val="21"/>
              </w:rPr>
              <w:t>达标</w:t>
            </w:r>
          </w:p>
          <w:p>
            <w:pPr>
              <w:rPr>
                <w:rFonts w:hint="default" w:ascii="Times New Roman" w:hAnsi="Times New Roman" w:cs="Times New Roman"/>
                <w:bCs/>
                <w:color w:val="auto"/>
                <w:szCs w:val="21"/>
              </w:rPr>
            </w:pPr>
            <w:r>
              <w:rPr>
                <w:rFonts w:hint="default" w:ascii="Times New Roman" w:hAnsi="Times New Roman" w:cs="Times New Roman"/>
                <w:bCs/>
                <w:color w:val="auto"/>
                <w:szCs w:val="21"/>
              </w:rPr>
              <w:t>排放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29" w:hRule="atLeast"/>
        </w:trPr>
        <w:tc>
          <w:tcPr>
            <w:tcW w:w="675" w:type="dxa"/>
            <w:vAlign w:val="center"/>
          </w:tcPr>
          <w:p>
            <w:pPr>
              <w:spacing w:line="3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固体</w:t>
            </w:r>
          </w:p>
          <w:p>
            <w:pPr>
              <w:spacing w:line="3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废物</w:t>
            </w:r>
          </w:p>
        </w:tc>
        <w:tc>
          <w:tcPr>
            <w:tcW w:w="1362" w:type="dxa"/>
            <w:tcBorders>
              <w:bottom w:val="single" w:color="auto" w:sz="2" w:space="0"/>
            </w:tcBorders>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运营期</w:t>
            </w:r>
          </w:p>
        </w:tc>
        <w:tc>
          <w:tcPr>
            <w:tcW w:w="1481" w:type="dxa"/>
            <w:tcBorders>
              <w:bottom w:val="single" w:color="auto" w:sz="2" w:space="0"/>
            </w:tcBorders>
            <w:vAlign w:val="center"/>
          </w:tcPr>
          <w:p>
            <w:pPr>
              <w:pStyle w:val="59"/>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生活垃圾</w:t>
            </w:r>
          </w:p>
        </w:tc>
        <w:tc>
          <w:tcPr>
            <w:tcW w:w="4103" w:type="dxa"/>
            <w:vAlign w:val="center"/>
          </w:tcPr>
          <w:p>
            <w:pPr>
              <w:pStyle w:val="59"/>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生活垃圾集中收集后交由环卫工人拉运至垃圾填埋场卫生填埋</w:t>
            </w:r>
          </w:p>
        </w:tc>
        <w:tc>
          <w:tcPr>
            <w:tcW w:w="947" w:type="dxa"/>
            <w:vAlign w:val="center"/>
          </w:tcPr>
          <w:p>
            <w:pPr>
              <w:adjustRightInd w:val="0"/>
              <w:snapToGrid w:val="0"/>
              <w:spacing w:line="40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达标排放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4" w:hRule="atLeast"/>
        </w:trPr>
        <w:tc>
          <w:tcPr>
            <w:tcW w:w="675" w:type="dxa"/>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噪</w:t>
            </w:r>
          </w:p>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声</w:t>
            </w:r>
          </w:p>
        </w:tc>
        <w:tc>
          <w:tcPr>
            <w:tcW w:w="1362" w:type="dxa"/>
            <w:vAlign w:val="center"/>
          </w:tcPr>
          <w:p>
            <w:pPr>
              <w:spacing w:line="540" w:lineRule="exact"/>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营运期</w:t>
            </w:r>
          </w:p>
        </w:tc>
        <w:tc>
          <w:tcPr>
            <w:tcW w:w="6531" w:type="dxa"/>
            <w:gridSpan w:val="3"/>
            <w:vAlign w:val="center"/>
          </w:tcPr>
          <w:p>
            <w:pPr>
              <w:rPr>
                <w:rFonts w:hint="default" w:ascii="Times New Roman" w:hAnsi="Times New Roman" w:cs="Times New Roman"/>
                <w:bCs/>
                <w:color w:val="auto"/>
                <w:szCs w:val="21"/>
              </w:rPr>
            </w:pPr>
            <w:r>
              <w:rPr>
                <w:rFonts w:hint="default" w:ascii="Times New Roman" w:hAnsi="Times New Roman" w:cs="Times New Roman"/>
                <w:bCs/>
                <w:color w:val="auto"/>
                <w:szCs w:val="21"/>
              </w:rPr>
              <w:t xml:space="preserve">    本项目营运期无较大噪声源，主要为生产设备产生的噪声，其噪声源强在65-75dB(A)，运营期间加强管理，不会对周围环境产生太大的影响。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39" w:hRule="atLeast"/>
        </w:trPr>
        <w:tc>
          <w:tcPr>
            <w:tcW w:w="675" w:type="dxa"/>
            <w:vAlign w:val="center"/>
          </w:tcPr>
          <w:p>
            <w:pPr>
              <w:jc w:val="center"/>
              <w:rPr>
                <w:rFonts w:hint="default" w:ascii="Times New Roman" w:hAnsi="Times New Roman" w:cs="Times New Roman"/>
                <w:bCs/>
                <w:color w:val="auto"/>
                <w:szCs w:val="21"/>
              </w:rPr>
            </w:pPr>
            <w:r>
              <w:rPr>
                <w:rFonts w:hint="default" w:ascii="Times New Roman" w:hAnsi="Times New Roman" w:cs="Times New Roman"/>
                <w:bCs/>
                <w:color w:val="auto"/>
                <w:szCs w:val="21"/>
              </w:rPr>
              <w:t>生态</w:t>
            </w:r>
          </w:p>
        </w:tc>
        <w:tc>
          <w:tcPr>
            <w:tcW w:w="7893" w:type="dxa"/>
            <w:gridSpan w:val="4"/>
            <w:vAlign w:val="center"/>
          </w:tcPr>
          <w:p>
            <w:pPr>
              <w:pStyle w:val="2"/>
              <w:rPr>
                <w:rFonts w:hint="default" w:ascii="Times New Roman" w:hAnsi="Times New Roman" w:cs="Times New Roman"/>
                <w:bCs/>
                <w:color w:val="auto"/>
                <w:szCs w:val="21"/>
              </w:rPr>
            </w:pPr>
          </w:p>
          <w:p>
            <w:pPr>
              <w:spacing w:line="360" w:lineRule="auto"/>
              <w:ind w:firstLine="420" w:firstLineChars="200"/>
              <w:rPr>
                <w:rFonts w:hint="default" w:ascii="Times New Roman" w:hAnsi="Times New Roman" w:cs="Times New Roman"/>
                <w:bCs/>
                <w:color w:val="auto"/>
                <w:szCs w:val="21"/>
              </w:rPr>
            </w:pPr>
            <w:r>
              <w:rPr>
                <w:rFonts w:hint="default" w:ascii="Times New Roman" w:hAnsi="Times New Roman" w:cs="Times New Roman"/>
                <w:bCs/>
                <w:color w:val="auto"/>
                <w:szCs w:val="21"/>
              </w:rPr>
              <w:t>为改善和美化场区环境，充分发挥草木特有的调温、调湿、吸尘的作用，在项目区周边及附属建筑物周围，以及道路两侧的空地均种植适于当地气候、易于成活、有一定观赏价值的的树木，并种植草皮、乔木和灌木。</w:t>
            </w:r>
          </w:p>
          <w:p>
            <w:pPr>
              <w:topLinePunct/>
              <w:spacing w:line="360" w:lineRule="auto"/>
              <w:ind w:firstLine="420" w:firstLineChars="200"/>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p>
            <w:pPr>
              <w:pStyle w:val="2"/>
              <w:rPr>
                <w:rFonts w:hint="default" w:ascii="Times New Roman" w:hAnsi="Times New Roman" w:cs="Times New Roman"/>
                <w:bCs/>
                <w:color w:val="auto"/>
                <w:szCs w:val="21"/>
              </w:rPr>
            </w:pPr>
          </w:p>
        </w:tc>
      </w:tr>
    </w:tbl>
    <w:p>
      <w:pPr>
        <w:pStyle w:val="18"/>
        <w:spacing w:line="360" w:lineRule="auto"/>
        <w:rPr>
          <w:rFonts w:hint="default" w:ascii="Times New Roman" w:hAnsi="Times New Roman" w:eastAsia="宋体" w:cs="Times New Roman"/>
          <w:b/>
          <w:color w:val="auto"/>
          <w:szCs w:val="28"/>
        </w:rPr>
      </w:pPr>
    </w:p>
    <w:p>
      <w:pPr>
        <w:pStyle w:val="18"/>
        <w:spacing w:line="360" w:lineRule="auto"/>
        <w:rPr>
          <w:rFonts w:hint="default" w:ascii="Times New Roman" w:hAnsi="Times New Roman" w:eastAsia="宋体" w:cs="Times New Roman"/>
          <w:b/>
          <w:color w:val="auto"/>
          <w:szCs w:val="28"/>
        </w:rPr>
      </w:pPr>
      <w:r>
        <w:rPr>
          <w:rFonts w:hint="default" w:ascii="Times New Roman" w:hAnsi="Times New Roman" w:eastAsia="宋体" w:cs="Times New Roman"/>
          <w:b/>
          <w:color w:val="auto"/>
          <w:szCs w:val="28"/>
        </w:rPr>
        <w:t>结论与建议</w:t>
      </w:r>
    </w:p>
    <w:tbl>
      <w:tblPr>
        <w:tblStyle w:val="33"/>
        <w:tblW w:w="8790" w:type="dxa"/>
        <w:tblInd w:w="-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
        <w:gridCol w:w="8745"/>
        <w:gridCol w:w="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466" w:hRule="atLeast"/>
        </w:trPr>
        <w:tc>
          <w:tcPr>
            <w:tcW w:w="8760" w:type="dxa"/>
            <w:gridSpan w:val="2"/>
          </w:tcPr>
          <w:p>
            <w:pPr>
              <w:adjustRightInd w:val="0"/>
              <w:snapToGrid w:val="0"/>
              <w:spacing w:line="360" w:lineRule="auto"/>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rPr>
              <w:t>一、结论</w:t>
            </w:r>
          </w:p>
          <w:p>
            <w:pPr>
              <w:adjustRightInd w:val="0"/>
              <w:snapToGrid w:val="0"/>
              <w:spacing w:line="360" w:lineRule="auto"/>
              <w:rPr>
                <w:rFonts w:hint="default" w:ascii="Times New Roman" w:hAnsi="Times New Roman" w:cs="Times New Roman"/>
                <w:color w:val="auto"/>
                <w:sz w:val="24"/>
              </w:rPr>
            </w:pPr>
            <w:r>
              <w:rPr>
                <w:rFonts w:hint="default" w:ascii="Times New Roman" w:hAnsi="Times New Roman" w:cs="Times New Roman"/>
                <w:b/>
                <w:color w:val="auto"/>
                <w:sz w:val="24"/>
              </w:rPr>
              <w:t>1.项目概况</w:t>
            </w:r>
          </w:p>
          <w:p>
            <w:pPr>
              <w:pStyle w:val="12"/>
              <w:wordWrap w:val="0"/>
              <w:topLinePunct/>
              <w:autoSpaceDN w:val="0"/>
              <w:spacing w:line="360" w:lineRule="auto"/>
              <w:ind w:right="-29" w:rightChars="-14" w:firstLine="480"/>
              <w:rPr>
                <w:rFonts w:hint="default" w:ascii="Times New Roman" w:hAnsi="Times New Roman" w:cs="Times New Roman"/>
                <w:color w:val="auto"/>
                <w:sz w:val="24"/>
              </w:rPr>
            </w:pPr>
            <w:r>
              <w:rPr>
                <w:rFonts w:hint="default" w:ascii="Times New Roman" w:hAnsi="Times New Roman" w:cs="Times New Roman"/>
                <w:color w:val="auto"/>
                <w:sz w:val="24"/>
              </w:rPr>
              <w:t>（1）项目名称：新疆鲁兴化工有限公司化工仓储物流改造项目；</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（2）建设性质：改建；</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（3）建设单位：新疆鲁兴化工有限公司；</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（4）建设地点：项目位于新疆昌吉州呼图壁县工业园区新疆鲁兴化工有限公司院内，项目地理坐标为N44°15′57″，E86°34′53″。</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（5）项目总投资：本项目总投资2050万元；资金筹措：企业自筹30%，银行贷款70%。</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（6）建设内容</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snapToGrid w:val="0"/>
                <w:color w:val="auto"/>
                <w:kern w:val="0"/>
                <w:sz w:val="24"/>
              </w:rPr>
              <w:t>项目总建筑面积7095m</w:t>
            </w:r>
            <w:r>
              <w:rPr>
                <w:rFonts w:hint="default" w:ascii="Times New Roman" w:hAnsi="Times New Roman" w:cs="Times New Roman"/>
                <w:snapToGrid w:val="0"/>
                <w:color w:val="auto"/>
                <w:kern w:val="0"/>
                <w:sz w:val="24"/>
                <w:vertAlign w:val="superscript"/>
              </w:rPr>
              <w:t>2</w:t>
            </w:r>
            <w:r>
              <w:rPr>
                <w:rFonts w:hint="default" w:ascii="Times New Roman" w:hAnsi="Times New Roman" w:cs="Times New Roman"/>
                <w:snapToGrid w:val="0"/>
                <w:color w:val="auto"/>
                <w:kern w:val="0"/>
                <w:sz w:val="24"/>
              </w:rPr>
              <w:t>。</w:t>
            </w:r>
            <w:r>
              <w:rPr>
                <w:rFonts w:hint="default" w:ascii="Times New Roman" w:hAnsi="Times New Roman" w:cs="Times New Roman"/>
                <w:color w:val="auto"/>
                <w:sz w:val="24"/>
              </w:rPr>
              <w:t>本项目通过对厂区现有罐区内16个储罐（4个2000m³，10个1000m³，2个500m³）进行技术改造，新建装卸鹤管至储罐的管道，新建装卸泵及装卸站台，完善储罐利用效率，达到年储存10万m³粗白油的能力。</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（7）产内容及规模</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 xml:space="preserve">本项目通过对厂区现有罐区内16个储罐（原环评批复的4个原料储罐2000m³，产品罐：6#溶剂油2个1000m³，120#溶剂油2个1000m³，200#溶剂油4个1000m³，260#溶剂油1个1000m³，轻烃1个1000m³，均建成未使用）进行技术改造，利用已建好的汽车装卸平台，使其达到年储存10万m³粗白油的能力。 </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（8）预期投产日期</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预期投产日期为2020年9月。</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（9）环保投资</w:t>
            </w:r>
          </w:p>
          <w:p>
            <w:pPr>
              <w:adjustRightInd w:val="0"/>
              <w:snapToGrid w:val="0"/>
              <w:spacing w:line="360" w:lineRule="auto"/>
              <w:ind w:firstLine="360" w:firstLineChars="150"/>
              <w:rPr>
                <w:rFonts w:hint="default" w:ascii="Times New Roman" w:hAnsi="Times New Roman" w:cs="Times New Roman"/>
                <w:color w:val="auto"/>
                <w:sz w:val="24"/>
              </w:rPr>
            </w:pPr>
            <w:r>
              <w:rPr>
                <w:rFonts w:hint="default" w:ascii="Times New Roman" w:hAnsi="Times New Roman" w:cs="Times New Roman"/>
                <w:color w:val="auto"/>
                <w:sz w:val="24"/>
              </w:rPr>
              <w:t>本项目环保投资为40.7万元，占总投资的1.99%。</w:t>
            </w:r>
          </w:p>
          <w:p>
            <w:pPr>
              <w:pStyle w:val="31"/>
              <w:tabs>
                <w:tab w:val="left" w:pos="206"/>
              </w:tabs>
              <w:ind w:firstLine="0" w:firstLineChars="0"/>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2 .区域环境质量现状评价结论</w:t>
            </w:r>
          </w:p>
          <w:p>
            <w:pPr>
              <w:pStyle w:val="31"/>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大气环境：该地区SO</w:t>
            </w:r>
            <w:r>
              <w:rPr>
                <w:rFonts w:hint="default" w:ascii="Times New Roman" w:hAnsi="Times New Roman" w:cs="Times New Roman"/>
                <w:color w:val="auto"/>
                <w:sz w:val="24"/>
                <w:szCs w:val="24"/>
                <w:vertAlign w:val="subscript"/>
              </w:rPr>
              <w:t>2</w:t>
            </w:r>
            <w:r>
              <w:rPr>
                <w:rFonts w:hint="default" w:ascii="Times New Roman" w:hAnsi="Times New Roman" w:cs="Times New Roman"/>
                <w:color w:val="auto"/>
                <w:sz w:val="24"/>
                <w:szCs w:val="24"/>
              </w:rPr>
              <w:t>、NO</w:t>
            </w:r>
            <w:r>
              <w:rPr>
                <w:rFonts w:hint="default" w:ascii="Times New Roman" w:hAnsi="Times New Roman" w:cs="Times New Roman"/>
                <w:color w:val="auto"/>
                <w:sz w:val="24"/>
                <w:szCs w:val="24"/>
                <w:vertAlign w:val="subscript"/>
              </w:rPr>
              <w:t>2</w:t>
            </w:r>
            <w:r>
              <w:rPr>
                <w:rFonts w:hint="default" w:ascii="Times New Roman" w:hAnsi="Times New Roman" w:cs="Times New Roman"/>
                <w:color w:val="auto"/>
                <w:sz w:val="24"/>
                <w:szCs w:val="24"/>
              </w:rPr>
              <w:t>年均值均满足《环境空气质量标准》（GB3095-2012）及修改单二级标准要求，PM</w:t>
            </w:r>
            <w:r>
              <w:rPr>
                <w:rFonts w:hint="default" w:ascii="Times New Roman" w:hAnsi="Times New Roman" w:cs="Times New Roman"/>
                <w:color w:val="auto"/>
                <w:sz w:val="24"/>
                <w:szCs w:val="24"/>
                <w:vertAlign w:val="subscript"/>
              </w:rPr>
              <w:t>10</w:t>
            </w:r>
            <w:r>
              <w:rPr>
                <w:rFonts w:hint="default" w:ascii="Times New Roman" w:hAnsi="Times New Roman" w:cs="Times New Roman"/>
                <w:color w:val="auto"/>
                <w:sz w:val="24"/>
                <w:szCs w:val="24"/>
              </w:rPr>
              <w:t>、PM</w:t>
            </w:r>
            <w:r>
              <w:rPr>
                <w:rFonts w:hint="default" w:ascii="Times New Roman" w:hAnsi="Times New Roman" w:cs="Times New Roman"/>
                <w:color w:val="auto"/>
                <w:sz w:val="24"/>
                <w:szCs w:val="24"/>
                <w:vertAlign w:val="subscript"/>
              </w:rPr>
              <w:t>2.5</w:t>
            </w:r>
            <w:r>
              <w:rPr>
                <w:rFonts w:hint="default" w:ascii="Times New Roman" w:hAnsi="Times New Roman" w:cs="Times New Roman"/>
                <w:color w:val="auto"/>
                <w:sz w:val="24"/>
                <w:szCs w:val="24"/>
              </w:rPr>
              <w:t>年均值无法满足《环境空气质量标准》（GB3095-2012）及修改单二级标准要求，故该区域为环境空气质量不达标区域，PM</w:t>
            </w:r>
            <w:r>
              <w:rPr>
                <w:rFonts w:hint="default" w:ascii="Times New Roman" w:hAnsi="Times New Roman" w:cs="Times New Roman"/>
                <w:color w:val="auto"/>
                <w:sz w:val="24"/>
                <w:szCs w:val="24"/>
                <w:vertAlign w:val="subscript"/>
              </w:rPr>
              <w:t>10</w:t>
            </w:r>
            <w:r>
              <w:rPr>
                <w:rFonts w:hint="default" w:ascii="Times New Roman" w:hAnsi="Times New Roman" w:cs="Times New Roman"/>
                <w:color w:val="auto"/>
                <w:sz w:val="24"/>
                <w:szCs w:val="24"/>
              </w:rPr>
              <w:t>和PM</w:t>
            </w:r>
            <w:r>
              <w:rPr>
                <w:rFonts w:hint="default" w:ascii="Times New Roman" w:hAnsi="Times New Roman" w:cs="Times New Roman"/>
                <w:color w:val="auto"/>
                <w:sz w:val="24"/>
                <w:szCs w:val="24"/>
                <w:vertAlign w:val="subscript"/>
              </w:rPr>
              <w:t>2.5</w:t>
            </w:r>
            <w:r>
              <w:rPr>
                <w:rFonts w:hint="default" w:ascii="Times New Roman" w:hAnsi="Times New Roman" w:cs="Times New Roman"/>
                <w:color w:val="auto"/>
                <w:sz w:val="24"/>
                <w:szCs w:val="24"/>
              </w:rPr>
              <w:t>为影响该区域环境空气质量的主要污染物。PM</w:t>
            </w:r>
            <w:r>
              <w:rPr>
                <w:rFonts w:hint="default" w:ascii="Times New Roman" w:hAnsi="Times New Roman" w:cs="Times New Roman"/>
                <w:color w:val="auto"/>
                <w:sz w:val="24"/>
                <w:szCs w:val="24"/>
                <w:vertAlign w:val="subscript"/>
              </w:rPr>
              <w:t>10</w:t>
            </w:r>
            <w:r>
              <w:rPr>
                <w:rFonts w:hint="default" w:ascii="Times New Roman" w:hAnsi="Times New Roman" w:cs="Times New Roman"/>
                <w:color w:val="auto"/>
                <w:sz w:val="24"/>
                <w:szCs w:val="24"/>
              </w:rPr>
              <w:t>、PM</w:t>
            </w:r>
            <w:r>
              <w:rPr>
                <w:rFonts w:hint="default" w:ascii="Times New Roman" w:hAnsi="Times New Roman" w:cs="Times New Roman"/>
                <w:color w:val="auto"/>
                <w:sz w:val="24"/>
                <w:szCs w:val="24"/>
                <w:vertAlign w:val="subscript"/>
              </w:rPr>
              <w:t>2.5</w:t>
            </w:r>
            <w:r>
              <w:rPr>
                <w:rFonts w:hint="default" w:ascii="Times New Roman" w:hAnsi="Times New Roman" w:cs="Times New Roman"/>
                <w:color w:val="auto"/>
                <w:sz w:val="24"/>
                <w:szCs w:val="24"/>
              </w:rPr>
              <w:t>超标原因主要与该区域气候干燥及多发浮尘天气有关。</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水环境：在监测的15项指标中项目地下水监测指标全部达标，均可达到《地下水质量标准》(GB/T14848-2017)的Ⅲ类标准要求。</w:t>
            </w:r>
          </w:p>
          <w:p>
            <w:pPr>
              <w:pStyle w:val="18"/>
              <w:spacing w:line="360" w:lineRule="auto"/>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声环境：项目区声环境现状值符合《声环境噪声标准》（GB3096-2008）中3类标准要求，项目区声环境质量较好。</w:t>
            </w:r>
          </w:p>
          <w:p>
            <w:pPr>
              <w:pStyle w:val="18"/>
              <w:spacing w:line="360" w:lineRule="auto"/>
              <w:ind w:firstLine="480"/>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sz w:val="24"/>
                <w:szCs w:val="24"/>
                <w:lang w:val="en-US" w:eastAsia="zh-CN"/>
              </w:rPr>
              <w:t>土壤环境：</w:t>
            </w:r>
            <w:r>
              <w:rPr>
                <w:rFonts w:hint="default" w:ascii="Times New Roman" w:hAnsi="Times New Roman" w:eastAsia="宋体" w:cs="Times New Roman"/>
                <w:color w:val="auto"/>
                <w:kern w:val="2"/>
                <w:sz w:val="24"/>
                <w:szCs w:val="24"/>
                <w:lang w:val="en-US" w:eastAsia="zh-CN" w:bidi="ar-SA"/>
              </w:rPr>
              <w:t>由监测结果可知，各监测因子监测值均低于《土壤环境质量 建设用地土壤污染风险管控标准（试行）》（GB36600-2018）第二类建设用地土壤污染风险筛选值。</w:t>
            </w:r>
          </w:p>
          <w:p>
            <w:pPr>
              <w:numPr>
                <w:ilvl w:val="0"/>
                <w:numId w:val="4"/>
              </w:numPr>
              <w:adjustRightInd w:val="0"/>
              <w:snapToGri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环境影响评价结论</w:t>
            </w:r>
          </w:p>
          <w:p>
            <w:pPr>
              <w:adjustRightInd w:val="0"/>
              <w:snapToGri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3.1施工期环境影响评价结论</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为技改项目，本项目施工期主要通过对厂区现有罐区内16个储罐（4个2000m³，10个1000m³，2个500m³）进行管道技术改造，新建装卸鹤管至储罐的管道，新建装卸泵及装卸站台，完善储罐利用效率，达到年储存10万m³粗白油的能力。所以施工期较短，环境影响较小，且施工结束后相关环境影响随之消失.</w:t>
            </w:r>
          </w:p>
          <w:p>
            <w:pPr>
              <w:adjustRightInd w:val="0"/>
              <w:snapToGrid w:val="0"/>
              <w:spacing w:line="360" w:lineRule="auto"/>
              <w:rPr>
                <w:rFonts w:hint="default" w:ascii="Times New Roman" w:hAnsi="Times New Roman" w:cs="Times New Roman"/>
                <w:b/>
                <w:color w:val="auto"/>
                <w:sz w:val="24"/>
              </w:rPr>
            </w:pPr>
            <w:r>
              <w:rPr>
                <w:rFonts w:hint="default" w:ascii="Times New Roman" w:hAnsi="Times New Roman" w:cs="Times New Roman"/>
                <w:b/>
                <w:color w:val="auto"/>
                <w:sz w:val="24"/>
              </w:rPr>
              <w:t>3.2运营期环境影响评价结论</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（1）大气环境</w:t>
            </w:r>
          </w:p>
          <w:p>
            <w:pPr>
              <w:pStyle w:val="31"/>
              <w:keepNext w:val="0"/>
              <w:keepLines w:val="0"/>
              <w:pageBreakBefore w:val="0"/>
              <w:widowControl w:val="0"/>
              <w:kinsoku/>
              <w:wordWrap/>
              <w:overflowPunct/>
              <w:topLinePunct w:val="0"/>
              <w:autoSpaceDE/>
              <w:autoSpaceDN/>
              <w:bidi w:val="0"/>
              <w:adjustRightInd/>
              <w:snapToGrid w:val="0"/>
              <w:spacing w:before="157"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1）罐区废气</w:t>
            </w:r>
          </w:p>
          <w:p>
            <w:pPr>
              <w:pStyle w:val="31"/>
              <w:keepNext w:val="0"/>
              <w:keepLines w:val="0"/>
              <w:pageBreakBefore w:val="0"/>
              <w:widowControl w:val="0"/>
              <w:kinsoku/>
              <w:wordWrap/>
              <w:overflowPunct/>
              <w:topLinePunct w:val="0"/>
              <w:autoSpaceDE/>
              <w:autoSpaceDN/>
              <w:bidi w:val="0"/>
              <w:adjustRightInd/>
              <w:snapToGrid w:val="0"/>
              <w:spacing w:before="157" w:beforeLines="50"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根据预测结果，罐区下风向厂界VOC</w:t>
            </w:r>
            <w:r>
              <w:rPr>
                <w:rFonts w:hint="default" w:ascii="Times New Roman" w:hAnsi="Times New Roman" w:cs="Times New Roman"/>
                <w:color w:val="auto"/>
                <w:sz w:val="24"/>
                <w:szCs w:val="24"/>
                <w:vertAlign w:val="subscript"/>
              </w:rPr>
              <w:t>S</w:t>
            </w:r>
            <w:r>
              <w:rPr>
                <w:rFonts w:hint="default" w:ascii="Times New Roman" w:hAnsi="Times New Roman" w:cs="Times New Roman"/>
                <w:color w:val="auto"/>
                <w:sz w:val="24"/>
                <w:szCs w:val="24"/>
              </w:rPr>
              <w:t>（以非甲烷总烃计）最大落地浓度为24.71ug/m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，满足《石油化学工业污染物排放标准》(GB31571-2015)中表7中非甲烷总烃4.0mg/m</w:t>
            </w:r>
            <w:r>
              <w:rPr>
                <w:rFonts w:hint="default" w:ascii="Times New Roman" w:hAnsi="Times New Roman" w:cs="Times New Roman"/>
                <w:color w:val="auto"/>
                <w:sz w:val="24"/>
                <w:szCs w:val="24"/>
                <w:vertAlign w:val="superscript"/>
              </w:rPr>
              <w:t>3</w:t>
            </w:r>
            <w:r>
              <w:rPr>
                <w:rFonts w:hint="default" w:ascii="Times New Roman" w:hAnsi="Times New Roman" w:cs="Times New Roman"/>
                <w:color w:val="auto"/>
                <w:sz w:val="24"/>
                <w:szCs w:val="24"/>
              </w:rPr>
              <w:t>的标准要求。说明项目生产无组织废气污染源对周围环境空气质量影响很小。</w:t>
            </w:r>
          </w:p>
          <w:p>
            <w:pPr>
              <w:keepNext w:val="0"/>
              <w:keepLines w:val="0"/>
              <w:pageBreakBefore w:val="0"/>
              <w:widowControl w:val="0"/>
              <w:numPr>
                <w:ilvl w:val="0"/>
                <w:numId w:val="0"/>
              </w:numPr>
              <w:kinsoku/>
              <w:wordWrap/>
              <w:overflowPunct/>
              <w:topLinePunct w:val="0"/>
              <w:bidi w:val="0"/>
              <w:adjustRightInd w:val="0"/>
              <w:snapToGrid w:val="0"/>
              <w:spacing w:line="360" w:lineRule="auto"/>
              <w:ind w:leftChars="200" w:right="0" w:rightChars="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2）装卸废气</w:t>
            </w:r>
          </w:p>
          <w:p>
            <w:pPr>
              <w:pStyle w:val="43"/>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rPr>
            </w:pPr>
            <w:r>
              <w:rPr>
                <w:rFonts w:hint="default" w:ascii="Times New Roman" w:hAnsi="Times New Roman" w:cs="Times New Roman"/>
                <w:color w:val="auto"/>
              </w:rPr>
              <w:t>粗白油装卸车鹤管采用下部密闭装车鹤管，装卸车过程处于密闭系统内，无组织挥发量极少，可忽略不计。</w:t>
            </w:r>
          </w:p>
          <w:p>
            <w:pPr>
              <w:adjustRightInd w:val="0"/>
              <w:snapToGrid w:val="0"/>
              <w:spacing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color w:val="auto"/>
                <w:sz w:val="24"/>
              </w:rPr>
              <w:t>3）</w:t>
            </w:r>
            <w:r>
              <w:rPr>
                <w:rFonts w:hint="default" w:ascii="Times New Roman" w:hAnsi="Times New Roman" w:cs="Times New Roman"/>
                <w:snapToGrid w:val="0"/>
                <w:color w:val="auto"/>
                <w:kern w:val="0"/>
                <w:sz w:val="24"/>
              </w:rPr>
              <w:t>食堂油烟</w:t>
            </w:r>
          </w:p>
          <w:p>
            <w:pPr>
              <w:autoSpaceDE w:val="0"/>
              <w:autoSpaceDN w:val="0"/>
              <w:spacing w:line="360" w:lineRule="auto"/>
              <w:ind w:firstLine="480" w:firstLineChars="200"/>
              <w:rPr>
                <w:rFonts w:hint="default" w:ascii="Times New Roman" w:hAnsi="Times New Roman" w:cs="Times New Roman"/>
                <w:snapToGrid w:val="0"/>
                <w:color w:val="auto"/>
                <w:kern w:val="0"/>
                <w:sz w:val="24"/>
              </w:rPr>
            </w:pPr>
            <w:r>
              <w:rPr>
                <w:rFonts w:hint="default" w:ascii="Times New Roman" w:hAnsi="Times New Roman" w:cs="Times New Roman"/>
                <w:snapToGrid w:val="0"/>
                <w:color w:val="auto"/>
                <w:kern w:val="0"/>
                <w:sz w:val="24"/>
              </w:rPr>
              <w:t>本项目劳动定员20人，根据居民及餐饮企业的类比调查，目前居民人均食用油用量约30g/人·d，低于纯餐饮企业。本项目食用油用量约0.168t/a。根据对餐饮行业调查，油烟挥发量一般占食用油用量的2～4％，由于本项目炒、炸、煎等烹调工序较少，职工食堂油烟挥发量低于餐饮行业油烟挥发量，故职工食堂油烟挥发量按2％计算，则油烟产生量为0.0034t/a。本项目食堂现已安装一套油烟净化器，风量约为3000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/h，故产生浓度为1.01mg/m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。油烟处理效率约为75％，油烟经处理后，排放浓度可降至0.25mg/m</w:t>
            </w:r>
            <w:r>
              <w:rPr>
                <w:rFonts w:hint="default" w:ascii="Times New Roman" w:hAnsi="Times New Roman" w:cs="Times New Roman"/>
                <w:snapToGrid w:val="0"/>
                <w:color w:val="auto"/>
                <w:kern w:val="0"/>
                <w:sz w:val="24"/>
                <w:vertAlign w:val="superscript"/>
              </w:rPr>
              <w:t>3</w:t>
            </w:r>
            <w:r>
              <w:rPr>
                <w:rFonts w:hint="default" w:ascii="Times New Roman" w:hAnsi="Times New Roman" w:cs="Times New Roman"/>
                <w:snapToGrid w:val="0"/>
                <w:color w:val="auto"/>
                <w:kern w:val="0"/>
                <w:sz w:val="24"/>
              </w:rPr>
              <w:t>（0.0008t/a），满足《饮食业油烟排放标准》（GB18483-2001）相关要求，食堂烹饪油烟为间隙、不定量排放，油烟经油烟净化器处理后通过专用烟道引至食堂屋顶排放，不会降低该区域大气环境质量，</w:t>
            </w:r>
            <w:r>
              <w:rPr>
                <w:rFonts w:hint="default" w:ascii="Times New Roman" w:hAnsi="Times New Roman" w:cs="Times New Roman"/>
                <w:color w:val="auto"/>
                <w:sz w:val="24"/>
              </w:rPr>
              <w:t>对周边环境影响较小。</w:t>
            </w:r>
          </w:p>
          <w:p>
            <w:pPr>
              <w:pStyle w:val="2"/>
              <w:tabs>
                <w:tab w:val="left" w:pos="535"/>
              </w:tabs>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4）汽车尾气</w:t>
            </w:r>
          </w:p>
          <w:p>
            <w:pPr>
              <w:overflowPunct w:val="0"/>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在运输粗白油的过程中会产生少量汽车尾气。车辆在项目区内道路上怠速和慢速行驶时将会产生并排放尾气，该尾气包括排气管尾气、曲轴箱漏气及油箱泄漏气等。车辆产生并排放尾气属流动、间歇、不定量、无组织排放，其中主要污染因子为CO、C</w:t>
            </w:r>
            <w:r>
              <w:rPr>
                <w:rFonts w:hint="default" w:ascii="Times New Roman" w:hAnsi="Times New Roman" w:cs="Times New Roman"/>
                <w:color w:val="auto"/>
                <w:sz w:val="24"/>
                <w:vertAlign w:val="subscript"/>
              </w:rPr>
              <w:t>m</w:t>
            </w:r>
            <w:r>
              <w:rPr>
                <w:rFonts w:hint="default" w:ascii="Times New Roman" w:hAnsi="Times New Roman" w:cs="Times New Roman"/>
                <w:color w:val="auto"/>
                <w:sz w:val="24"/>
              </w:rPr>
              <w:t>H</w:t>
            </w:r>
            <w:r>
              <w:rPr>
                <w:rFonts w:hint="default" w:ascii="Times New Roman" w:hAnsi="Times New Roman" w:cs="Times New Roman"/>
                <w:color w:val="auto"/>
                <w:sz w:val="24"/>
                <w:vertAlign w:val="subscript"/>
              </w:rPr>
              <w:t>n</w:t>
            </w:r>
            <w:r>
              <w:rPr>
                <w:rFonts w:hint="default" w:ascii="Times New Roman" w:hAnsi="Times New Roman" w:cs="Times New Roman"/>
                <w:color w:val="auto"/>
                <w:sz w:val="24"/>
              </w:rPr>
              <w:t>、NO</w:t>
            </w:r>
            <w:r>
              <w:rPr>
                <w:rFonts w:hint="default" w:ascii="Times New Roman" w:hAnsi="Times New Roman" w:cs="Times New Roman"/>
                <w:color w:val="auto"/>
                <w:sz w:val="24"/>
                <w:vertAlign w:val="subscript"/>
              </w:rPr>
              <w:t>x</w:t>
            </w:r>
            <w:r>
              <w:rPr>
                <w:rFonts w:hint="default" w:ascii="Times New Roman" w:hAnsi="Times New Roman" w:cs="Times New Roman"/>
                <w:color w:val="auto"/>
                <w:sz w:val="24"/>
              </w:rPr>
              <w:t xml:space="preserve">等。 </w:t>
            </w:r>
          </w:p>
          <w:p>
            <w:pPr>
              <w:topLinePunct/>
              <w:adjustRightInd w:val="0"/>
              <w:snapToGrid w:val="0"/>
              <w:spacing w:line="360" w:lineRule="auto"/>
              <w:ind w:firstLine="480" w:firstLineChars="200"/>
              <w:jc w:val="left"/>
              <w:rPr>
                <w:rFonts w:hint="default" w:ascii="Times New Roman" w:hAnsi="Times New Roman" w:cs="Times New Roman"/>
                <w:snapToGrid w:val="0"/>
                <w:color w:val="auto"/>
                <w:kern w:val="0"/>
                <w:sz w:val="24"/>
              </w:rPr>
            </w:pPr>
            <w:r>
              <w:rPr>
                <w:rFonts w:hint="default" w:ascii="Times New Roman" w:hAnsi="Times New Roman" w:cs="Times New Roman"/>
                <w:color w:val="auto"/>
                <w:kern w:val="28"/>
                <w:sz w:val="24"/>
              </w:rPr>
              <w:t>本</w:t>
            </w:r>
            <w:r>
              <w:rPr>
                <w:rFonts w:hint="default" w:ascii="Times New Roman" w:hAnsi="Times New Roman" w:cs="Times New Roman"/>
                <w:snapToGrid w:val="0"/>
                <w:color w:val="auto"/>
                <w:kern w:val="0"/>
                <w:sz w:val="24"/>
              </w:rPr>
              <w:t>项目建成后，汽车尾气对环境有一定影响。汽车尾气属于无组织、间歇排放的流动污染源，且项目区周围开阔，空气流动性好、易扩散，对周围大气环境影响不大。</w:t>
            </w:r>
          </w:p>
          <w:p>
            <w:pPr>
              <w:pStyle w:val="2"/>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（2）水环境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szCs w:val="24"/>
              </w:rPr>
              <w:t>非正常工况设定源强下，项目如果不进行防渗处理措施，污染物泄露进入地下水后，将对罐区周边地下水环境产生一定影响。在严格按照相关规范落实本次评价建议的防腐、防渗、防渗漏检测等措施后，从环境保护角度讲，该项目建设对地下水环境的影响是可以接受的。</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厂区内员工20人，根据《建筑及排水设计规范》中的相关用水参考值，员工按每人每班用水按50L计算，项目区生活用水量1m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/d（280m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/a）。生活污水量按生活用水量的85% 计，生活污水量为0.85m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/d（238m</w:t>
            </w:r>
            <w:r>
              <w:rPr>
                <w:rFonts w:hint="default" w:ascii="Times New Roman" w:hAnsi="Times New Roman" w:cs="Times New Roman"/>
                <w:color w:val="auto"/>
                <w:sz w:val="24"/>
                <w:vertAlign w:val="superscript"/>
              </w:rPr>
              <w:t>3</w:t>
            </w:r>
            <w:r>
              <w:rPr>
                <w:rFonts w:hint="default" w:ascii="Times New Roman" w:hAnsi="Times New Roman" w:cs="Times New Roman"/>
                <w:color w:val="auto"/>
                <w:sz w:val="24"/>
              </w:rPr>
              <w:t>/a)。生活污水经过厂区内化粪池预处理达到《污水综合排放标准》（GB8978-1996）中三级排放标准后</w:t>
            </w:r>
            <w:r>
              <w:rPr>
                <w:rFonts w:hint="default" w:ascii="Times New Roman" w:hAnsi="Times New Roman" w:cs="Times New Roman"/>
                <w:snapToGrid w:val="0"/>
                <w:color w:val="auto"/>
                <w:sz w:val="24"/>
              </w:rPr>
              <w:t>排入呼图壁县工业园区下水管网，最终进入</w:t>
            </w:r>
            <w:r>
              <w:rPr>
                <w:rFonts w:hint="default" w:ascii="Times New Roman" w:hAnsi="Times New Roman" w:cs="Times New Roman"/>
                <w:color w:val="auto"/>
                <w:sz w:val="24"/>
              </w:rPr>
              <w:t>呼图壁县工业园污水处理厂。通过上述措施，对周边水环境影响较小。</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（3）噪声</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在正常运行时，主要噪声设备为泵和风机及进出车辆的噪声。噪声源强约为65～75dB(A)之间，经基础减振、防震等措施，可降低噪声。设备只在白天运行，夜间不运行。项目区边界噪声预测值昼间在51.6-54.0dB(A)之间，夜间为37.6-39.8dB(A)之间，</w:t>
            </w:r>
            <w:r>
              <w:rPr>
                <w:rFonts w:hint="default" w:ascii="Times New Roman" w:hAnsi="Times New Roman" w:cs="Times New Roman"/>
                <w:color w:val="auto"/>
                <w:kern w:val="0"/>
                <w:sz w:val="24"/>
              </w:rPr>
              <w:t>项目区四周无集中居住区、学校、医院等声环境敏感保护目标</w:t>
            </w:r>
            <w:r>
              <w:rPr>
                <w:rFonts w:hint="default" w:ascii="Times New Roman" w:hAnsi="Times New Roman" w:cs="Times New Roman"/>
                <w:color w:val="auto"/>
                <w:sz w:val="24"/>
              </w:rPr>
              <w:t>，满足《工业企业厂界环境噪声排放标准》（GB12348-2008）</w:t>
            </w:r>
            <w:r>
              <w:rPr>
                <w:rFonts w:hint="default" w:ascii="Times New Roman" w:hAnsi="Times New Roman" w:cs="Times New Roman"/>
                <w:color w:val="auto"/>
                <w:spacing w:val="-6"/>
                <w:sz w:val="24"/>
              </w:rPr>
              <w:t>3类标准</w:t>
            </w:r>
            <w:r>
              <w:rPr>
                <w:rFonts w:hint="default" w:ascii="Times New Roman" w:hAnsi="Times New Roman" w:cs="Times New Roman"/>
                <w:color w:val="auto"/>
                <w:sz w:val="24"/>
              </w:rPr>
              <w:t>的要求。</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（4）固体废物</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项目固体废物主要为生活垃圾。</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项目劳动定员20人，以每人每天0.5kg计，则生活垃圾产生量约2.8t/a，集中收集后交由环卫工人拉运至垃圾填埋场卫生填埋。</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综上所述，固体废物的处置应遵循分类原则、回收利用原则、减量化原则、无公害化原则及分散与集中相结合的原则，将不同类型的固体废物进行分类收集、分类处理，作好固废的日常管理工作。在此基础上，采取相应的措施以后，本项目产生的固体废物对环境影响不大。</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rPr>
            </w:pPr>
            <w:r>
              <w:rPr>
                <w:rFonts w:hint="default" w:ascii="Times New Roman" w:hAnsi="Times New Roman" w:cs="Times New Roman"/>
                <w:color w:val="auto"/>
                <w:sz w:val="24"/>
              </w:rPr>
              <w:t>(5)土壤环境</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本项目对土壤环境可能造成影响的污染源主要是储罐和输油管道的渗漏，主要污染物为石油类。 </w:t>
            </w:r>
            <w:r>
              <w:rPr>
                <w:rFonts w:hint="default" w:ascii="Times New Roman" w:hAnsi="Times New Roman" w:cs="Times New Roman"/>
                <w:snapToGrid w:val="0"/>
                <w:color w:val="auto"/>
                <w:sz w:val="24"/>
                <w:szCs w:val="24"/>
              </w:rPr>
              <w:t>本项目已依据《石油化工工程防渗技术规范》（</w:t>
            </w:r>
            <w:r>
              <w:rPr>
                <w:rFonts w:hint="default" w:ascii="Times New Roman" w:hAnsi="Times New Roman" w:cs="Times New Roman"/>
                <w:color w:val="auto"/>
                <w:sz w:val="24"/>
                <w:szCs w:val="24"/>
              </w:rPr>
              <w:t>GB/T50934-2013</w:t>
            </w:r>
            <w:r>
              <w:rPr>
                <w:rFonts w:hint="default" w:ascii="Times New Roman" w:hAnsi="Times New Roman" w:cs="Times New Roman"/>
                <w:snapToGrid w:val="0"/>
                <w:color w:val="auto"/>
                <w:sz w:val="24"/>
                <w:szCs w:val="24"/>
              </w:rPr>
              <w:t>）要求设计地下水污染防渗措施，</w:t>
            </w:r>
            <w:r>
              <w:rPr>
                <w:rFonts w:hint="default" w:ascii="Times New Roman" w:hAnsi="Times New Roman" w:cs="Times New Roman"/>
                <w:color w:val="auto"/>
                <w:sz w:val="24"/>
                <w:szCs w:val="24"/>
              </w:rPr>
              <w:t>正常情况下不会对土壤环境造成影响。对土壤的影响主要是非正常工况下罐区粗白油泄漏事故及火灾爆炸事故情况下对土壤的影响。</w:t>
            </w:r>
            <w:r>
              <w:rPr>
                <w:rFonts w:hint="default" w:ascii="Times New Roman" w:hAnsi="Times New Roman" w:cs="Times New Roman"/>
                <w:color w:val="auto"/>
                <w:sz w:val="24"/>
              </w:rPr>
              <w:t>本项目项目区应根据《环境影响评价技术导则 地下水环境》（HJ610-2016）地下水污染防渗分区要求，结合《石油化工工程防渗技术规范》（GB/T502934-2013）的防渗要求进行布设。</w:t>
            </w:r>
            <w:r>
              <w:rPr>
                <w:rFonts w:hint="default" w:ascii="Times New Roman" w:hAnsi="Times New Roman" w:cs="Times New Roman"/>
                <w:color w:val="auto"/>
                <w:sz w:val="24"/>
                <w:szCs w:val="24"/>
              </w:rPr>
              <w:t>万一发生泄漏事故，可以防止漏油下渗造成对土壤的污染。</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（6）环境风险</w:t>
            </w:r>
          </w:p>
          <w:p>
            <w:pPr>
              <w:spacing w:line="360" w:lineRule="auto"/>
              <w:ind w:right="59" w:rightChars="28"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rPr>
              <w:t>本项目尽管工程工艺安全可靠性极高，但建议建设单位仍然应对此引起高度重视。本项目不构成重大风险源，本项目的环境风险主要为粗白油的可燃性，会产生爆炸、火灾风险、</w:t>
            </w:r>
            <w:r>
              <w:rPr>
                <w:rFonts w:hint="default" w:ascii="Times New Roman" w:hAnsi="Times New Roman" w:cs="Times New Roman"/>
                <w:snapToGrid w:val="0"/>
                <w:color w:val="auto"/>
                <w:sz w:val="24"/>
              </w:rPr>
              <w:t>运营期严格杜绝储罐及管线的跑、冒、滴、漏现象的发生，要防火、防爆、防雷击，注意安全，</w:t>
            </w:r>
            <w:r>
              <w:rPr>
                <w:rFonts w:hint="default" w:ascii="Times New Roman" w:hAnsi="Times New Roman" w:cs="Times New Roman"/>
                <w:color w:val="auto"/>
                <w:sz w:val="24"/>
              </w:rPr>
              <w:t>及其引发的次生环境污染。</w:t>
            </w:r>
            <w:r>
              <w:rPr>
                <w:rFonts w:hint="default" w:ascii="Times New Roman" w:hAnsi="Times New Roman" w:cs="Times New Roman"/>
                <w:snapToGrid w:val="0"/>
                <w:color w:val="auto"/>
                <w:sz w:val="24"/>
              </w:rPr>
              <w:t>项目建成后，严格执行本环评中提出的风险防范措施，合理建设，风险事故将降至到最低，也保证了厂区和周围人们的生命财产安全。</w:t>
            </w:r>
            <w:r>
              <w:rPr>
                <w:rFonts w:hint="default" w:ascii="Times New Roman" w:hAnsi="Times New Roman" w:cs="Times New Roman"/>
                <w:color w:val="auto"/>
                <w:sz w:val="24"/>
              </w:rPr>
              <w:t>通过采取相应的风险防范措施，事故风险发生的概率很小。因此本项目事故风险属于可以接受。</w:t>
            </w:r>
          </w:p>
          <w:p>
            <w:pPr>
              <w:pStyle w:val="31"/>
              <w:spacing w:line="360" w:lineRule="auto"/>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4. 产业政策符合性分析</w:t>
            </w:r>
          </w:p>
          <w:p>
            <w:pPr>
              <w:pStyle w:val="2"/>
              <w:adjustRightInd w:val="0"/>
              <w:snapToGrid w:val="0"/>
              <w:spacing w:after="0"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产业结构调整指导目录（2019年本）》的有关条款。该项目既不属于鼓励类也不属于限制类；第三章产业结构调整指导目录第十三条“不属于鼓励类、限制类和淘汰类，且符合国家有关法律、法规和政策规定的，为允许类”。本项目为允许类建设项目，符合国家产业政策。</w:t>
            </w:r>
          </w:p>
          <w:p>
            <w:pPr>
              <w:pStyle w:val="2"/>
              <w:adjustRightInd w:val="0"/>
              <w:snapToGrid w:val="0"/>
              <w:spacing w:after="0" w:line="360" w:lineRule="auto"/>
              <w:rPr>
                <w:rFonts w:hint="default" w:ascii="Times New Roman" w:hAnsi="Times New Roman" w:cs="Times New Roman"/>
                <w:color w:val="auto"/>
                <w:sz w:val="24"/>
              </w:rPr>
            </w:pPr>
            <w:r>
              <w:rPr>
                <w:rFonts w:hint="default" w:ascii="Times New Roman" w:hAnsi="Times New Roman" w:cs="Times New Roman"/>
                <w:b/>
                <w:bCs/>
                <w:color w:val="auto"/>
                <w:sz w:val="24"/>
              </w:rPr>
              <w:t>5. 规划符合性分析</w:t>
            </w:r>
          </w:p>
          <w:p>
            <w:pPr>
              <w:pStyle w:val="32"/>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根据《呼图壁工业园区总体规划(2017-2035)》，呼图壁工业园区规划为“一园三区，分为东区、中区和西区，东区位于呼图壁县二十里店镇、中区位于呼图壁河两侧，五工台西侧、西区位于呼图壁县城西侧28公里处，总面积34.4平方公里。规划期限为2017-2035年，近期2017年-2025年，远期2026年-2035年。园区规划总体目标：结合周边产业友展，依据呼图壁资源、区位、交通优势，发展以服务新疆本地兼顾外向型市场为核心目标的产业体系，将园区打造成为“新疆新型工业化发展示范区”。西区重点产业规划为结合现状向有色金属加工和新材料产业两大方向发展；根据规划环评对西区现状企业的整治方案，新疆鲁兴化工有限公司整治方案为：近期保留，限期内完成技术改造（提标改造）；规划远期内完成园区内搬迁和产业转型，或搬迁出园区。</w:t>
            </w:r>
          </w:p>
          <w:p>
            <w:pPr>
              <w:pStyle w:val="32"/>
              <w:ind w:firstLine="48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位于呼图壁工业园区西区，本项目为新疆鲁兴化工有限公司化工仓储物流改造项目，属于项目的技术提标改造，符合园区规划对项目的整治方案。项目用地性质为工业用地（见附图4），位于西区已建区，不属于禁止建设区和限建区（见附图5），不属于“四线”控制范围内（见附图6），属于新材料与有色金属加工组团（见附图7）。</w:t>
            </w:r>
          </w:p>
          <w:p>
            <w:pPr>
              <w:pStyle w:val="31"/>
              <w:spacing w:line="360" w:lineRule="auto"/>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6.选址合理性分析</w:t>
            </w:r>
          </w:p>
          <w:p>
            <w:pPr>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厂址位于呼图壁大丰镇工业园煤化工产业区内。本项目北隔横二路为新疆锦弘镁合金有限公司，南与新疆瑞成气体有限公司相邻，东隔规划路为新疆天玑钢构钢结构加工厂，西与新疆鑫邦石化有限公司相邻。项目区周围1km范围内无居民区、重要公共建筑物，项目区内建（构）筑物与周边建（构）筑物的防火间距符合《建筑设计防火规范》GB50016-2014（2018年版）与《石油化工企业设计防火标准》GB50160-2008（2018年版）规定的要求。项目区地势平坦、开阔，具有可靠的供水、供电条件，交通方便，方便运输管理。综上所述，本项目选址合理。</w:t>
            </w:r>
          </w:p>
          <w:p>
            <w:pPr>
              <w:pStyle w:val="31"/>
              <w:spacing w:line="360" w:lineRule="auto"/>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7.平面布局合理性分析</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根据功能区划分为办公生活区和储存区。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（1）办公生活区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新疆鲁兴化工有限公司办公生活区位于厂区东南角，布置有办公楼、宿舍、门卫室。项目区主导风向为西南风，办公生活区处于常年主导风向的侧风向，符合《工业企业总平面设计规范》GB50187-2012的要求。</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（2）储存区</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储存区布置在厂区北侧，厂区东北区域由北向南布置有导热油炉房、水泵房、消防水池、循环水池、控制室、化验室及变配电室、生产装置区（甲类，停用）、生产办公室；导热油炉、原生产装置均不在本次评价范围内。</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本项目储罐区位于厂区西侧，罐区西侧为事故池（原有）、泡沫泵房（原有）；罐区北侧为新建泵区、厂内道路、装卸站（在原有装卸站西侧9.5m处新建两个装卸台），装卸站由立柱、台面、斜梯、栏杆、鹤管组成，装卸站至装卸泵的管道架空敷设，装卸泵至储罐的管道采用低支架敷设。</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储罐区南侧及办公生活区北侧均为预留空地。</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厂区内道路呈环状布置，主干道宽12m，次要道路宽6m，转弯半径为12m，满足交通、消防的要求。厂区北侧设置有一个物流出入口，东南角设置有一个人流出入口。</w:t>
            </w:r>
          </w:p>
          <w:p>
            <w:pPr>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项目区布置在满足防火要求的前提下，平面布置紧凑合理，节约用地，功能分区明确，总体符合《工业企业总平面设计规范》（GB50187-2012）的要求。</w:t>
            </w:r>
          </w:p>
          <w:p>
            <w:pPr>
              <w:pStyle w:val="31"/>
              <w:ind w:firstLine="0" w:firstLineChars="0"/>
              <w:rPr>
                <w:rFonts w:hint="default" w:ascii="Times New Roman" w:hAnsi="Times New Roman" w:cs="Times New Roman"/>
                <w:b/>
                <w:bCs/>
                <w:color w:val="auto"/>
                <w:sz w:val="24"/>
                <w:szCs w:val="24"/>
              </w:rPr>
            </w:pPr>
            <w:r>
              <w:rPr>
                <w:rFonts w:hint="default" w:ascii="Times New Roman" w:hAnsi="Times New Roman" w:cs="Times New Roman"/>
                <w:b/>
                <w:bCs/>
                <w:color w:val="auto"/>
                <w:sz w:val="24"/>
                <w:szCs w:val="24"/>
              </w:rPr>
              <w:t>8.总量控制</w:t>
            </w:r>
          </w:p>
          <w:p>
            <w:pPr>
              <w:pStyle w:val="3"/>
              <w:spacing w:before="0" w:after="0" w:line="360" w:lineRule="auto"/>
              <w:ind w:firstLine="480" w:firstLineChars="200"/>
              <w:rPr>
                <w:rFonts w:hint="default" w:ascii="Times New Roman" w:hAnsi="Times New Roman" w:cs="Times New Roman"/>
                <w:color w:val="auto"/>
              </w:rPr>
            </w:pPr>
            <w:r>
              <w:rPr>
                <w:rFonts w:hint="default" w:ascii="Times New Roman" w:hAnsi="Times New Roman" w:cs="Times New Roman"/>
                <w:b w:val="0"/>
                <w:bCs w:val="0"/>
                <w:color w:val="auto"/>
                <w:kern w:val="2"/>
                <w:sz w:val="24"/>
                <w:szCs w:val="24"/>
              </w:rPr>
              <w:t>根据国家环境保护部已颁布的“十三五”期间的总量控制计划，结合本项目所在区域的环境特征及本项目排污情况，项目不建议总量控制指标。</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9.功能规划</w:t>
            </w:r>
          </w:p>
          <w:p>
            <w:pPr>
              <w:adjustRightInd w:val="0"/>
              <w:snapToGrid w:val="0"/>
              <w:spacing w:line="360" w:lineRule="auto"/>
              <w:ind w:firstLine="480" w:firstLineChars="200"/>
              <w:rPr>
                <w:rFonts w:hint="default" w:ascii="Times New Roman" w:hAnsi="Times New Roman" w:cs="Times New Roman"/>
                <w:color w:val="auto"/>
                <w:sz w:val="24"/>
              </w:rPr>
            </w:pPr>
            <w:r>
              <w:rPr>
                <w:rFonts w:hint="default" w:ascii="Times New Roman" w:hAnsi="Times New Roman" w:cs="Times New Roman"/>
                <w:color w:val="auto"/>
                <w:sz w:val="24"/>
              </w:rPr>
              <w:t>根据本项目区所在区域环境功能区划，大气环境功能区划为二类区，地下水环境功能区划为</w:t>
            </w:r>
            <w:r>
              <w:rPr>
                <w:rFonts w:hint="default" w:ascii="Times New Roman" w:hAnsi="Times New Roman" w:cs="Times New Roman"/>
                <w:color w:val="auto"/>
                <w:sz w:val="24"/>
              </w:rPr>
              <w:fldChar w:fldCharType="begin"/>
            </w:r>
            <w:r>
              <w:rPr>
                <w:rFonts w:hint="default" w:ascii="Times New Roman" w:hAnsi="Times New Roman" w:cs="Times New Roman"/>
                <w:color w:val="auto"/>
                <w:sz w:val="24"/>
              </w:rPr>
              <w:instrText xml:space="preserve"> = 3 \* ROMAN </w:instrText>
            </w:r>
            <w:r>
              <w:rPr>
                <w:rFonts w:hint="default" w:ascii="Times New Roman" w:hAnsi="Times New Roman" w:cs="Times New Roman"/>
                <w:color w:val="auto"/>
                <w:sz w:val="24"/>
              </w:rPr>
              <w:fldChar w:fldCharType="separate"/>
            </w:r>
            <w:r>
              <w:rPr>
                <w:rFonts w:hint="default" w:ascii="Times New Roman" w:hAnsi="Times New Roman" w:cs="Times New Roman"/>
                <w:color w:val="auto"/>
                <w:sz w:val="24"/>
              </w:rPr>
              <w:t>III</w:t>
            </w:r>
            <w:r>
              <w:rPr>
                <w:rFonts w:hint="default" w:ascii="Times New Roman" w:hAnsi="Times New Roman" w:cs="Times New Roman"/>
                <w:color w:val="auto"/>
                <w:sz w:val="24"/>
              </w:rPr>
              <w:fldChar w:fldCharType="end"/>
            </w:r>
            <w:r>
              <w:rPr>
                <w:rFonts w:hint="default" w:ascii="Times New Roman" w:hAnsi="Times New Roman" w:cs="Times New Roman"/>
                <w:color w:val="auto"/>
                <w:sz w:val="24"/>
              </w:rPr>
              <w:t>类水体，声环境功能区划为3类区，本项目建成投入运营后产生各种污染物通过采取相应防治处置措施后均能够实现达标排放，不会发生改变区域环境功能类别的影响，符合本项目所在区域环境保护规划的要求。</w:t>
            </w:r>
          </w:p>
          <w:p>
            <w:pPr>
              <w:adjustRightInd w:val="0"/>
              <w:snapToGrid w:val="0"/>
              <w:spacing w:line="360" w:lineRule="auto"/>
              <w:rPr>
                <w:rFonts w:hint="default" w:ascii="Times New Roman" w:hAnsi="Times New Roman" w:cs="Times New Roman"/>
                <w:b/>
                <w:bCs/>
                <w:color w:val="auto"/>
                <w:sz w:val="24"/>
              </w:rPr>
            </w:pPr>
            <w:r>
              <w:rPr>
                <w:rFonts w:hint="default" w:ascii="Times New Roman" w:hAnsi="Times New Roman" w:cs="Times New Roman"/>
                <w:b/>
                <w:bCs/>
                <w:color w:val="auto"/>
                <w:sz w:val="24"/>
              </w:rPr>
              <w:t>10.综合结论</w:t>
            </w:r>
          </w:p>
          <w:p>
            <w:pPr>
              <w:adjustRightInd w:val="0"/>
              <w:snapToGrid w:val="0"/>
              <w:spacing w:line="360" w:lineRule="auto"/>
              <w:ind w:firstLine="480" w:firstLineChars="200"/>
              <w:rPr>
                <w:rFonts w:hint="default" w:ascii="Times New Roman" w:hAnsi="Times New Roman" w:cs="Times New Roman"/>
                <w:bCs/>
                <w:color w:val="auto"/>
                <w:sz w:val="24"/>
              </w:rPr>
            </w:pPr>
            <w:r>
              <w:rPr>
                <w:rFonts w:hint="default" w:ascii="Times New Roman" w:hAnsi="Times New Roman" w:cs="Times New Roman"/>
                <w:bCs/>
                <w:color w:val="auto"/>
                <w:sz w:val="24"/>
              </w:rPr>
              <w:t>本建设项目符合国家的产业政策。项目污染因素简单，建成运行后“三废”排放量较小。项目运行期产生的污染物在按本报告表中所提出的措施及方案进行治理、控制，并加强内部管理，实现环保设施的稳定运行，切实执行“三同时”前提下，确保污染物达标排放的前提下，项目对周围环境不会产生影响。因此，从环境保护的角度来看，本项目是可行的。</w:t>
            </w:r>
          </w:p>
          <w:p>
            <w:pPr>
              <w:adjustRightInd w:val="0"/>
              <w:snapToGrid w:val="0"/>
              <w:spacing w:line="360" w:lineRule="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二、建议</w:t>
            </w:r>
          </w:p>
          <w:p>
            <w:pPr>
              <w:pStyle w:val="18"/>
              <w:spacing w:line="360" w:lineRule="auto"/>
              <w:ind w:firstLine="480" w:firstLineChars="200"/>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rPr>
              <w:t>（1）</w:t>
            </w:r>
            <w:r>
              <w:rPr>
                <w:rFonts w:hint="default" w:ascii="Times New Roman" w:hAnsi="Times New Roman" w:eastAsia="宋体" w:cs="Times New Roman"/>
                <w:bCs/>
                <w:color w:val="auto"/>
                <w:sz w:val="24"/>
                <w:szCs w:val="24"/>
              </w:rPr>
              <w:t>严格执行环保“三同时”制度，确保各类环保设施正常运行</w:t>
            </w:r>
            <w:r>
              <w:rPr>
                <w:rFonts w:hint="default" w:ascii="Times New Roman" w:hAnsi="Times New Roman" w:eastAsia="宋体" w:cs="Times New Roman"/>
                <w:color w:val="auto"/>
                <w:sz w:val="24"/>
              </w:rPr>
              <w:t>，加强环境管理，以保证污染防治达到预计效果</w:t>
            </w:r>
            <w:r>
              <w:rPr>
                <w:rFonts w:hint="default" w:ascii="Times New Roman" w:hAnsi="Times New Roman" w:eastAsia="宋体" w:cs="Times New Roman"/>
                <w:bCs/>
                <w:color w:val="auto"/>
                <w:sz w:val="24"/>
                <w:szCs w:val="24"/>
              </w:rPr>
              <w:t>；</w:t>
            </w:r>
          </w:p>
          <w:p>
            <w:pPr>
              <w:pStyle w:val="18"/>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（2）要求严格执行本评价提出的环保措施中的环境管理措施。</w:t>
            </w:r>
          </w:p>
          <w:p>
            <w:pPr>
              <w:pStyle w:val="18"/>
              <w:spacing w:line="360" w:lineRule="auto"/>
              <w:ind w:firstLine="480" w:firstLineChars="200"/>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（3）加强职工的环保教育，提高职工的环保意识；</w:t>
            </w:r>
          </w:p>
          <w:p>
            <w:pPr>
              <w:pStyle w:val="18"/>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bCs/>
                <w:color w:val="auto"/>
                <w:sz w:val="24"/>
                <w:szCs w:val="24"/>
              </w:rPr>
              <w:t>（4）关心并积极听取可能受项目环境影响的附近单位的反映，定期向项目最高管理者和当地</w:t>
            </w:r>
            <w:r>
              <w:rPr>
                <w:rFonts w:hint="eastAsia" w:ascii="Times New Roman" w:hAnsi="Times New Roman" w:eastAsia="宋体" w:cs="Times New Roman"/>
                <w:bCs/>
                <w:color w:val="auto"/>
                <w:sz w:val="24"/>
                <w:szCs w:val="24"/>
                <w:lang w:val="en-US" w:eastAsia="zh-CN"/>
              </w:rPr>
              <w:t>生态环境</w:t>
            </w:r>
            <w:r>
              <w:rPr>
                <w:rFonts w:hint="default" w:ascii="Times New Roman" w:hAnsi="Times New Roman" w:eastAsia="宋体" w:cs="Times New Roman"/>
                <w:bCs/>
                <w:color w:val="auto"/>
                <w:sz w:val="24"/>
                <w:szCs w:val="24"/>
              </w:rPr>
              <w:t>部门汇报项目环境保护工作的情况，同时接受当地</w:t>
            </w:r>
            <w:r>
              <w:rPr>
                <w:rFonts w:hint="eastAsia" w:ascii="Times New Roman" w:hAnsi="Times New Roman" w:eastAsia="宋体" w:cs="Times New Roman"/>
                <w:bCs/>
                <w:color w:val="auto"/>
                <w:sz w:val="24"/>
                <w:szCs w:val="24"/>
                <w:lang w:val="en-US" w:eastAsia="zh-CN"/>
              </w:rPr>
              <w:t>生态环境</w:t>
            </w:r>
            <w:r>
              <w:rPr>
                <w:rFonts w:hint="default" w:ascii="Times New Roman" w:hAnsi="Times New Roman" w:eastAsia="宋体" w:cs="Times New Roman"/>
                <w:bCs/>
                <w:color w:val="auto"/>
                <w:sz w:val="24"/>
                <w:szCs w:val="24"/>
              </w:rPr>
              <w:t>部门的监督和管理。遵守有关环境法律、法规，树立良好的企业形象，实现经济效益与社会效益、环境效益相统一</w:t>
            </w:r>
            <w:r>
              <w:rPr>
                <w:rFonts w:hint="default" w:ascii="Times New Roman" w:hAnsi="Times New Roman" w:eastAsia="宋体" w:cs="Times New Roman"/>
                <w:color w:val="auto"/>
                <w:sz w:val="24"/>
              </w:rPr>
              <w:t>。</w:t>
            </w:r>
          </w:p>
          <w:p>
            <w:pPr>
              <w:pStyle w:val="18"/>
              <w:spacing w:line="360" w:lineRule="auto"/>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（5）植树造林，美化环境。搞好项目区周边的绿化，避免绿化不当造成的安全隐患。</w:t>
            </w: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rPr>
                <w:rFonts w:hint="default" w:ascii="Times New Roman" w:hAnsi="Times New Roman" w:eastAsia="宋体" w:cs="Times New Roman"/>
                <w:color w:val="auto"/>
                <w:sz w:val="24"/>
              </w:rPr>
            </w:pPr>
          </w:p>
          <w:p>
            <w:pPr>
              <w:pStyle w:val="18"/>
              <w:spacing w:line="360" w:lineRule="auto"/>
              <w:rPr>
                <w:rFonts w:hint="default" w:ascii="Times New Roman" w:hAnsi="Times New Roman" w:eastAsia="宋体" w:cs="Times New Roman"/>
                <w:color w:val="auto"/>
                <w:sz w:val="24"/>
              </w:rPr>
            </w:pPr>
          </w:p>
          <w:p>
            <w:pPr>
              <w:pStyle w:val="18"/>
              <w:spacing w:line="360" w:lineRule="auto"/>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ind w:firstLine="360" w:firstLineChars="150"/>
              <w:rPr>
                <w:rFonts w:hint="default" w:ascii="Times New Roman" w:hAnsi="Times New Roman" w:eastAsia="宋体" w:cs="Times New Roman"/>
                <w:color w:val="auto"/>
                <w:sz w:val="24"/>
              </w:rPr>
            </w:pPr>
          </w:p>
          <w:p>
            <w:pPr>
              <w:pStyle w:val="18"/>
              <w:spacing w:line="360" w:lineRule="auto"/>
              <w:rPr>
                <w:rFonts w:hint="default" w:ascii="Times New Roman" w:hAnsi="Times New Roman" w:eastAsia="宋体" w:cs="Times New Roman"/>
                <w:color w:val="auto"/>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5" w:type="dxa"/>
          <w:trHeight w:val="13597" w:hRule="atLeast"/>
        </w:trPr>
        <w:tc>
          <w:tcPr>
            <w:tcW w:w="8775" w:type="dxa"/>
            <w:gridSpan w:val="2"/>
            <w:tcBorders>
              <w:top w:val="single" w:color="auto" w:sz="6" w:space="0"/>
              <w:left w:val="single" w:color="auto" w:sz="6" w:space="0"/>
              <w:bottom w:val="single" w:color="auto" w:sz="6" w:space="0"/>
              <w:right w:val="single" w:color="auto" w:sz="6" w:space="0"/>
            </w:tcBorders>
          </w:tcPr>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预审意见:</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tabs>
                <w:tab w:val="left" w:pos="5176"/>
              </w:tabs>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ab/>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公  章</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经办人：                                        年     月     日</w:t>
            </w:r>
          </w:p>
          <w:p>
            <w:pPr>
              <w:spacing w:line="360" w:lineRule="auto"/>
              <w:jc w:val="left"/>
              <w:rPr>
                <w:rFonts w:hint="default" w:ascii="Times New Roman" w:hAnsi="Times New Roman" w:cs="Times New Roman"/>
                <w:color w:val="auto"/>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5" w:type="dxa"/>
          <w:trHeight w:val="6370" w:hRule="atLeast"/>
        </w:trPr>
        <w:tc>
          <w:tcPr>
            <w:tcW w:w="8775" w:type="dxa"/>
            <w:gridSpan w:val="2"/>
            <w:tcBorders>
              <w:top w:val="single" w:color="auto" w:sz="6" w:space="0"/>
              <w:left w:val="single" w:color="auto" w:sz="6" w:space="0"/>
              <w:bottom w:val="single" w:color="auto" w:sz="6" w:space="0"/>
              <w:right w:val="single" w:color="auto" w:sz="6" w:space="0"/>
            </w:tcBorders>
          </w:tcPr>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下一级环境保护行政主管部门审查意见：</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ind w:firstLine="4440" w:firstLineChars="1850"/>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ind w:firstLine="4800" w:firstLineChars="2000"/>
              <w:jc w:val="left"/>
              <w:rPr>
                <w:rFonts w:hint="default" w:ascii="Times New Roman" w:hAnsi="Times New Roman" w:cs="Times New Roman"/>
                <w:color w:val="auto"/>
                <w:sz w:val="24"/>
              </w:rPr>
            </w:pPr>
            <w:r>
              <w:rPr>
                <w:rFonts w:hint="default" w:ascii="Times New Roman" w:hAnsi="Times New Roman" w:cs="Times New Roman"/>
                <w:color w:val="auto"/>
                <w:sz w:val="24"/>
              </w:rPr>
              <w:t>公  章</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经办人：                                      </w:t>
            </w:r>
          </w:p>
          <w:p>
            <w:pPr>
              <w:spacing w:line="360" w:lineRule="auto"/>
              <w:ind w:firstLine="5520" w:firstLineChars="2300"/>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年     月     日</w:t>
            </w:r>
          </w:p>
          <w:p>
            <w:pPr>
              <w:spacing w:line="360" w:lineRule="auto"/>
              <w:jc w:val="left"/>
              <w:rPr>
                <w:rFonts w:hint="default" w:ascii="Times New Roman" w:hAnsi="Times New Roman" w:cs="Times New Roman"/>
                <w:color w:val="auto"/>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5" w:type="dxa"/>
          <w:trHeight w:val="13685" w:hRule="atLeast"/>
        </w:trPr>
        <w:tc>
          <w:tcPr>
            <w:tcW w:w="8775" w:type="dxa"/>
            <w:gridSpan w:val="2"/>
            <w:tcBorders>
              <w:top w:val="single" w:color="auto" w:sz="6" w:space="0"/>
              <w:left w:val="single" w:color="auto" w:sz="6" w:space="0"/>
              <w:bottom w:val="single" w:color="auto" w:sz="6" w:space="0"/>
              <w:right w:val="single" w:color="auto" w:sz="6" w:space="0"/>
            </w:tcBorders>
          </w:tcPr>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审批意见：</w:t>
            </w: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                                       公  章</w:t>
            </w:r>
          </w:p>
          <w:p>
            <w:pPr>
              <w:spacing w:line="360" w:lineRule="auto"/>
              <w:jc w:val="left"/>
              <w:rPr>
                <w:rFonts w:hint="default" w:ascii="Times New Roman" w:hAnsi="Times New Roman" w:cs="Times New Roman"/>
                <w:color w:val="auto"/>
                <w:sz w:val="24"/>
              </w:rPr>
            </w:pPr>
          </w:p>
          <w:p>
            <w:pPr>
              <w:spacing w:line="360" w:lineRule="auto"/>
              <w:jc w:val="left"/>
              <w:rPr>
                <w:rFonts w:hint="default" w:ascii="Times New Roman" w:hAnsi="Times New Roman" w:cs="Times New Roman"/>
                <w:color w:val="auto"/>
                <w:sz w:val="24"/>
              </w:rPr>
            </w:pPr>
            <w:r>
              <w:rPr>
                <w:rFonts w:hint="default" w:ascii="Times New Roman" w:hAnsi="Times New Roman" w:cs="Times New Roman"/>
                <w:color w:val="auto"/>
                <w:sz w:val="24"/>
              </w:rPr>
              <w:t xml:space="preserve">经办人：                                    </w:t>
            </w:r>
          </w:p>
          <w:p>
            <w:pPr>
              <w:spacing w:line="360" w:lineRule="auto"/>
              <w:ind w:firstLine="5520" w:firstLineChars="2300"/>
              <w:jc w:val="left"/>
              <w:rPr>
                <w:rFonts w:hint="default" w:ascii="Times New Roman" w:hAnsi="Times New Roman" w:cs="Times New Roman"/>
                <w:color w:val="auto"/>
              </w:rPr>
            </w:pPr>
            <w:r>
              <w:rPr>
                <w:rFonts w:hint="default" w:ascii="Times New Roman" w:hAnsi="Times New Roman" w:cs="Times New Roman"/>
                <w:color w:val="auto"/>
                <w:sz w:val="24"/>
              </w:rPr>
              <w:t xml:space="preserve">  年     月     日</w:t>
            </w:r>
          </w:p>
        </w:tc>
      </w:tr>
    </w:tbl>
    <w:p>
      <w:pPr>
        <w:rPr>
          <w:rFonts w:hint="default" w:ascii="Times New Roman" w:hAnsi="Times New Roman" w:cs="Times New Roman"/>
          <w:color w:val="auto"/>
        </w:rPr>
      </w:pPr>
      <w:bookmarkStart w:id="23" w:name="_GoBack"/>
      <w:bookmarkEnd w:id="23"/>
    </w:p>
    <w:sectPr>
      <w:headerReference r:id="rId3" w:type="default"/>
      <w:footerReference r:id="rId4" w:type="default"/>
      <w:pgSz w:w="11906" w:h="16838"/>
      <w:pgMar w:top="1440" w:right="1797" w:bottom="1440"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楷体">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hint="eastAsia"/>
      </w:rPr>
    </w:pPr>
    <w:r>
      <w:fldChar w:fldCharType="begin"/>
    </w:r>
    <w:r>
      <w:rPr>
        <w:rStyle w:val="37"/>
      </w:rPr>
      <w:instrText xml:space="preserve"> PAGE </w:instrText>
    </w:r>
    <w:r>
      <w:fldChar w:fldCharType="separate"/>
    </w:r>
    <w:r>
      <w:rPr>
        <w:rStyle w:val="37"/>
      </w:rPr>
      <w:t>58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34263F"/>
    <w:multiLevelType w:val="singleLevel"/>
    <w:tmpl w:val="DA34263F"/>
    <w:lvl w:ilvl="0" w:tentative="0">
      <w:start w:val="2"/>
      <w:numFmt w:val="decimal"/>
      <w:suff w:val="nothing"/>
      <w:lvlText w:val="%1、"/>
      <w:lvlJc w:val="left"/>
    </w:lvl>
  </w:abstractNum>
  <w:abstractNum w:abstractNumId="1">
    <w:nsid w:val="00A2064D"/>
    <w:multiLevelType w:val="multilevel"/>
    <w:tmpl w:val="00A2064D"/>
    <w:lvl w:ilvl="0" w:tentative="0">
      <w:start w:val="1"/>
      <w:numFmt w:val="decimal"/>
      <w:suff w:val="space"/>
      <w:lvlText w:val="%1"/>
      <w:lvlJc w:val="left"/>
      <w:pPr>
        <w:ind w:left="0" w:firstLine="0"/>
      </w:pPr>
      <w:rPr>
        <w:rFonts w:hint="eastAsia" w:ascii="黑体" w:eastAsia="黑体"/>
        <w:b/>
        <w:i w:val="0"/>
        <w:sz w:val="36"/>
        <w:szCs w:val="36"/>
      </w:rPr>
    </w:lvl>
    <w:lvl w:ilvl="1" w:tentative="0">
      <w:start w:val="1"/>
      <w:numFmt w:val="decimal"/>
      <w:suff w:val="space"/>
      <w:lvlText w:val="%1.%2"/>
      <w:lvlJc w:val="left"/>
      <w:pPr>
        <w:ind w:left="0" w:firstLine="0"/>
      </w:pPr>
      <w:rPr>
        <w:rFonts w:hint="default" w:ascii="Times New Roman" w:hAnsi="Times New Roman" w:eastAsia="黑体" w:cs="Times New Roman"/>
        <w:b/>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pStyle w:val="76"/>
      <w:suff w:val="space"/>
      <w:lvlText w:val="%1.%2.%3"/>
      <w:lvlJc w:val="left"/>
      <w:pPr>
        <w:ind w:left="0" w:firstLine="0"/>
      </w:pPr>
      <w:rPr>
        <w:rFonts w:hint="default" w:ascii="Times New Roman" w:hAnsi="Times New Roman" w:cs="Times New Roman"/>
        <w:b/>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suff w:val="space"/>
      <w:lvlText w:val="%1.%2.%3.%4"/>
      <w:lvlJc w:val="left"/>
      <w:pPr>
        <w:ind w:left="0" w:firstLine="0"/>
      </w:pPr>
      <w:rPr>
        <w:rFonts w:hint="default" w:ascii="Times New Roman" w:hAnsi="Times New Roman" w:eastAsia="宋体" w:cs="Times New Roman"/>
        <w:b/>
        <w:i w:val="0"/>
        <w:sz w:val="24"/>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3A1582C3"/>
    <w:multiLevelType w:val="singleLevel"/>
    <w:tmpl w:val="3A1582C3"/>
    <w:lvl w:ilvl="0" w:tentative="0">
      <w:start w:val="3"/>
      <w:numFmt w:val="decimal"/>
      <w:lvlText w:val="%1."/>
      <w:lvlJc w:val="left"/>
      <w:pPr>
        <w:tabs>
          <w:tab w:val="left" w:pos="312"/>
        </w:tabs>
      </w:pPr>
    </w:lvl>
  </w:abstractNum>
  <w:abstractNum w:abstractNumId="3">
    <w:nsid w:val="5F203CFE"/>
    <w:multiLevelType w:val="singleLevel"/>
    <w:tmpl w:val="5F203CFE"/>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DB1"/>
    <w:rsid w:val="0001094A"/>
    <w:rsid w:val="00014B56"/>
    <w:rsid w:val="0001531A"/>
    <w:rsid w:val="00015A8C"/>
    <w:rsid w:val="000213BE"/>
    <w:rsid w:val="000255A4"/>
    <w:rsid w:val="000278E3"/>
    <w:rsid w:val="000328FA"/>
    <w:rsid w:val="000336E0"/>
    <w:rsid w:val="00037552"/>
    <w:rsid w:val="00043272"/>
    <w:rsid w:val="00045EB3"/>
    <w:rsid w:val="0004613F"/>
    <w:rsid w:val="0004642A"/>
    <w:rsid w:val="000466CA"/>
    <w:rsid w:val="00047A6D"/>
    <w:rsid w:val="000556BD"/>
    <w:rsid w:val="00061845"/>
    <w:rsid w:val="000625C8"/>
    <w:rsid w:val="000627E2"/>
    <w:rsid w:val="000657B3"/>
    <w:rsid w:val="000738F9"/>
    <w:rsid w:val="00073AD0"/>
    <w:rsid w:val="00074E13"/>
    <w:rsid w:val="00075370"/>
    <w:rsid w:val="00081074"/>
    <w:rsid w:val="0008224E"/>
    <w:rsid w:val="00086F86"/>
    <w:rsid w:val="00087DC3"/>
    <w:rsid w:val="000933F5"/>
    <w:rsid w:val="000937C3"/>
    <w:rsid w:val="00095E0D"/>
    <w:rsid w:val="00096628"/>
    <w:rsid w:val="00097753"/>
    <w:rsid w:val="0009775D"/>
    <w:rsid w:val="000A119D"/>
    <w:rsid w:val="000A17E2"/>
    <w:rsid w:val="000A5F9A"/>
    <w:rsid w:val="000A75D2"/>
    <w:rsid w:val="000B144D"/>
    <w:rsid w:val="000B1D2E"/>
    <w:rsid w:val="000C1973"/>
    <w:rsid w:val="000C7380"/>
    <w:rsid w:val="000C74EA"/>
    <w:rsid w:val="000D6B30"/>
    <w:rsid w:val="000E1920"/>
    <w:rsid w:val="000E2703"/>
    <w:rsid w:val="000E2F32"/>
    <w:rsid w:val="000E353A"/>
    <w:rsid w:val="000E4138"/>
    <w:rsid w:val="000E5C69"/>
    <w:rsid w:val="000E5DA0"/>
    <w:rsid w:val="000F659F"/>
    <w:rsid w:val="000F6EDF"/>
    <w:rsid w:val="00107EBB"/>
    <w:rsid w:val="00120710"/>
    <w:rsid w:val="00122D12"/>
    <w:rsid w:val="00123DDA"/>
    <w:rsid w:val="00124309"/>
    <w:rsid w:val="00126006"/>
    <w:rsid w:val="0013011D"/>
    <w:rsid w:val="00131C3C"/>
    <w:rsid w:val="001335C0"/>
    <w:rsid w:val="00134D4F"/>
    <w:rsid w:val="00145249"/>
    <w:rsid w:val="0015139E"/>
    <w:rsid w:val="001517F9"/>
    <w:rsid w:val="001518BA"/>
    <w:rsid w:val="00151A68"/>
    <w:rsid w:val="00161736"/>
    <w:rsid w:val="00165F15"/>
    <w:rsid w:val="00166BA9"/>
    <w:rsid w:val="001733FD"/>
    <w:rsid w:val="0017456D"/>
    <w:rsid w:val="00174D7E"/>
    <w:rsid w:val="00181052"/>
    <w:rsid w:val="00181CC3"/>
    <w:rsid w:val="00184800"/>
    <w:rsid w:val="001876DE"/>
    <w:rsid w:val="00187D8F"/>
    <w:rsid w:val="00192373"/>
    <w:rsid w:val="00192A17"/>
    <w:rsid w:val="00192B6A"/>
    <w:rsid w:val="00194CB2"/>
    <w:rsid w:val="00195309"/>
    <w:rsid w:val="001966DA"/>
    <w:rsid w:val="00197231"/>
    <w:rsid w:val="001A1018"/>
    <w:rsid w:val="001A7719"/>
    <w:rsid w:val="001B1AE2"/>
    <w:rsid w:val="001B24EB"/>
    <w:rsid w:val="001B5D1F"/>
    <w:rsid w:val="001B760D"/>
    <w:rsid w:val="001C0CFD"/>
    <w:rsid w:val="001C39FF"/>
    <w:rsid w:val="001D22D5"/>
    <w:rsid w:val="001D3370"/>
    <w:rsid w:val="001D3473"/>
    <w:rsid w:val="001D5A8E"/>
    <w:rsid w:val="001E1F7F"/>
    <w:rsid w:val="001E3414"/>
    <w:rsid w:val="001E5E1A"/>
    <w:rsid w:val="001F301C"/>
    <w:rsid w:val="001F57D0"/>
    <w:rsid w:val="001F5B43"/>
    <w:rsid w:val="001F674B"/>
    <w:rsid w:val="001F7F9C"/>
    <w:rsid w:val="0020124F"/>
    <w:rsid w:val="0020507C"/>
    <w:rsid w:val="00213FFC"/>
    <w:rsid w:val="00216357"/>
    <w:rsid w:val="00217487"/>
    <w:rsid w:val="00217639"/>
    <w:rsid w:val="00222D1B"/>
    <w:rsid w:val="00224289"/>
    <w:rsid w:val="00230071"/>
    <w:rsid w:val="0023400C"/>
    <w:rsid w:val="0023455A"/>
    <w:rsid w:val="00235D2A"/>
    <w:rsid w:val="002374F4"/>
    <w:rsid w:val="00240B17"/>
    <w:rsid w:val="00241E00"/>
    <w:rsid w:val="00241E13"/>
    <w:rsid w:val="00244385"/>
    <w:rsid w:val="0024590E"/>
    <w:rsid w:val="00251C49"/>
    <w:rsid w:val="00253552"/>
    <w:rsid w:val="00253ACA"/>
    <w:rsid w:val="002556A3"/>
    <w:rsid w:val="002557E6"/>
    <w:rsid w:val="00256D8D"/>
    <w:rsid w:val="00257A34"/>
    <w:rsid w:val="00261416"/>
    <w:rsid w:val="0026428E"/>
    <w:rsid w:val="00270069"/>
    <w:rsid w:val="002702DD"/>
    <w:rsid w:val="00271900"/>
    <w:rsid w:val="00271CFC"/>
    <w:rsid w:val="00273CC6"/>
    <w:rsid w:val="00274747"/>
    <w:rsid w:val="00274BE9"/>
    <w:rsid w:val="002753CB"/>
    <w:rsid w:val="002803A1"/>
    <w:rsid w:val="0028386B"/>
    <w:rsid w:val="002869FC"/>
    <w:rsid w:val="00290DC0"/>
    <w:rsid w:val="00293427"/>
    <w:rsid w:val="002972F1"/>
    <w:rsid w:val="002A3405"/>
    <w:rsid w:val="002A3D5D"/>
    <w:rsid w:val="002A5481"/>
    <w:rsid w:val="002A7100"/>
    <w:rsid w:val="002B200A"/>
    <w:rsid w:val="002B214D"/>
    <w:rsid w:val="002B5098"/>
    <w:rsid w:val="002B5BD3"/>
    <w:rsid w:val="002C3568"/>
    <w:rsid w:val="002C3C34"/>
    <w:rsid w:val="002C4B2E"/>
    <w:rsid w:val="002C5624"/>
    <w:rsid w:val="002C5CE6"/>
    <w:rsid w:val="002D4002"/>
    <w:rsid w:val="002E235B"/>
    <w:rsid w:val="002E2FC1"/>
    <w:rsid w:val="002E3DA9"/>
    <w:rsid w:val="002E3E94"/>
    <w:rsid w:val="002E694F"/>
    <w:rsid w:val="002E69F4"/>
    <w:rsid w:val="002F2D5E"/>
    <w:rsid w:val="002F4AA0"/>
    <w:rsid w:val="002F5B4B"/>
    <w:rsid w:val="00300EA3"/>
    <w:rsid w:val="003103FF"/>
    <w:rsid w:val="00310DB5"/>
    <w:rsid w:val="0032435D"/>
    <w:rsid w:val="00325375"/>
    <w:rsid w:val="003272C1"/>
    <w:rsid w:val="003277A4"/>
    <w:rsid w:val="00330FC8"/>
    <w:rsid w:val="0033152B"/>
    <w:rsid w:val="00331D92"/>
    <w:rsid w:val="0034006F"/>
    <w:rsid w:val="003416B5"/>
    <w:rsid w:val="00345776"/>
    <w:rsid w:val="003576D2"/>
    <w:rsid w:val="00370E7B"/>
    <w:rsid w:val="00373F9E"/>
    <w:rsid w:val="003745B9"/>
    <w:rsid w:val="00374BFC"/>
    <w:rsid w:val="003909B1"/>
    <w:rsid w:val="00391AA8"/>
    <w:rsid w:val="003951CE"/>
    <w:rsid w:val="00395E1F"/>
    <w:rsid w:val="003A1877"/>
    <w:rsid w:val="003A55CC"/>
    <w:rsid w:val="003B2609"/>
    <w:rsid w:val="003C3E94"/>
    <w:rsid w:val="003C4207"/>
    <w:rsid w:val="003C6193"/>
    <w:rsid w:val="003C75A1"/>
    <w:rsid w:val="003C7DD3"/>
    <w:rsid w:val="003D090C"/>
    <w:rsid w:val="003D7BA2"/>
    <w:rsid w:val="003E3FF8"/>
    <w:rsid w:val="003E7AA6"/>
    <w:rsid w:val="003F2680"/>
    <w:rsid w:val="003F70AB"/>
    <w:rsid w:val="004009D9"/>
    <w:rsid w:val="004044BE"/>
    <w:rsid w:val="00406EEB"/>
    <w:rsid w:val="00412D3B"/>
    <w:rsid w:val="00416B22"/>
    <w:rsid w:val="00416EC6"/>
    <w:rsid w:val="0042527E"/>
    <w:rsid w:val="00427681"/>
    <w:rsid w:val="00427B61"/>
    <w:rsid w:val="00432312"/>
    <w:rsid w:val="004369FC"/>
    <w:rsid w:val="00441583"/>
    <w:rsid w:val="0044186E"/>
    <w:rsid w:val="0044448B"/>
    <w:rsid w:val="00450DCB"/>
    <w:rsid w:val="004547AE"/>
    <w:rsid w:val="004654EF"/>
    <w:rsid w:val="00465902"/>
    <w:rsid w:val="00467422"/>
    <w:rsid w:val="004677AE"/>
    <w:rsid w:val="004679A9"/>
    <w:rsid w:val="00474C9C"/>
    <w:rsid w:val="004751DB"/>
    <w:rsid w:val="004775AC"/>
    <w:rsid w:val="00481FEF"/>
    <w:rsid w:val="00483BCA"/>
    <w:rsid w:val="0048491B"/>
    <w:rsid w:val="004862A7"/>
    <w:rsid w:val="004868A3"/>
    <w:rsid w:val="00491303"/>
    <w:rsid w:val="004A6A3E"/>
    <w:rsid w:val="004B05B8"/>
    <w:rsid w:val="004B26D5"/>
    <w:rsid w:val="004C0A39"/>
    <w:rsid w:val="004C1580"/>
    <w:rsid w:val="004C171B"/>
    <w:rsid w:val="004C32CC"/>
    <w:rsid w:val="004C398A"/>
    <w:rsid w:val="004C483D"/>
    <w:rsid w:val="004C4A16"/>
    <w:rsid w:val="004C4CDF"/>
    <w:rsid w:val="004D2A63"/>
    <w:rsid w:val="004D30AB"/>
    <w:rsid w:val="004D341A"/>
    <w:rsid w:val="004D656A"/>
    <w:rsid w:val="004D70CA"/>
    <w:rsid w:val="004E2CFB"/>
    <w:rsid w:val="004E54CE"/>
    <w:rsid w:val="004F4010"/>
    <w:rsid w:val="004F4584"/>
    <w:rsid w:val="004F619B"/>
    <w:rsid w:val="00500A89"/>
    <w:rsid w:val="00500AF1"/>
    <w:rsid w:val="00501519"/>
    <w:rsid w:val="00502390"/>
    <w:rsid w:val="005027AC"/>
    <w:rsid w:val="00510EB7"/>
    <w:rsid w:val="00513695"/>
    <w:rsid w:val="00514070"/>
    <w:rsid w:val="0051429E"/>
    <w:rsid w:val="005163D4"/>
    <w:rsid w:val="005164B9"/>
    <w:rsid w:val="005175AE"/>
    <w:rsid w:val="0052036B"/>
    <w:rsid w:val="005223A9"/>
    <w:rsid w:val="00530BEA"/>
    <w:rsid w:val="005327C9"/>
    <w:rsid w:val="00533D6B"/>
    <w:rsid w:val="005361C4"/>
    <w:rsid w:val="0053665A"/>
    <w:rsid w:val="005373E7"/>
    <w:rsid w:val="00540F53"/>
    <w:rsid w:val="00544479"/>
    <w:rsid w:val="00544C03"/>
    <w:rsid w:val="00546D10"/>
    <w:rsid w:val="00546D1F"/>
    <w:rsid w:val="00551661"/>
    <w:rsid w:val="00552D0C"/>
    <w:rsid w:val="00554F07"/>
    <w:rsid w:val="005551CB"/>
    <w:rsid w:val="00557CD1"/>
    <w:rsid w:val="005640A5"/>
    <w:rsid w:val="005661DC"/>
    <w:rsid w:val="00570520"/>
    <w:rsid w:val="00570940"/>
    <w:rsid w:val="00574114"/>
    <w:rsid w:val="00575674"/>
    <w:rsid w:val="00584D5F"/>
    <w:rsid w:val="005879C9"/>
    <w:rsid w:val="00587FAC"/>
    <w:rsid w:val="00592D6E"/>
    <w:rsid w:val="00595B75"/>
    <w:rsid w:val="00595FB8"/>
    <w:rsid w:val="005A11DD"/>
    <w:rsid w:val="005A48D5"/>
    <w:rsid w:val="005A5372"/>
    <w:rsid w:val="005B07DF"/>
    <w:rsid w:val="005B1A1B"/>
    <w:rsid w:val="005B5477"/>
    <w:rsid w:val="005B5C0E"/>
    <w:rsid w:val="005C03FC"/>
    <w:rsid w:val="005C1AB6"/>
    <w:rsid w:val="005C2436"/>
    <w:rsid w:val="005C4B22"/>
    <w:rsid w:val="005C78F9"/>
    <w:rsid w:val="005D02C1"/>
    <w:rsid w:val="005D0413"/>
    <w:rsid w:val="005D4BAC"/>
    <w:rsid w:val="005D5387"/>
    <w:rsid w:val="005E0908"/>
    <w:rsid w:val="005E2229"/>
    <w:rsid w:val="005E24E7"/>
    <w:rsid w:val="005E7640"/>
    <w:rsid w:val="005E7E37"/>
    <w:rsid w:val="005F0961"/>
    <w:rsid w:val="005F0E1F"/>
    <w:rsid w:val="005F17EE"/>
    <w:rsid w:val="005F31DB"/>
    <w:rsid w:val="005F520B"/>
    <w:rsid w:val="006004F7"/>
    <w:rsid w:val="006009C5"/>
    <w:rsid w:val="0060627C"/>
    <w:rsid w:val="00607747"/>
    <w:rsid w:val="00607B91"/>
    <w:rsid w:val="00610886"/>
    <w:rsid w:val="00613120"/>
    <w:rsid w:val="00613CCB"/>
    <w:rsid w:val="00623066"/>
    <w:rsid w:val="006243C0"/>
    <w:rsid w:val="00626347"/>
    <w:rsid w:val="006309C9"/>
    <w:rsid w:val="00630BAC"/>
    <w:rsid w:val="00631238"/>
    <w:rsid w:val="00631F8C"/>
    <w:rsid w:val="00641052"/>
    <w:rsid w:val="006412E9"/>
    <w:rsid w:val="00642731"/>
    <w:rsid w:val="00646795"/>
    <w:rsid w:val="00651A08"/>
    <w:rsid w:val="0065439F"/>
    <w:rsid w:val="006602CA"/>
    <w:rsid w:val="00663C88"/>
    <w:rsid w:val="006648EF"/>
    <w:rsid w:val="00673867"/>
    <w:rsid w:val="00674741"/>
    <w:rsid w:val="0068087F"/>
    <w:rsid w:val="006823EF"/>
    <w:rsid w:val="006843AB"/>
    <w:rsid w:val="006854D0"/>
    <w:rsid w:val="0068592B"/>
    <w:rsid w:val="006861D8"/>
    <w:rsid w:val="00686720"/>
    <w:rsid w:val="00690F77"/>
    <w:rsid w:val="00697A1C"/>
    <w:rsid w:val="006A03DA"/>
    <w:rsid w:val="006A2FB2"/>
    <w:rsid w:val="006A5A64"/>
    <w:rsid w:val="006C0676"/>
    <w:rsid w:val="006C3C47"/>
    <w:rsid w:val="006D129E"/>
    <w:rsid w:val="006D3AC9"/>
    <w:rsid w:val="006D6EA5"/>
    <w:rsid w:val="006E69C1"/>
    <w:rsid w:val="006E76CD"/>
    <w:rsid w:val="00702548"/>
    <w:rsid w:val="00707995"/>
    <w:rsid w:val="00722064"/>
    <w:rsid w:val="00722FE3"/>
    <w:rsid w:val="007240A4"/>
    <w:rsid w:val="00724C6B"/>
    <w:rsid w:val="00727888"/>
    <w:rsid w:val="0072796D"/>
    <w:rsid w:val="0073267D"/>
    <w:rsid w:val="00740BAE"/>
    <w:rsid w:val="007428B1"/>
    <w:rsid w:val="00743711"/>
    <w:rsid w:val="0075192C"/>
    <w:rsid w:val="00756916"/>
    <w:rsid w:val="0075740C"/>
    <w:rsid w:val="007663CB"/>
    <w:rsid w:val="0077024E"/>
    <w:rsid w:val="00772C67"/>
    <w:rsid w:val="00774A5C"/>
    <w:rsid w:val="00775D81"/>
    <w:rsid w:val="00776706"/>
    <w:rsid w:val="0078274B"/>
    <w:rsid w:val="0078411D"/>
    <w:rsid w:val="00785EB0"/>
    <w:rsid w:val="00786897"/>
    <w:rsid w:val="00787B1A"/>
    <w:rsid w:val="00796173"/>
    <w:rsid w:val="007A2197"/>
    <w:rsid w:val="007A2595"/>
    <w:rsid w:val="007A2A44"/>
    <w:rsid w:val="007B17F0"/>
    <w:rsid w:val="007B2A1B"/>
    <w:rsid w:val="007B5ACE"/>
    <w:rsid w:val="007C735B"/>
    <w:rsid w:val="007D3BCF"/>
    <w:rsid w:val="007D50E7"/>
    <w:rsid w:val="007D5BEA"/>
    <w:rsid w:val="007D660F"/>
    <w:rsid w:val="007E234C"/>
    <w:rsid w:val="007E2C21"/>
    <w:rsid w:val="007E2EEB"/>
    <w:rsid w:val="007E31BC"/>
    <w:rsid w:val="007E509F"/>
    <w:rsid w:val="007F03C5"/>
    <w:rsid w:val="007F4F37"/>
    <w:rsid w:val="007F5053"/>
    <w:rsid w:val="007F6F5F"/>
    <w:rsid w:val="0080477F"/>
    <w:rsid w:val="00804B4B"/>
    <w:rsid w:val="008107CC"/>
    <w:rsid w:val="00812B94"/>
    <w:rsid w:val="008138CF"/>
    <w:rsid w:val="00813F11"/>
    <w:rsid w:val="00814C5D"/>
    <w:rsid w:val="008157E7"/>
    <w:rsid w:val="00820CB8"/>
    <w:rsid w:val="00821E48"/>
    <w:rsid w:val="00824D87"/>
    <w:rsid w:val="008250D3"/>
    <w:rsid w:val="008275A9"/>
    <w:rsid w:val="00830FD0"/>
    <w:rsid w:val="0083290D"/>
    <w:rsid w:val="0083499E"/>
    <w:rsid w:val="0084100C"/>
    <w:rsid w:val="00842314"/>
    <w:rsid w:val="00846D05"/>
    <w:rsid w:val="00851864"/>
    <w:rsid w:val="0086045D"/>
    <w:rsid w:val="00861F77"/>
    <w:rsid w:val="0086261A"/>
    <w:rsid w:val="008659F0"/>
    <w:rsid w:val="00865A07"/>
    <w:rsid w:val="008817E1"/>
    <w:rsid w:val="00884940"/>
    <w:rsid w:val="00885266"/>
    <w:rsid w:val="0089335A"/>
    <w:rsid w:val="008944DF"/>
    <w:rsid w:val="00897BB6"/>
    <w:rsid w:val="008A1C6C"/>
    <w:rsid w:val="008A3B98"/>
    <w:rsid w:val="008A441C"/>
    <w:rsid w:val="008A4AFE"/>
    <w:rsid w:val="008A5893"/>
    <w:rsid w:val="008B0D69"/>
    <w:rsid w:val="008B1D83"/>
    <w:rsid w:val="008B2DDA"/>
    <w:rsid w:val="008B36E1"/>
    <w:rsid w:val="008B4001"/>
    <w:rsid w:val="008B5565"/>
    <w:rsid w:val="008C1FDE"/>
    <w:rsid w:val="008C34C4"/>
    <w:rsid w:val="008D0A90"/>
    <w:rsid w:val="008D7C88"/>
    <w:rsid w:val="008E1AE1"/>
    <w:rsid w:val="008E3C35"/>
    <w:rsid w:val="008E5EC1"/>
    <w:rsid w:val="008F0FDA"/>
    <w:rsid w:val="008F2332"/>
    <w:rsid w:val="008F4EA5"/>
    <w:rsid w:val="008F5AA7"/>
    <w:rsid w:val="008F7B55"/>
    <w:rsid w:val="00901292"/>
    <w:rsid w:val="00902709"/>
    <w:rsid w:val="00903D8F"/>
    <w:rsid w:val="00903E64"/>
    <w:rsid w:val="0090492E"/>
    <w:rsid w:val="00911D0C"/>
    <w:rsid w:val="00916567"/>
    <w:rsid w:val="00921F00"/>
    <w:rsid w:val="009232D6"/>
    <w:rsid w:val="00925A8B"/>
    <w:rsid w:val="0092667C"/>
    <w:rsid w:val="009271B4"/>
    <w:rsid w:val="00927859"/>
    <w:rsid w:val="009332B3"/>
    <w:rsid w:val="00941E8A"/>
    <w:rsid w:val="0094462A"/>
    <w:rsid w:val="00951FDF"/>
    <w:rsid w:val="009625BE"/>
    <w:rsid w:val="0096373C"/>
    <w:rsid w:val="0096636F"/>
    <w:rsid w:val="00971110"/>
    <w:rsid w:val="00973B5D"/>
    <w:rsid w:val="0097506D"/>
    <w:rsid w:val="00980691"/>
    <w:rsid w:val="00987E6A"/>
    <w:rsid w:val="009902B1"/>
    <w:rsid w:val="00990923"/>
    <w:rsid w:val="009928F0"/>
    <w:rsid w:val="00993A89"/>
    <w:rsid w:val="009B1BA6"/>
    <w:rsid w:val="009B1DA3"/>
    <w:rsid w:val="009B3124"/>
    <w:rsid w:val="009B78EF"/>
    <w:rsid w:val="009C2A3B"/>
    <w:rsid w:val="009C3E91"/>
    <w:rsid w:val="009C5F75"/>
    <w:rsid w:val="009D0825"/>
    <w:rsid w:val="009E2FC1"/>
    <w:rsid w:val="009E637B"/>
    <w:rsid w:val="009F400E"/>
    <w:rsid w:val="009F51C8"/>
    <w:rsid w:val="009F6241"/>
    <w:rsid w:val="00A02983"/>
    <w:rsid w:val="00A03A71"/>
    <w:rsid w:val="00A0720B"/>
    <w:rsid w:val="00A1474C"/>
    <w:rsid w:val="00A16E6D"/>
    <w:rsid w:val="00A20FD2"/>
    <w:rsid w:val="00A301F9"/>
    <w:rsid w:val="00A30940"/>
    <w:rsid w:val="00A35212"/>
    <w:rsid w:val="00A37354"/>
    <w:rsid w:val="00A42BC7"/>
    <w:rsid w:val="00A43D2C"/>
    <w:rsid w:val="00A45416"/>
    <w:rsid w:val="00A45B4D"/>
    <w:rsid w:val="00A45DE0"/>
    <w:rsid w:val="00A55672"/>
    <w:rsid w:val="00A5714F"/>
    <w:rsid w:val="00A6270A"/>
    <w:rsid w:val="00A6311B"/>
    <w:rsid w:val="00A66CB3"/>
    <w:rsid w:val="00A67529"/>
    <w:rsid w:val="00A70AB7"/>
    <w:rsid w:val="00A77A60"/>
    <w:rsid w:val="00A77BFD"/>
    <w:rsid w:val="00A81E5F"/>
    <w:rsid w:val="00A83854"/>
    <w:rsid w:val="00A846A7"/>
    <w:rsid w:val="00A87F94"/>
    <w:rsid w:val="00A92898"/>
    <w:rsid w:val="00A93163"/>
    <w:rsid w:val="00A93904"/>
    <w:rsid w:val="00A962E1"/>
    <w:rsid w:val="00A97A6D"/>
    <w:rsid w:val="00A97D20"/>
    <w:rsid w:val="00AA1143"/>
    <w:rsid w:val="00AA4105"/>
    <w:rsid w:val="00AA52F2"/>
    <w:rsid w:val="00AA7DF8"/>
    <w:rsid w:val="00AB0144"/>
    <w:rsid w:val="00AB21C3"/>
    <w:rsid w:val="00AB53E0"/>
    <w:rsid w:val="00AB62A4"/>
    <w:rsid w:val="00AC3483"/>
    <w:rsid w:val="00AC3F79"/>
    <w:rsid w:val="00AC66A0"/>
    <w:rsid w:val="00AC69D9"/>
    <w:rsid w:val="00AD00E5"/>
    <w:rsid w:val="00AD0565"/>
    <w:rsid w:val="00AE2FE3"/>
    <w:rsid w:val="00AE64E5"/>
    <w:rsid w:val="00AF0A26"/>
    <w:rsid w:val="00AF0EF4"/>
    <w:rsid w:val="00AF3D47"/>
    <w:rsid w:val="00AF49CF"/>
    <w:rsid w:val="00AF4F95"/>
    <w:rsid w:val="00B0074F"/>
    <w:rsid w:val="00B032C7"/>
    <w:rsid w:val="00B13DE9"/>
    <w:rsid w:val="00B16D70"/>
    <w:rsid w:val="00B20C7A"/>
    <w:rsid w:val="00B23F83"/>
    <w:rsid w:val="00B258AC"/>
    <w:rsid w:val="00B3475D"/>
    <w:rsid w:val="00B47AC7"/>
    <w:rsid w:val="00B5417C"/>
    <w:rsid w:val="00B55CF3"/>
    <w:rsid w:val="00B5701C"/>
    <w:rsid w:val="00B57053"/>
    <w:rsid w:val="00B70E98"/>
    <w:rsid w:val="00B719B4"/>
    <w:rsid w:val="00B7218C"/>
    <w:rsid w:val="00B73ADA"/>
    <w:rsid w:val="00B74FF7"/>
    <w:rsid w:val="00B75144"/>
    <w:rsid w:val="00B811F0"/>
    <w:rsid w:val="00B91B4F"/>
    <w:rsid w:val="00B95453"/>
    <w:rsid w:val="00BA412F"/>
    <w:rsid w:val="00BA5079"/>
    <w:rsid w:val="00BB01B6"/>
    <w:rsid w:val="00BB1298"/>
    <w:rsid w:val="00BC6535"/>
    <w:rsid w:val="00BC67B8"/>
    <w:rsid w:val="00BD362A"/>
    <w:rsid w:val="00BD5A16"/>
    <w:rsid w:val="00BD6712"/>
    <w:rsid w:val="00BE0A7C"/>
    <w:rsid w:val="00BE31AF"/>
    <w:rsid w:val="00BE3B63"/>
    <w:rsid w:val="00BE6A5E"/>
    <w:rsid w:val="00BE7D50"/>
    <w:rsid w:val="00BF0A1C"/>
    <w:rsid w:val="00BF58EA"/>
    <w:rsid w:val="00BF5D9D"/>
    <w:rsid w:val="00C046B2"/>
    <w:rsid w:val="00C05452"/>
    <w:rsid w:val="00C1502E"/>
    <w:rsid w:val="00C2154F"/>
    <w:rsid w:val="00C24098"/>
    <w:rsid w:val="00C25128"/>
    <w:rsid w:val="00C27AC5"/>
    <w:rsid w:val="00C317BE"/>
    <w:rsid w:val="00C326CF"/>
    <w:rsid w:val="00C401DA"/>
    <w:rsid w:val="00C40536"/>
    <w:rsid w:val="00C433E9"/>
    <w:rsid w:val="00C43D25"/>
    <w:rsid w:val="00C452FA"/>
    <w:rsid w:val="00C506F9"/>
    <w:rsid w:val="00C50738"/>
    <w:rsid w:val="00C52922"/>
    <w:rsid w:val="00C52D04"/>
    <w:rsid w:val="00C5509C"/>
    <w:rsid w:val="00C5629A"/>
    <w:rsid w:val="00C64F75"/>
    <w:rsid w:val="00C65F54"/>
    <w:rsid w:val="00C66A87"/>
    <w:rsid w:val="00C66F9D"/>
    <w:rsid w:val="00C703A2"/>
    <w:rsid w:val="00C74D81"/>
    <w:rsid w:val="00C75302"/>
    <w:rsid w:val="00C83CC4"/>
    <w:rsid w:val="00C9013A"/>
    <w:rsid w:val="00C91971"/>
    <w:rsid w:val="00C91A01"/>
    <w:rsid w:val="00CA0099"/>
    <w:rsid w:val="00CA5809"/>
    <w:rsid w:val="00CB10A4"/>
    <w:rsid w:val="00CB3E70"/>
    <w:rsid w:val="00CB4F58"/>
    <w:rsid w:val="00CC1BBC"/>
    <w:rsid w:val="00CC2D58"/>
    <w:rsid w:val="00CC5010"/>
    <w:rsid w:val="00CD2031"/>
    <w:rsid w:val="00CD2102"/>
    <w:rsid w:val="00CD3459"/>
    <w:rsid w:val="00CE0884"/>
    <w:rsid w:val="00CE22F3"/>
    <w:rsid w:val="00CE52CC"/>
    <w:rsid w:val="00CE7B1D"/>
    <w:rsid w:val="00CF0AE9"/>
    <w:rsid w:val="00CF1B49"/>
    <w:rsid w:val="00CF490C"/>
    <w:rsid w:val="00CF5265"/>
    <w:rsid w:val="00D0364C"/>
    <w:rsid w:val="00D03C9D"/>
    <w:rsid w:val="00D10065"/>
    <w:rsid w:val="00D165B8"/>
    <w:rsid w:val="00D167D3"/>
    <w:rsid w:val="00D17E80"/>
    <w:rsid w:val="00D2335F"/>
    <w:rsid w:val="00D279E4"/>
    <w:rsid w:val="00D30A16"/>
    <w:rsid w:val="00D30BFA"/>
    <w:rsid w:val="00D3175E"/>
    <w:rsid w:val="00D36F1B"/>
    <w:rsid w:val="00D44C5A"/>
    <w:rsid w:val="00D479C7"/>
    <w:rsid w:val="00D51EAB"/>
    <w:rsid w:val="00D57E84"/>
    <w:rsid w:val="00D731E5"/>
    <w:rsid w:val="00D74A45"/>
    <w:rsid w:val="00D76115"/>
    <w:rsid w:val="00D77868"/>
    <w:rsid w:val="00D810D6"/>
    <w:rsid w:val="00D81975"/>
    <w:rsid w:val="00D82487"/>
    <w:rsid w:val="00D83CA6"/>
    <w:rsid w:val="00D908BC"/>
    <w:rsid w:val="00D94586"/>
    <w:rsid w:val="00D94D32"/>
    <w:rsid w:val="00D95983"/>
    <w:rsid w:val="00DA0B60"/>
    <w:rsid w:val="00DA202F"/>
    <w:rsid w:val="00DA270E"/>
    <w:rsid w:val="00DA400D"/>
    <w:rsid w:val="00DB1E49"/>
    <w:rsid w:val="00DB3923"/>
    <w:rsid w:val="00DB44C3"/>
    <w:rsid w:val="00DB4D7A"/>
    <w:rsid w:val="00DB7C58"/>
    <w:rsid w:val="00DC5294"/>
    <w:rsid w:val="00DC7C0F"/>
    <w:rsid w:val="00DD6BF4"/>
    <w:rsid w:val="00DE065D"/>
    <w:rsid w:val="00DE186E"/>
    <w:rsid w:val="00DE33D4"/>
    <w:rsid w:val="00DE38F9"/>
    <w:rsid w:val="00DE5B35"/>
    <w:rsid w:val="00DE65FE"/>
    <w:rsid w:val="00DF1339"/>
    <w:rsid w:val="00DF272F"/>
    <w:rsid w:val="00DF2E30"/>
    <w:rsid w:val="00DF5800"/>
    <w:rsid w:val="00E01A88"/>
    <w:rsid w:val="00E01E9A"/>
    <w:rsid w:val="00E02274"/>
    <w:rsid w:val="00E07804"/>
    <w:rsid w:val="00E10749"/>
    <w:rsid w:val="00E10E1D"/>
    <w:rsid w:val="00E11169"/>
    <w:rsid w:val="00E12F9A"/>
    <w:rsid w:val="00E13729"/>
    <w:rsid w:val="00E17381"/>
    <w:rsid w:val="00E26B16"/>
    <w:rsid w:val="00E301BB"/>
    <w:rsid w:val="00E31A80"/>
    <w:rsid w:val="00E37ACB"/>
    <w:rsid w:val="00E41FBF"/>
    <w:rsid w:val="00E441E2"/>
    <w:rsid w:val="00E44564"/>
    <w:rsid w:val="00E445DD"/>
    <w:rsid w:val="00E474FB"/>
    <w:rsid w:val="00E5187E"/>
    <w:rsid w:val="00E64379"/>
    <w:rsid w:val="00E64F3A"/>
    <w:rsid w:val="00E70A6A"/>
    <w:rsid w:val="00E71391"/>
    <w:rsid w:val="00E725C2"/>
    <w:rsid w:val="00E731EE"/>
    <w:rsid w:val="00E77144"/>
    <w:rsid w:val="00E826FE"/>
    <w:rsid w:val="00E908CF"/>
    <w:rsid w:val="00E946C3"/>
    <w:rsid w:val="00E97883"/>
    <w:rsid w:val="00EA0EF2"/>
    <w:rsid w:val="00EA5212"/>
    <w:rsid w:val="00EA61D2"/>
    <w:rsid w:val="00EA7C91"/>
    <w:rsid w:val="00EB3969"/>
    <w:rsid w:val="00EB509E"/>
    <w:rsid w:val="00EB7CDD"/>
    <w:rsid w:val="00EC0987"/>
    <w:rsid w:val="00EC0D6C"/>
    <w:rsid w:val="00EC10D7"/>
    <w:rsid w:val="00EC1832"/>
    <w:rsid w:val="00EC35D5"/>
    <w:rsid w:val="00EC4A8A"/>
    <w:rsid w:val="00EC4D0C"/>
    <w:rsid w:val="00EC52C7"/>
    <w:rsid w:val="00ED351B"/>
    <w:rsid w:val="00ED49D4"/>
    <w:rsid w:val="00ED576E"/>
    <w:rsid w:val="00ED6AB5"/>
    <w:rsid w:val="00ED70E8"/>
    <w:rsid w:val="00ED7D8C"/>
    <w:rsid w:val="00EE0F7B"/>
    <w:rsid w:val="00EE194A"/>
    <w:rsid w:val="00EE3356"/>
    <w:rsid w:val="00EE40BD"/>
    <w:rsid w:val="00EE46DA"/>
    <w:rsid w:val="00EE6322"/>
    <w:rsid w:val="00EF0604"/>
    <w:rsid w:val="00EF1997"/>
    <w:rsid w:val="00EF42B6"/>
    <w:rsid w:val="00F0536A"/>
    <w:rsid w:val="00F13951"/>
    <w:rsid w:val="00F14590"/>
    <w:rsid w:val="00F20240"/>
    <w:rsid w:val="00F227C7"/>
    <w:rsid w:val="00F310E9"/>
    <w:rsid w:val="00F3276A"/>
    <w:rsid w:val="00F4208E"/>
    <w:rsid w:val="00F42E03"/>
    <w:rsid w:val="00F45453"/>
    <w:rsid w:val="00F458C4"/>
    <w:rsid w:val="00F471C7"/>
    <w:rsid w:val="00F61D90"/>
    <w:rsid w:val="00F62D24"/>
    <w:rsid w:val="00F637D5"/>
    <w:rsid w:val="00F6418B"/>
    <w:rsid w:val="00F668D7"/>
    <w:rsid w:val="00F73237"/>
    <w:rsid w:val="00F73B7E"/>
    <w:rsid w:val="00F8216A"/>
    <w:rsid w:val="00F90744"/>
    <w:rsid w:val="00F914BB"/>
    <w:rsid w:val="00F96E05"/>
    <w:rsid w:val="00FB02A9"/>
    <w:rsid w:val="00FB037D"/>
    <w:rsid w:val="00FB187D"/>
    <w:rsid w:val="00FB3B5F"/>
    <w:rsid w:val="00FB4B06"/>
    <w:rsid w:val="00FB583D"/>
    <w:rsid w:val="00FC00EE"/>
    <w:rsid w:val="00FC1796"/>
    <w:rsid w:val="00FC4A2A"/>
    <w:rsid w:val="00FC4DFC"/>
    <w:rsid w:val="00FC7E1A"/>
    <w:rsid w:val="00FD2DF6"/>
    <w:rsid w:val="00FD42C3"/>
    <w:rsid w:val="00FE0CAF"/>
    <w:rsid w:val="00FE139C"/>
    <w:rsid w:val="00FE16BB"/>
    <w:rsid w:val="00FE2921"/>
    <w:rsid w:val="00FE65AA"/>
    <w:rsid w:val="00FE7E34"/>
    <w:rsid w:val="00FF0C17"/>
    <w:rsid w:val="00FF22C7"/>
    <w:rsid w:val="00FF4E8C"/>
    <w:rsid w:val="00FF5C6E"/>
    <w:rsid w:val="00FF62A5"/>
    <w:rsid w:val="01086AC0"/>
    <w:rsid w:val="012845F2"/>
    <w:rsid w:val="0138268E"/>
    <w:rsid w:val="01395B91"/>
    <w:rsid w:val="014519A3"/>
    <w:rsid w:val="0170606B"/>
    <w:rsid w:val="019A2CDA"/>
    <w:rsid w:val="01E76FAE"/>
    <w:rsid w:val="01EA2131"/>
    <w:rsid w:val="01F2533F"/>
    <w:rsid w:val="02063FE0"/>
    <w:rsid w:val="020846A3"/>
    <w:rsid w:val="02285819"/>
    <w:rsid w:val="02393535"/>
    <w:rsid w:val="024A1251"/>
    <w:rsid w:val="02582765"/>
    <w:rsid w:val="02796C38"/>
    <w:rsid w:val="028710B6"/>
    <w:rsid w:val="02875833"/>
    <w:rsid w:val="028B4239"/>
    <w:rsid w:val="02930D16"/>
    <w:rsid w:val="02F32963"/>
    <w:rsid w:val="034339E7"/>
    <w:rsid w:val="03441469"/>
    <w:rsid w:val="034443F1"/>
    <w:rsid w:val="03724537"/>
    <w:rsid w:val="03897016"/>
    <w:rsid w:val="038A635A"/>
    <w:rsid w:val="038C5873"/>
    <w:rsid w:val="0391168B"/>
    <w:rsid w:val="0395216D"/>
    <w:rsid w:val="039C537B"/>
    <w:rsid w:val="03BB5C30"/>
    <w:rsid w:val="03F8561C"/>
    <w:rsid w:val="03FB5394"/>
    <w:rsid w:val="043C7483"/>
    <w:rsid w:val="04485493"/>
    <w:rsid w:val="04647342"/>
    <w:rsid w:val="04682F74"/>
    <w:rsid w:val="04822175"/>
    <w:rsid w:val="048F148B"/>
    <w:rsid w:val="04A02286"/>
    <w:rsid w:val="04B86DCC"/>
    <w:rsid w:val="04BF379F"/>
    <w:rsid w:val="04C26B40"/>
    <w:rsid w:val="04C32BDF"/>
    <w:rsid w:val="04C603A8"/>
    <w:rsid w:val="04D7187F"/>
    <w:rsid w:val="04D94D82"/>
    <w:rsid w:val="051416E4"/>
    <w:rsid w:val="054B283E"/>
    <w:rsid w:val="0550660A"/>
    <w:rsid w:val="055B5E8C"/>
    <w:rsid w:val="055B78DA"/>
    <w:rsid w:val="0583779A"/>
    <w:rsid w:val="05852C9D"/>
    <w:rsid w:val="05983EBC"/>
    <w:rsid w:val="05B47F69"/>
    <w:rsid w:val="05C40203"/>
    <w:rsid w:val="05D63757"/>
    <w:rsid w:val="05EA4BBF"/>
    <w:rsid w:val="05EF315A"/>
    <w:rsid w:val="05F42F51"/>
    <w:rsid w:val="062937AB"/>
    <w:rsid w:val="06374CBF"/>
    <w:rsid w:val="067B06C6"/>
    <w:rsid w:val="068723C4"/>
    <w:rsid w:val="06C4176A"/>
    <w:rsid w:val="06D432E7"/>
    <w:rsid w:val="06E3065B"/>
    <w:rsid w:val="06E31591"/>
    <w:rsid w:val="06FE6C86"/>
    <w:rsid w:val="06FF4708"/>
    <w:rsid w:val="0729554C"/>
    <w:rsid w:val="073A7FEB"/>
    <w:rsid w:val="074D5F01"/>
    <w:rsid w:val="075F3828"/>
    <w:rsid w:val="077A5458"/>
    <w:rsid w:val="07B23AD9"/>
    <w:rsid w:val="07B27A2E"/>
    <w:rsid w:val="07E14CFA"/>
    <w:rsid w:val="07EA340B"/>
    <w:rsid w:val="07EE2C85"/>
    <w:rsid w:val="07EE658E"/>
    <w:rsid w:val="07EF3B23"/>
    <w:rsid w:val="07FA5213"/>
    <w:rsid w:val="080674B8"/>
    <w:rsid w:val="080A5EBF"/>
    <w:rsid w:val="08115849"/>
    <w:rsid w:val="081D4EDF"/>
    <w:rsid w:val="081E4B5F"/>
    <w:rsid w:val="08641A50"/>
    <w:rsid w:val="086552D4"/>
    <w:rsid w:val="08976DA7"/>
    <w:rsid w:val="08BC4531"/>
    <w:rsid w:val="08C73A8C"/>
    <w:rsid w:val="08D5688C"/>
    <w:rsid w:val="08F12939"/>
    <w:rsid w:val="09050131"/>
    <w:rsid w:val="0919607C"/>
    <w:rsid w:val="09207C05"/>
    <w:rsid w:val="093B33DC"/>
    <w:rsid w:val="09822228"/>
    <w:rsid w:val="098B72B4"/>
    <w:rsid w:val="09B410AA"/>
    <w:rsid w:val="09B5199D"/>
    <w:rsid w:val="09BF4267"/>
    <w:rsid w:val="09C661EE"/>
    <w:rsid w:val="09C94B9B"/>
    <w:rsid w:val="09CB187F"/>
    <w:rsid w:val="09FD30DD"/>
    <w:rsid w:val="0A2C6E3E"/>
    <w:rsid w:val="0A492AD1"/>
    <w:rsid w:val="0A6F0BAC"/>
    <w:rsid w:val="0A841E0C"/>
    <w:rsid w:val="0AAC68B2"/>
    <w:rsid w:val="0AB02221"/>
    <w:rsid w:val="0ABB3B6B"/>
    <w:rsid w:val="0ABE53C2"/>
    <w:rsid w:val="0AD0794C"/>
    <w:rsid w:val="0AFF4658"/>
    <w:rsid w:val="0B044923"/>
    <w:rsid w:val="0B11176E"/>
    <w:rsid w:val="0B225CA5"/>
    <w:rsid w:val="0B542123"/>
    <w:rsid w:val="0B624CBC"/>
    <w:rsid w:val="0B713C52"/>
    <w:rsid w:val="0B7C7A64"/>
    <w:rsid w:val="0BA047A1"/>
    <w:rsid w:val="0BA431A7"/>
    <w:rsid w:val="0BB6443A"/>
    <w:rsid w:val="0BB9314C"/>
    <w:rsid w:val="0BCC0AE8"/>
    <w:rsid w:val="0BE0558A"/>
    <w:rsid w:val="0BFE4B3A"/>
    <w:rsid w:val="0C040C3B"/>
    <w:rsid w:val="0C051F47"/>
    <w:rsid w:val="0C07544A"/>
    <w:rsid w:val="0C076962"/>
    <w:rsid w:val="0C154760"/>
    <w:rsid w:val="0C26247C"/>
    <w:rsid w:val="0C293400"/>
    <w:rsid w:val="0C3F0E27"/>
    <w:rsid w:val="0CBC3C74"/>
    <w:rsid w:val="0CC100FC"/>
    <w:rsid w:val="0CCC648D"/>
    <w:rsid w:val="0CF55810"/>
    <w:rsid w:val="0D141552"/>
    <w:rsid w:val="0D24239E"/>
    <w:rsid w:val="0D294247"/>
    <w:rsid w:val="0D39103F"/>
    <w:rsid w:val="0D3F2E72"/>
    <w:rsid w:val="0D4C225E"/>
    <w:rsid w:val="0D732BFC"/>
    <w:rsid w:val="0DBA6115"/>
    <w:rsid w:val="0DDD3D4B"/>
    <w:rsid w:val="0E2E2851"/>
    <w:rsid w:val="0E3C751E"/>
    <w:rsid w:val="0E4272F3"/>
    <w:rsid w:val="0E4A2181"/>
    <w:rsid w:val="0E524A4B"/>
    <w:rsid w:val="0E627828"/>
    <w:rsid w:val="0E6F4A2E"/>
    <w:rsid w:val="0E8335E0"/>
    <w:rsid w:val="0EA0510E"/>
    <w:rsid w:val="0EA3280F"/>
    <w:rsid w:val="0EB12E2A"/>
    <w:rsid w:val="0EE15B77"/>
    <w:rsid w:val="0F0E1EBF"/>
    <w:rsid w:val="0F1727CE"/>
    <w:rsid w:val="0F27086A"/>
    <w:rsid w:val="0F65034F"/>
    <w:rsid w:val="0F7C472C"/>
    <w:rsid w:val="0F817C7F"/>
    <w:rsid w:val="0F88760A"/>
    <w:rsid w:val="0F8F6F95"/>
    <w:rsid w:val="0FF024B1"/>
    <w:rsid w:val="100A68DF"/>
    <w:rsid w:val="10142A71"/>
    <w:rsid w:val="10234FF5"/>
    <w:rsid w:val="102C333C"/>
    <w:rsid w:val="102F109D"/>
    <w:rsid w:val="10534754"/>
    <w:rsid w:val="105A40DF"/>
    <w:rsid w:val="10797C08"/>
    <w:rsid w:val="10832D25"/>
    <w:rsid w:val="10B9797C"/>
    <w:rsid w:val="10E0563D"/>
    <w:rsid w:val="10E243C3"/>
    <w:rsid w:val="10E93D4E"/>
    <w:rsid w:val="10F13359"/>
    <w:rsid w:val="10F62ECD"/>
    <w:rsid w:val="11076C1F"/>
    <w:rsid w:val="113D42B9"/>
    <w:rsid w:val="11620195"/>
    <w:rsid w:val="116346E5"/>
    <w:rsid w:val="11666B9B"/>
    <w:rsid w:val="11803EC2"/>
    <w:rsid w:val="118328C8"/>
    <w:rsid w:val="11915461"/>
    <w:rsid w:val="11A0255B"/>
    <w:rsid w:val="11BF7B26"/>
    <w:rsid w:val="11C87B39"/>
    <w:rsid w:val="11DF21EE"/>
    <w:rsid w:val="12185560"/>
    <w:rsid w:val="12450F24"/>
    <w:rsid w:val="128A347A"/>
    <w:rsid w:val="129D4699"/>
    <w:rsid w:val="12E3738C"/>
    <w:rsid w:val="130917CA"/>
    <w:rsid w:val="13103CCD"/>
    <w:rsid w:val="132475F9"/>
    <w:rsid w:val="138A779A"/>
    <w:rsid w:val="138E6D99"/>
    <w:rsid w:val="139E543D"/>
    <w:rsid w:val="13B60ABD"/>
    <w:rsid w:val="13FE555A"/>
    <w:rsid w:val="140E1078"/>
    <w:rsid w:val="14173F06"/>
    <w:rsid w:val="1425408F"/>
    <w:rsid w:val="143A1B3C"/>
    <w:rsid w:val="143F2CAE"/>
    <w:rsid w:val="14740A1C"/>
    <w:rsid w:val="148235B5"/>
    <w:rsid w:val="148A2BC0"/>
    <w:rsid w:val="148F7048"/>
    <w:rsid w:val="1490034C"/>
    <w:rsid w:val="1491254B"/>
    <w:rsid w:val="14C10B1B"/>
    <w:rsid w:val="14D342B9"/>
    <w:rsid w:val="14DA74C7"/>
    <w:rsid w:val="14DF394F"/>
    <w:rsid w:val="14E135CF"/>
    <w:rsid w:val="14E67A56"/>
    <w:rsid w:val="14E70D5B"/>
    <w:rsid w:val="15617D7E"/>
    <w:rsid w:val="157250BC"/>
    <w:rsid w:val="15782848"/>
    <w:rsid w:val="15811E53"/>
    <w:rsid w:val="15930E74"/>
    <w:rsid w:val="159C41BD"/>
    <w:rsid w:val="159E7205"/>
    <w:rsid w:val="15AF07A4"/>
    <w:rsid w:val="15B44C2C"/>
    <w:rsid w:val="15B526AD"/>
    <w:rsid w:val="15C838CC"/>
    <w:rsid w:val="15D346A7"/>
    <w:rsid w:val="15E20BF3"/>
    <w:rsid w:val="16012630"/>
    <w:rsid w:val="160349AB"/>
    <w:rsid w:val="16404B2F"/>
    <w:rsid w:val="16563130"/>
    <w:rsid w:val="16755CA4"/>
    <w:rsid w:val="168E0424"/>
    <w:rsid w:val="16A67A37"/>
    <w:rsid w:val="16BC6358"/>
    <w:rsid w:val="16C47872"/>
    <w:rsid w:val="16CC39B3"/>
    <w:rsid w:val="16E52D9F"/>
    <w:rsid w:val="16EF1130"/>
    <w:rsid w:val="16FE7ABD"/>
    <w:rsid w:val="17041FCF"/>
    <w:rsid w:val="17074E99"/>
    <w:rsid w:val="17091918"/>
    <w:rsid w:val="17170CFE"/>
    <w:rsid w:val="172376F0"/>
    <w:rsid w:val="17336B5B"/>
    <w:rsid w:val="17494CC2"/>
    <w:rsid w:val="176435AF"/>
    <w:rsid w:val="17730085"/>
    <w:rsid w:val="177C4845"/>
    <w:rsid w:val="17DFA53C"/>
    <w:rsid w:val="17F434BD"/>
    <w:rsid w:val="17FA2A35"/>
    <w:rsid w:val="18116C89"/>
    <w:rsid w:val="18191B17"/>
    <w:rsid w:val="18232427"/>
    <w:rsid w:val="18254704"/>
    <w:rsid w:val="183171BE"/>
    <w:rsid w:val="18546479"/>
    <w:rsid w:val="1862578F"/>
    <w:rsid w:val="187916DA"/>
    <w:rsid w:val="18AA3680"/>
    <w:rsid w:val="18C57A32"/>
    <w:rsid w:val="18DB1BD5"/>
    <w:rsid w:val="18EE537C"/>
    <w:rsid w:val="190776E2"/>
    <w:rsid w:val="191A5E87"/>
    <w:rsid w:val="19476D06"/>
    <w:rsid w:val="199003FF"/>
    <w:rsid w:val="19A75E26"/>
    <w:rsid w:val="19C41B53"/>
    <w:rsid w:val="19C9185E"/>
    <w:rsid w:val="19EB584A"/>
    <w:rsid w:val="19F43864"/>
    <w:rsid w:val="1A384090"/>
    <w:rsid w:val="1A6F586F"/>
    <w:rsid w:val="1A807D07"/>
    <w:rsid w:val="1AB65028"/>
    <w:rsid w:val="1AC7047C"/>
    <w:rsid w:val="1ACE62BE"/>
    <w:rsid w:val="1AD81A1B"/>
    <w:rsid w:val="1AE24BA3"/>
    <w:rsid w:val="1AF57CC6"/>
    <w:rsid w:val="1B0B1E6A"/>
    <w:rsid w:val="1B1F0B0A"/>
    <w:rsid w:val="1B3B3CBE"/>
    <w:rsid w:val="1B437B0F"/>
    <w:rsid w:val="1B46656F"/>
    <w:rsid w:val="1B4F5986"/>
    <w:rsid w:val="1B61067A"/>
    <w:rsid w:val="1B664818"/>
    <w:rsid w:val="1B723BD2"/>
    <w:rsid w:val="1B9D4C5C"/>
    <w:rsid w:val="1BA729A4"/>
    <w:rsid w:val="1BA9772A"/>
    <w:rsid w:val="1BBF2C12"/>
    <w:rsid w:val="1BC86B43"/>
    <w:rsid w:val="1BCA6A25"/>
    <w:rsid w:val="1BD57373"/>
    <w:rsid w:val="1BDA123E"/>
    <w:rsid w:val="1BF91E02"/>
    <w:rsid w:val="1C082FC4"/>
    <w:rsid w:val="1C163621"/>
    <w:rsid w:val="1C186FDE"/>
    <w:rsid w:val="1C813804"/>
    <w:rsid w:val="1CAB488C"/>
    <w:rsid w:val="1CC85207"/>
    <w:rsid w:val="1CDD55E8"/>
    <w:rsid w:val="1CEE1106"/>
    <w:rsid w:val="1CF33E82"/>
    <w:rsid w:val="1D1744C9"/>
    <w:rsid w:val="1D1C5EE0"/>
    <w:rsid w:val="1D444093"/>
    <w:rsid w:val="1D465018"/>
    <w:rsid w:val="1D4962B1"/>
    <w:rsid w:val="1D4C43AF"/>
    <w:rsid w:val="1D54652C"/>
    <w:rsid w:val="1D6567C6"/>
    <w:rsid w:val="1D67554C"/>
    <w:rsid w:val="1D6951CC"/>
    <w:rsid w:val="1D6A4BD9"/>
    <w:rsid w:val="1D77524A"/>
    <w:rsid w:val="1D890B2A"/>
    <w:rsid w:val="1DAA72BB"/>
    <w:rsid w:val="1DB033C2"/>
    <w:rsid w:val="1DC558E6"/>
    <w:rsid w:val="1DEB7D24"/>
    <w:rsid w:val="1DEC1F22"/>
    <w:rsid w:val="1DF944A6"/>
    <w:rsid w:val="1E027949"/>
    <w:rsid w:val="1E1643EB"/>
    <w:rsid w:val="1E461337"/>
    <w:rsid w:val="1E48483A"/>
    <w:rsid w:val="1E5176C8"/>
    <w:rsid w:val="1E543ED0"/>
    <w:rsid w:val="1E742207"/>
    <w:rsid w:val="1E8C7359"/>
    <w:rsid w:val="1E95493A"/>
    <w:rsid w:val="1EC01001"/>
    <w:rsid w:val="1ED81F2B"/>
    <w:rsid w:val="1EE324BA"/>
    <w:rsid w:val="1F034F6D"/>
    <w:rsid w:val="1F0B4ACE"/>
    <w:rsid w:val="1F2951AD"/>
    <w:rsid w:val="1F3E33EE"/>
    <w:rsid w:val="1F412854"/>
    <w:rsid w:val="1F7675D6"/>
    <w:rsid w:val="1F807DBA"/>
    <w:rsid w:val="1F880A4A"/>
    <w:rsid w:val="1FAC5786"/>
    <w:rsid w:val="1FB0418D"/>
    <w:rsid w:val="1FD77670"/>
    <w:rsid w:val="20305FD5"/>
    <w:rsid w:val="203E6F7B"/>
    <w:rsid w:val="207606D2"/>
    <w:rsid w:val="2089606E"/>
    <w:rsid w:val="20AC1AA6"/>
    <w:rsid w:val="20D63F6F"/>
    <w:rsid w:val="20DB2206"/>
    <w:rsid w:val="20F1259A"/>
    <w:rsid w:val="2119049B"/>
    <w:rsid w:val="21211FB4"/>
    <w:rsid w:val="215A0945"/>
    <w:rsid w:val="21877067"/>
    <w:rsid w:val="21A810FD"/>
    <w:rsid w:val="21AC4ECC"/>
    <w:rsid w:val="21D2510C"/>
    <w:rsid w:val="21E83A2C"/>
    <w:rsid w:val="21F50B43"/>
    <w:rsid w:val="22364E30"/>
    <w:rsid w:val="22451BC7"/>
    <w:rsid w:val="22472B4C"/>
    <w:rsid w:val="226D7508"/>
    <w:rsid w:val="22800DFF"/>
    <w:rsid w:val="22811A2C"/>
    <w:rsid w:val="228C7DBD"/>
    <w:rsid w:val="229D06EB"/>
    <w:rsid w:val="22FF6A77"/>
    <w:rsid w:val="23156A1D"/>
    <w:rsid w:val="233414D0"/>
    <w:rsid w:val="23461B9F"/>
    <w:rsid w:val="23485F72"/>
    <w:rsid w:val="23545B5C"/>
    <w:rsid w:val="23654285"/>
    <w:rsid w:val="23680A25"/>
    <w:rsid w:val="23727F21"/>
    <w:rsid w:val="23A83A0D"/>
    <w:rsid w:val="23A87290"/>
    <w:rsid w:val="24000D54"/>
    <w:rsid w:val="24091012"/>
    <w:rsid w:val="24117BB9"/>
    <w:rsid w:val="24610C3D"/>
    <w:rsid w:val="246D6246"/>
    <w:rsid w:val="248B058C"/>
    <w:rsid w:val="2493685C"/>
    <w:rsid w:val="249E70AD"/>
    <w:rsid w:val="24A43162"/>
    <w:rsid w:val="24B1643E"/>
    <w:rsid w:val="24B351C4"/>
    <w:rsid w:val="24C818E6"/>
    <w:rsid w:val="24CA4DE9"/>
    <w:rsid w:val="24EB0BA1"/>
    <w:rsid w:val="2507796F"/>
    <w:rsid w:val="251B38EF"/>
    <w:rsid w:val="25282C04"/>
    <w:rsid w:val="253C6B5B"/>
    <w:rsid w:val="253F062B"/>
    <w:rsid w:val="25525FC7"/>
    <w:rsid w:val="2568133F"/>
    <w:rsid w:val="2569146F"/>
    <w:rsid w:val="259941BD"/>
    <w:rsid w:val="25A3317C"/>
    <w:rsid w:val="25A45DD1"/>
    <w:rsid w:val="25B07665"/>
    <w:rsid w:val="25C37C96"/>
    <w:rsid w:val="25E12CE2"/>
    <w:rsid w:val="261A1293"/>
    <w:rsid w:val="264E29E7"/>
    <w:rsid w:val="2665260C"/>
    <w:rsid w:val="269478D8"/>
    <w:rsid w:val="26A0722D"/>
    <w:rsid w:val="26A85716"/>
    <w:rsid w:val="26AA787D"/>
    <w:rsid w:val="26DC5ACE"/>
    <w:rsid w:val="26FF1ACA"/>
    <w:rsid w:val="27064377"/>
    <w:rsid w:val="273477E1"/>
    <w:rsid w:val="27516D91"/>
    <w:rsid w:val="2764472D"/>
    <w:rsid w:val="276756B2"/>
    <w:rsid w:val="276F2ABE"/>
    <w:rsid w:val="278A5992"/>
    <w:rsid w:val="27922F76"/>
    <w:rsid w:val="27A40D9A"/>
    <w:rsid w:val="27D07660"/>
    <w:rsid w:val="28007817"/>
    <w:rsid w:val="280258B0"/>
    <w:rsid w:val="280A6540"/>
    <w:rsid w:val="28167DD4"/>
    <w:rsid w:val="28286D18"/>
    <w:rsid w:val="282B0C73"/>
    <w:rsid w:val="28474D20"/>
    <w:rsid w:val="28691DDD"/>
    <w:rsid w:val="288A2311"/>
    <w:rsid w:val="2893469B"/>
    <w:rsid w:val="28A7603E"/>
    <w:rsid w:val="28F4613D"/>
    <w:rsid w:val="29267C11"/>
    <w:rsid w:val="292B01C4"/>
    <w:rsid w:val="293C4333"/>
    <w:rsid w:val="294E7AD1"/>
    <w:rsid w:val="295761E2"/>
    <w:rsid w:val="295F6E86"/>
    <w:rsid w:val="29CF4BA7"/>
    <w:rsid w:val="29D22ED3"/>
    <w:rsid w:val="29D76730"/>
    <w:rsid w:val="29F51563"/>
    <w:rsid w:val="2A070584"/>
    <w:rsid w:val="2A0D248D"/>
    <w:rsid w:val="2A282CB7"/>
    <w:rsid w:val="2A3B6454"/>
    <w:rsid w:val="2A422A6A"/>
    <w:rsid w:val="2A6E59AA"/>
    <w:rsid w:val="2A750012"/>
    <w:rsid w:val="2AB707A1"/>
    <w:rsid w:val="2ADA635E"/>
    <w:rsid w:val="2AE85674"/>
    <w:rsid w:val="2B15743C"/>
    <w:rsid w:val="2B436C87"/>
    <w:rsid w:val="2B4609A9"/>
    <w:rsid w:val="2B62173A"/>
    <w:rsid w:val="2B675BC2"/>
    <w:rsid w:val="2B7779E7"/>
    <w:rsid w:val="2BBB2FE0"/>
    <w:rsid w:val="2BBF78D5"/>
    <w:rsid w:val="2BEA7AC3"/>
    <w:rsid w:val="2C200BF3"/>
    <w:rsid w:val="2C40347B"/>
    <w:rsid w:val="2C6D014D"/>
    <w:rsid w:val="2C8C5D24"/>
    <w:rsid w:val="2C99503A"/>
    <w:rsid w:val="2CAA689D"/>
    <w:rsid w:val="2CB80960"/>
    <w:rsid w:val="2CCA5809"/>
    <w:rsid w:val="2CEC37BF"/>
    <w:rsid w:val="2CEE4744"/>
    <w:rsid w:val="2D18338A"/>
    <w:rsid w:val="2D252905"/>
    <w:rsid w:val="2D2570A4"/>
    <w:rsid w:val="2D3D22C5"/>
    <w:rsid w:val="2D607001"/>
    <w:rsid w:val="2D70181A"/>
    <w:rsid w:val="2D7B562D"/>
    <w:rsid w:val="2DA1586C"/>
    <w:rsid w:val="2DB24309"/>
    <w:rsid w:val="2DC434A2"/>
    <w:rsid w:val="2DD56FC0"/>
    <w:rsid w:val="2DD97BC5"/>
    <w:rsid w:val="2DDD65CB"/>
    <w:rsid w:val="2DFE0184"/>
    <w:rsid w:val="2E0F151E"/>
    <w:rsid w:val="2E2C1384"/>
    <w:rsid w:val="2E3E316C"/>
    <w:rsid w:val="2E4317F2"/>
    <w:rsid w:val="2E4A4A00"/>
    <w:rsid w:val="2E647C32"/>
    <w:rsid w:val="2E697834"/>
    <w:rsid w:val="2E6F71BF"/>
    <w:rsid w:val="2E755538"/>
    <w:rsid w:val="2E831340"/>
    <w:rsid w:val="2EA96F98"/>
    <w:rsid w:val="2EAF4725"/>
    <w:rsid w:val="2EBB1959"/>
    <w:rsid w:val="2EC71DCC"/>
    <w:rsid w:val="2ECC1AD7"/>
    <w:rsid w:val="2ED25BDE"/>
    <w:rsid w:val="2ED85289"/>
    <w:rsid w:val="2EE0621E"/>
    <w:rsid w:val="2EE23C7A"/>
    <w:rsid w:val="2EFB6DA3"/>
    <w:rsid w:val="2EFE7D27"/>
    <w:rsid w:val="2F0D2FD0"/>
    <w:rsid w:val="2F0D6CBD"/>
    <w:rsid w:val="2F0F1179"/>
    <w:rsid w:val="2F2346E4"/>
    <w:rsid w:val="2F3139F9"/>
    <w:rsid w:val="2F4010B9"/>
    <w:rsid w:val="2F59133A"/>
    <w:rsid w:val="2F602F9A"/>
    <w:rsid w:val="2F662DFD"/>
    <w:rsid w:val="2F9B4D95"/>
    <w:rsid w:val="2F9D43AD"/>
    <w:rsid w:val="2FBD48E2"/>
    <w:rsid w:val="2FC2380A"/>
    <w:rsid w:val="2FD25781"/>
    <w:rsid w:val="2FF96CC5"/>
    <w:rsid w:val="301068EB"/>
    <w:rsid w:val="3016768F"/>
    <w:rsid w:val="302E5E91"/>
    <w:rsid w:val="303A175E"/>
    <w:rsid w:val="30657294"/>
    <w:rsid w:val="306C1F48"/>
    <w:rsid w:val="30755827"/>
    <w:rsid w:val="307B2717"/>
    <w:rsid w:val="30CF3097"/>
    <w:rsid w:val="30E359E7"/>
    <w:rsid w:val="30EC7553"/>
    <w:rsid w:val="30FF0771"/>
    <w:rsid w:val="31025E73"/>
    <w:rsid w:val="310D7A87"/>
    <w:rsid w:val="310E2F8A"/>
    <w:rsid w:val="312E1602"/>
    <w:rsid w:val="314B289F"/>
    <w:rsid w:val="315B5608"/>
    <w:rsid w:val="318557E0"/>
    <w:rsid w:val="318C280E"/>
    <w:rsid w:val="31982EEE"/>
    <w:rsid w:val="31C7551E"/>
    <w:rsid w:val="32146ADF"/>
    <w:rsid w:val="324D191F"/>
    <w:rsid w:val="326F3E4B"/>
    <w:rsid w:val="32923106"/>
    <w:rsid w:val="329E432A"/>
    <w:rsid w:val="32B2290A"/>
    <w:rsid w:val="32BE744E"/>
    <w:rsid w:val="32CF509C"/>
    <w:rsid w:val="32CF5169"/>
    <w:rsid w:val="32E05404"/>
    <w:rsid w:val="32F75029"/>
    <w:rsid w:val="332F6941"/>
    <w:rsid w:val="333F0CA1"/>
    <w:rsid w:val="33593400"/>
    <w:rsid w:val="33700133"/>
    <w:rsid w:val="3388239A"/>
    <w:rsid w:val="33924AF5"/>
    <w:rsid w:val="33AA0350"/>
    <w:rsid w:val="33B271F9"/>
    <w:rsid w:val="33B54162"/>
    <w:rsid w:val="33C90C05"/>
    <w:rsid w:val="33D9561C"/>
    <w:rsid w:val="33E936B8"/>
    <w:rsid w:val="33F73CD2"/>
    <w:rsid w:val="34103577"/>
    <w:rsid w:val="3439219D"/>
    <w:rsid w:val="34640CE1"/>
    <w:rsid w:val="349E665E"/>
    <w:rsid w:val="34B7500A"/>
    <w:rsid w:val="34BA1455"/>
    <w:rsid w:val="34BA5F8F"/>
    <w:rsid w:val="34C57BA3"/>
    <w:rsid w:val="34CB752E"/>
    <w:rsid w:val="34DD524A"/>
    <w:rsid w:val="34DF294B"/>
    <w:rsid w:val="35216C38"/>
    <w:rsid w:val="352F39CF"/>
    <w:rsid w:val="354472C5"/>
    <w:rsid w:val="356660A7"/>
    <w:rsid w:val="357566C2"/>
    <w:rsid w:val="35956BF6"/>
    <w:rsid w:val="35A66E91"/>
    <w:rsid w:val="35A95897"/>
    <w:rsid w:val="35C236B1"/>
    <w:rsid w:val="35CA76A9"/>
    <w:rsid w:val="35CF2253"/>
    <w:rsid w:val="35D02767"/>
    <w:rsid w:val="35D15757"/>
    <w:rsid w:val="35E05D71"/>
    <w:rsid w:val="35FC78A0"/>
    <w:rsid w:val="360D33BD"/>
    <w:rsid w:val="360F08FF"/>
    <w:rsid w:val="362618EF"/>
    <w:rsid w:val="36622AC7"/>
    <w:rsid w:val="367573BE"/>
    <w:rsid w:val="368355DB"/>
    <w:rsid w:val="36923616"/>
    <w:rsid w:val="36AE218A"/>
    <w:rsid w:val="36B10648"/>
    <w:rsid w:val="36E2469A"/>
    <w:rsid w:val="36FE0747"/>
    <w:rsid w:val="373950A9"/>
    <w:rsid w:val="373C67C2"/>
    <w:rsid w:val="374530BA"/>
    <w:rsid w:val="37553354"/>
    <w:rsid w:val="37676AF2"/>
    <w:rsid w:val="37AC3D63"/>
    <w:rsid w:val="37AF056B"/>
    <w:rsid w:val="37C06287"/>
    <w:rsid w:val="37CA21FC"/>
    <w:rsid w:val="37DF2F99"/>
    <w:rsid w:val="37E13493"/>
    <w:rsid w:val="38301DBE"/>
    <w:rsid w:val="38363CC7"/>
    <w:rsid w:val="386F7324"/>
    <w:rsid w:val="3875702F"/>
    <w:rsid w:val="38983EC0"/>
    <w:rsid w:val="38A078FF"/>
    <w:rsid w:val="38A30A78"/>
    <w:rsid w:val="38B21092"/>
    <w:rsid w:val="38C9453B"/>
    <w:rsid w:val="38D464FB"/>
    <w:rsid w:val="38E73AEB"/>
    <w:rsid w:val="38F9397E"/>
    <w:rsid w:val="38FE234A"/>
    <w:rsid w:val="39467236"/>
    <w:rsid w:val="394E0F10"/>
    <w:rsid w:val="39534DA3"/>
    <w:rsid w:val="395E378A"/>
    <w:rsid w:val="397F4F63"/>
    <w:rsid w:val="39A7095A"/>
    <w:rsid w:val="39A71E6F"/>
    <w:rsid w:val="39AD100F"/>
    <w:rsid w:val="39BE691F"/>
    <w:rsid w:val="39CD7B33"/>
    <w:rsid w:val="39F8019C"/>
    <w:rsid w:val="39FC5BB1"/>
    <w:rsid w:val="39FD7CAA"/>
    <w:rsid w:val="39FF6912"/>
    <w:rsid w:val="3A620DD9"/>
    <w:rsid w:val="3A622FD7"/>
    <w:rsid w:val="3A985A30"/>
    <w:rsid w:val="3AC10DF2"/>
    <w:rsid w:val="3AC145EF"/>
    <w:rsid w:val="3AD71050"/>
    <w:rsid w:val="3AE55B2F"/>
    <w:rsid w:val="3AEE2BBB"/>
    <w:rsid w:val="3B135379"/>
    <w:rsid w:val="3B2A665A"/>
    <w:rsid w:val="3B381D36"/>
    <w:rsid w:val="3B3C349D"/>
    <w:rsid w:val="3B514E5E"/>
    <w:rsid w:val="3B605478"/>
    <w:rsid w:val="3B9B65A4"/>
    <w:rsid w:val="3BA6686A"/>
    <w:rsid w:val="3BA810F0"/>
    <w:rsid w:val="3BC64E1D"/>
    <w:rsid w:val="3BDF37C8"/>
    <w:rsid w:val="3BEF1864"/>
    <w:rsid w:val="3BF6438A"/>
    <w:rsid w:val="3BFB8ED8"/>
    <w:rsid w:val="3C1C7DAA"/>
    <w:rsid w:val="3C2F43F7"/>
    <w:rsid w:val="3C425A6B"/>
    <w:rsid w:val="3C543787"/>
    <w:rsid w:val="3C5F2E1D"/>
    <w:rsid w:val="3C5F639F"/>
    <w:rsid w:val="3C8E2667"/>
    <w:rsid w:val="3C9B4E3B"/>
    <w:rsid w:val="3CA4480B"/>
    <w:rsid w:val="3CC00939"/>
    <w:rsid w:val="3CDF116D"/>
    <w:rsid w:val="3CED5F04"/>
    <w:rsid w:val="3CFE246C"/>
    <w:rsid w:val="3D36DB38"/>
    <w:rsid w:val="3D73271D"/>
    <w:rsid w:val="3D802EF4"/>
    <w:rsid w:val="3D8F350F"/>
    <w:rsid w:val="3D926692"/>
    <w:rsid w:val="3DA47C31"/>
    <w:rsid w:val="3DAB75BC"/>
    <w:rsid w:val="3DB05C42"/>
    <w:rsid w:val="3DBE4F57"/>
    <w:rsid w:val="3DE41DD3"/>
    <w:rsid w:val="3DE6611C"/>
    <w:rsid w:val="3DEE6A01"/>
    <w:rsid w:val="3E317495"/>
    <w:rsid w:val="3E322D18"/>
    <w:rsid w:val="3E415531"/>
    <w:rsid w:val="3E4B133D"/>
    <w:rsid w:val="3E4DBAD2"/>
    <w:rsid w:val="3E557A55"/>
    <w:rsid w:val="3E5D4E61"/>
    <w:rsid w:val="3E721583"/>
    <w:rsid w:val="3E7BC502"/>
    <w:rsid w:val="3E7E4F58"/>
    <w:rsid w:val="3E8D432B"/>
    <w:rsid w:val="3EBC06FE"/>
    <w:rsid w:val="3ED37568"/>
    <w:rsid w:val="3EEE34B5"/>
    <w:rsid w:val="3F0B047D"/>
    <w:rsid w:val="3F0D64DA"/>
    <w:rsid w:val="3F0F6E83"/>
    <w:rsid w:val="3F2952CA"/>
    <w:rsid w:val="3F297A2D"/>
    <w:rsid w:val="3F314E39"/>
    <w:rsid w:val="3F3F1BD0"/>
    <w:rsid w:val="3F5356B7"/>
    <w:rsid w:val="3F605988"/>
    <w:rsid w:val="3F63308A"/>
    <w:rsid w:val="3F9A4869"/>
    <w:rsid w:val="3FC03423"/>
    <w:rsid w:val="3FED7F24"/>
    <w:rsid w:val="40095A00"/>
    <w:rsid w:val="4075519F"/>
    <w:rsid w:val="407676CF"/>
    <w:rsid w:val="407C4E5B"/>
    <w:rsid w:val="407F5DE0"/>
    <w:rsid w:val="40954700"/>
    <w:rsid w:val="40B9143D"/>
    <w:rsid w:val="40C114E3"/>
    <w:rsid w:val="40F24A9A"/>
    <w:rsid w:val="40F315A4"/>
    <w:rsid w:val="41004424"/>
    <w:rsid w:val="41137DB4"/>
    <w:rsid w:val="41153D55"/>
    <w:rsid w:val="412574A3"/>
    <w:rsid w:val="413737A8"/>
    <w:rsid w:val="416252F4"/>
    <w:rsid w:val="416A725E"/>
    <w:rsid w:val="41A510AF"/>
    <w:rsid w:val="41AD10EB"/>
    <w:rsid w:val="41B548A3"/>
    <w:rsid w:val="41B71360"/>
    <w:rsid w:val="41B858B9"/>
    <w:rsid w:val="41C11C6F"/>
    <w:rsid w:val="41CD7C80"/>
    <w:rsid w:val="41CF3183"/>
    <w:rsid w:val="41CF67E9"/>
    <w:rsid w:val="41F2243E"/>
    <w:rsid w:val="41F66AB4"/>
    <w:rsid w:val="41FC2CE3"/>
    <w:rsid w:val="4212359F"/>
    <w:rsid w:val="422A4671"/>
    <w:rsid w:val="42685900"/>
    <w:rsid w:val="42AE58FA"/>
    <w:rsid w:val="42B11578"/>
    <w:rsid w:val="42C15095"/>
    <w:rsid w:val="42C65C9A"/>
    <w:rsid w:val="42CB59A5"/>
    <w:rsid w:val="42D01A50"/>
    <w:rsid w:val="42DA01BE"/>
    <w:rsid w:val="42E377C8"/>
    <w:rsid w:val="42E911B6"/>
    <w:rsid w:val="42EB4B4E"/>
    <w:rsid w:val="42F06ADE"/>
    <w:rsid w:val="42F665BD"/>
    <w:rsid w:val="430F7393"/>
    <w:rsid w:val="43105F3B"/>
    <w:rsid w:val="431F0E8B"/>
    <w:rsid w:val="432B6CC3"/>
    <w:rsid w:val="433517D1"/>
    <w:rsid w:val="433E465F"/>
    <w:rsid w:val="43492212"/>
    <w:rsid w:val="434D6E78"/>
    <w:rsid w:val="43571A95"/>
    <w:rsid w:val="435A070C"/>
    <w:rsid w:val="435D1690"/>
    <w:rsid w:val="43675823"/>
    <w:rsid w:val="437370B7"/>
    <w:rsid w:val="43A166FD"/>
    <w:rsid w:val="43B533A4"/>
    <w:rsid w:val="43BE622F"/>
    <w:rsid w:val="43C03933"/>
    <w:rsid w:val="43D24ED2"/>
    <w:rsid w:val="43E67367"/>
    <w:rsid w:val="43F61A57"/>
    <w:rsid w:val="440F4D37"/>
    <w:rsid w:val="444F35A2"/>
    <w:rsid w:val="448A687F"/>
    <w:rsid w:val="4490400C"/>
    <w:rsid w:val="44AF19D7"/>
    <w:rsid w:val="44CC2B6C"/>
    <w:rsid w:val="44DC0C08"/>
    <w:rsid w:val="44DE2A82"/>
    <w:rsid w:val="44E12B11"/>
    <w:rsid w:val="44F11AA7"/>
    <w:rsid w:val="44F63B88"/>
    <w:rsid w:val="454E475C"/>
    <w:rsid w:val="45584702"/>
    <w:rsid w:val="459D0CC6"/>
    <w:rsid w:val="45CD0190"/>
    <w:rsid w:val="45FB76C8"/>
    <w:rsid w:val="461A44BE"/>
    <w:rsid w:val="462D14AE"/>
    <w:rsid w:val="46494E1C"/>
    <w:rsid w:val="465E7A7F"/>
    <w:rsid w:val="466E359D"/>
    <w:rsid w:val="46780629"/>
    <w:rsid w:val="4679192E"/>
    <w:rsid w:val="467C702F"/>
    <w:rsid w:val="46D0453B"/>
    <w:rsid w:val="46D54246"/>
    <w:rsid w:val="46ED6069"/>
    <w:rsid w:val="46F25D74"/>
    <w:rsid w:val="47020D1C"/>
    <w:rsid w:val="47087F18"/>
    <w:rsid w:val="470B17AF"/>
    <w:rsid w:val="47137464"/>
    <w:rsid w:val="471B6F39"/>
    <w:rsid w:val="471D243C"/>
    <w:rsid w:val="47430FF6"/>
    <w:rsid w:val="474431A5"/>
    <w:rsid w:val="475A0D55"/>
    <w:rsid w:val="475C79A2"/>
    <w:rsid w:val="476855FF"/>
    <w:rsid w:val="47775FCD"/>
    <w:rsid w:val="47962FFF"/>
    <w:rsid w:val="479A5288"/>
    <w:rsid w:val="47BC543D"/>
    <w:rsid w:val="47F40E1A"/>
    <w:rsid w:val="48092B1B"/>
    <w:rsid w:val="485D620C"/>
    <w:rsid w:val="485E084A"/>
    <w:rsid w:val="486B7B5F"/>
    <w:rsid w:val="489A3816"/>
    <w:rsid w:val="48B721DD"/>
    <w:rsid w:val="48BD6383"/>
    <w:rsid w:val="48BF75E9"/>
    <w:rsid w:val="48C53269"/>
    <w:rsid w:val="48CC59DA"/>
    <w:rsid w:val="48E13021"/>
    <w:rsid w:val="48E32CA1"/>
    <w:rsid w:val="49433FBF"/>
    <w:rsid w:val="49436663"/>
    <w:rsid w:val="49467FBD"/>
    <w:rsid w:val="495A3BE4"/>
    <w:rsid w:val="49896CB2"/>
    <w:rsid w:val="49A91765"/>
    <w:rsid w:val="49C16E0C"/>
    <w:rsid w:val="49D95532"/>
    <w:rsid w:val="49EA7AFC"/>
    <w:rsid w:val="49ED69D6"/>
    <w:rsid w:val="4A2523B4"/>
    <w:rsid w:val="4A274B58"/>
    <w:rsid w:val="4A344BCC"/>
    <w:rsid w:val="4A486036"/>
    <w:rsid w:val="4A5D2CED"/>
    <w:rsid w:val="4A734593"/>
    <w:rsid w:val="4A7459B6"/>
    <w:rsid w:val="4ACF76FC"/>
    <w:rsid w:val="4AEA426F"/>
    <w:rsid w:val="4B04084A"/>
    <w:rsid w:val="4B080428"/>
    <w:rsid w:val="4B0D119E"/>
    <w:rsid w:val="4B1519A9"/>
    <w:rsid w:val="4B3B4524"/>
    <w:rsid w:val="4B6814DC"/>
    <w:rsid w:val="4BB927CA"/>
    <w:rsid w:val="4BE75898"/>
    <w:rsid w:val="4BF23C29"/>
    <w:rsid w:val="4BF87D30"/>
    <w:rsid w:val="4BFA6AB7"/>
    <w:rsid w:val="4BFF62CC"/>
    <w:rsid w:val="4C240359"/>
    <w:rsid w:val="4C265483"/>
    <w:rsid w:val="4C26757B"/>
    <w:rsid w:val="4C5948D2"/>
    <w:rsid w:val="4C5E0D5A"/>
    <w:rsid w:val="4C6373E0"/>
    <w:rsid w:val="4C6528E3"/>
    <w:rsid w:val="4C671669"/>
    <w:rsid w:val="4C797097"/>
    <w:rsid w:val="4C8C512C"/>
    <w:rsid w:val="4C966935"/>
    <w:rsid w:val="4CB726ED"/>
    <w:rsid w:val="4CB848EB"/>
    <w:rsid w:val="4CD7191D"/>
    <w:rsid w:val="4CD85491"/>
    <w:rsid w:val="4CF002C8"/>
    <w:rsid w:val="4D0B68F4"/>
    <w:rsid w:val="4D2F582F"/>
    <w:rsid w:val="4D470CD7"/>
    <w:rsid w:val="4D4A355A"/>
    <w:rsid w:val="4D594475"/>
    <w:rsid w:val="4D655D09"/>
    <w:rsid w:val="4D830B3C"/>
    <w:rsid w:val="4D842D3A"/>
    <w:rsid w:val="4DA044C6"/>
    <w:rsid w:val="4DB11036"/>
    <w:rsid w:val="4DDD31DB"/>
    <w:rsid w:val="4DFC16FF"/>
    <w:rsid w:val="4E023609"/>
    <w:rsid w:val="4E092F93"/>
    <w:rsid w:val="4E543413"/>
    <w:rsid w:val="4E703C3C"/>
    <w:rsid w:val="4E730444"/>
    <w:rsid w:val="4E7742C7"/>
    <w:rsid w:val="4E870C81"/>
    <w:rsid w:val="4E946BAA"/>
    <w:rsid w:val="4EB359AB"/>
    <w:rsid w:val="4EBD75BF"/>
    <w:rsid w:val="4EF77399"/>
    <w:rsid w:val="4EF84E1A"/>
    <w:rsid w:val="4F0060CA"/>
    <w:rsid w:val="4F027347"/>
    <w:rsid w:val="4F0A120F"/>
    <w:rsid w:val="4F1B40D5"/>
    <w:rsid w:val="4F36622A"/>
    <w:rsid w:val="4F4B02C4"/>
    <w:rsid w:val="4F537AB2"/>
    <w:rsid w:val="4F744F4D"/>
    <w:rsid w:val="4F760F6C"/>
    <w:rsid w:val="4F8B3490"/>
    <w:rsid w:val="4F9C6F38"/>
    <w:rsid w:val="4FB2334F"/>
    <w:rsid w:val="4FB7F38B"/>
    <w:rsid w:val="4FD6F1E1"/>
    <w:rsid w:val="4FDB79C1"/>
    <w:rsid w:val="4FF727BF"/>
    <w:rsid w:val="500C4A46"/>
    <w:rsid w:val="501058E7"/>
    <w:rsid w:val="501320EF"/>
    <w:rsid w:val="501555F2"/>
    <w:rsid w:val="501845A6"/>
    <w:rsid w:val="501D464B"/>
    <w:rsid w:val="5054095A"/>
    <w:rsid w:val="505E132F"/>
    <w:rsid w:val="506D4BCE"/>
    <w:rsid w:val="50C82E97"/>
    <w:rsid w:val="50D83132"/>
    <w:rsid w:val="50DB42B0"/>
    <w:rsid w:val="50E46934"/>
    <w:rsid w:val="50F56E5E"/>
    <w:rsid w:val="512E1286"/>
    <w:rsid w:val="515B7E88"/>
    <w:rsid w:val="51656219"/>
    <w:rsid w:val="516E09DF"/>
    <w:rsid w:val="517C5E3E"/>
    <w:rsid w:val="517D4649"/>
    <w:rsid w:val="51BB5CC1"/>
    <w:rsid w:val="51F8100B"/>
    <w:rsid w:val="524C2157"/>
    <w:rsid w:val="525B7A2A"/>
    <w:rsid w:val="525C54AC"/>
    <w:rsid w:val="52622C38"/>
    <w:rsid w:val="528817F3"/>
    <w:rsid w:val="529262F8"/>
    <w:rsid w:val="5295690B"/>
    <w:rsid w:val="52AB4331"/>
    <w:rsid w:val="52BD41C3"/>
    <w:rsid w:val="52DF8F3D"/>
    <w:rsid w:val="52EE325A"/>
    <w:rsid w:val="52F8090A"/>
    <w:rsid w:val="535534C5"/>
    <w:rsid w:val="535E2A0A"/>
    <w:rsid w:val="5382528E"/>
    <w:rsid w:val="53A022C0"/>
    <w:rsid w:val="53CD71B7"/>
    <w:rsid w:val="53DC46A3"/>
    <w:rsid w:val="53E41AB0"/>
    <w:rsid w:val="53ED01C1"/>
    <w:rsid w:val="53F8030B"/>
    <w:rsid w:val="53FC29DA"/>
    <w:rsid w:val="53FD7C82"/>
    <w:rsid w:val="542571D8"/>
    <w:rsid w:val="544875D6"/>
    <w:rsid w:val="54655E5B"/>
    <w:rsid w:val="54672089"/>
    <w:rsid w:val="546B520C"/>
    <w:rsid w:val="549414A4"/>
    <w:rsid w:val="54980A84"/>
    <w:rsid w:val="54AE27FD"/>
    <w:rsid w:val="54B7310D"/>
    <w:rsid w:val="552F5BEF"/>
    <w:rsid w:val="554F0D00"/>
    <w:rsid w:val="555B0397"/>
    <w:rsid w:val="555D389B"/>
    <w:rsid w:val="557EE985"/>
    <w:rsid w:val="558F17A7"/>
    <w:rsid w:val="55922676"/>
    <w:rsid w:val="55A2658D"/>
    <w:rsid w:val="55A34359"/>
    <w:rsid w:val="55C11D9F"/>
    <w:rsid w:val="55DC4CDB"/>
    <w:rsid w:val="55DE50EE"/>
    <w:rsid w:val="55E81280"/>
    <w:rsid w:val="55F50596"/>
    <w:rsid w:val="55F70216"/>
    <w:rsid w:val="55F97F96"/>
    <w:rsid w:val="5605173B"/>
    <w:rsid w:val="560939B3"/>
    <w:rsid w:val="561B7151"/>
    <w:rsid w:val="565432B3"/>
    <w:rsid w:val="56556031"/>
    <w:rsid w:val="566B01D5"/>
    <w:rsid w:val="56750AE4"/>
    <w:rsid w:val="56987D9F"/>
    <w:rsid w:val="569959C5"/>
    <w:rsid w:val="569A40BE"/>
    <w:rsid w:val="56B07A7E"/>
    <w:rsid w:val="56C13162"/>
    <w:rsid w:val="56FE0682"/>
    <w:rsid w:val="573E766F"/>
    <w:rsid w:val="575823DC"/>
    <w:rsid w:val="57736809"/>
    <w:rsid w:val="57792CFA"/>
    <w:rsid w:val="578A6E9D"/>
    <w:rsid w:val="57A22E60"/>
    <w:rsid w:val="57A63600"/>
    <w:rsid w:val="57CA1416"/>
    <w:rsid w:val="580872ED"/>
    <w:rsid w:val="581B3BF1"/>
    <w:rsid w:val="58297231"/>
    <w:rsid w:val="586019E2"/>
    <w:rsid w:val="5860518C"/>
    <w:rsid w:val="58664B17"/>
    <w:rsid w:val="58907EDA"/>
    <w:rsid w:val="58A15BF6"/>
    <w:rsid w:val="58CC7D3F"/>
    <w:rsid w:val="58D338A8"/>
    <w:rsid w:val="590F6C02"/>
    <w:rsid w:val="59176EB9"/>
    <w:rsid w:val="593B264B"/>
    <w:rsid w:val="59545699"/>
    <w:rsid w:val="597F1F1A"/>
    <w:rsid w:val="598D1FE7"/>
    <w:rsid w:val="59934285"/>
    <w:rsid w:val="59A07CAD"/>
    <w:rsid w:val="59A637CE"/>
    <w:rsid w:val="59B30C11"/>
    <w:rsid w:val="59D017B4"/>
    <w:rsid w:val="5A3634A4"/>
    <w:rsid w:val="5A567846"/>
    <w:rsid w:val="5A5795A4"/>
    <w:rsid w:val="5A874791"/>
    <w:rsid w:val="5A902612"/>
    <w:rsid w:val="5AB20E59"/>
    <w:rsid w:val="5AC86479"/>
    <w:rsid w:val="5B191B02"/>
    <w:rsid w:val="5B245915"/>
    <w:rsid w:val="5B2F3CA6"/>
    <w:rsid w:val="5B4077C3"/>
    <w:rsid w:val="5B487F38"/>
    <w:rsid w:val="5B4E455A"/>
    <w:rsid w:val="5B532BE1"/>
    <w:rsid w:val="5B5A0F86"/>
    <w:rsid w:val="5B6E2432"/>
    <w:rsid w:val="5B736D19"/>
    <w:rsid w:val="5B7E2B2B"/>
    <w:rsid w:val="5B8930BB"/>
    <w:rsid w:val="5B9A3355"/>
    <w:rsid w:val="5BA416E6"/>
    <w:rsid w:val="5BA7266B"/>
    <w:rsid w:val="5BA835D7"/>
    <w:rsid w:val="5BAB1071"/>
    <w:rsid w:val="5C2F5D06"/>
    <w:rsid w:val="5C487FF6"/>
    <w:rsid w:val="5C4A56F7"/>
    <w:rsid w:val="5C4C447D"/>
    <w:rsid w:val="5C55315F"/>
    <w:rsid w:val="5C59123E"/>
    <w:rsid w:val="5C7A1030"/>
    <w:rsid w:val="5C9003EA"/>
    <w:rsid w:val="5CA93512"/>
    <w:rsid w:val="5CAB2299"/>
    <w:rsid w:val="5CB376A5"/>
    <w:rsid w:val="5CBC7FB4"/>
    <w:rsid w:val="5CD97E2E"/>
    <w:rsid w:val="5CE16EEF"/>
    <w:rsid w:val="5D017424"/>
    <w:rsid w:val="5D0C57B5"/>
    <w:rsid w:val="5D153EC6"/>
    <w:rsid w:val="5D3D0376"/>
    <w:rsid w:val="5D49561A"/>
    <w:rsid w:val="5D4C032F"/>
    <w:rsid w:val="5D783FB7"/>
    <w:rsid w:val="5D7AF66C"/>
    <w:rsid w:val="5D7EDF88"/>
    <w:rsid w:val="5D7F544C"/>
    <w:rsid w:val="5D8D7008"/>
    <w:rsid w:val="5D972FAA"/>
    <w:rsid w:val="5D9A5870"/>
    <w:rsid w:val="5DA311AC"/>
    <w:rsid w:val="5DA321AD"/>
    <w:rsid w:val="5DE6679D"/>
    <w:rsid w:val="5DEA9B62"/>
    <w:rsid w:val="5E2C0A8E"/>
    <w:rsid w:val="5E40232F"/>
    <w:rsid w:val="5E57336A"/>
    <w:rsid w:val="5E5B41DD"/>
    <w:rsid w:val="5E7A26B9"/>
    <w:rsid w:val="5E934337"/>
    <w:rsid w:val="5E9C1982"/>
    <w:rsid w:val="5EA26B50"/>
    <w:rsid w:val="5EA345D2"/>
    <w:rsid w:val="5EA7685B"/>
    <w:rsid w:val="5EAE2963"/>
    <w:rsid w:val="5ECE0C99"/>
    <w:rsid w:val="5ECF0AE7"/>
    <w:rsid w:val="5ED837A7"/>
    <w:rsid w:val="5EE475B9"/>
    <w:rsid w:val="5EEA2533"/>
    <w:rsid w:val="5EFC1A9B"/>
    <w:rsid w:val="5F102A07"/>
    <w:rsid w:val="5F130109"/>
    <w:rsid w:val="5F144907"/>
    <w:rsid w:val="5F20199D"/>
    <w:rsid w:val="5F3A28F9"/>
    <w:rsid w:val="5F59109B"/>
    <w:rsid w:val="5F6B6599"/>
    <w:rsid w:val="5F6E2DA1"/>
    <w:rsid w:val="5F9B508D"/>
    <w:rsid w:val="5FA7FAEB"/>
    <w:rsid w:val="5FB86698"/>
    <w:rsid w:val="5FD53A4A"/>
    <w:rsid w:val="5FD90E0A"/>
    <w:rsid w:val="5FDE68D8"/>
    <w:rsid w:val="5FE65EE3"/>
    <w:rsid w:val="5FF21CF5"/>
    <w:rsid w:val="5FFB5E88"/>
    <w:rsid w:val="5FFE6E0D"/>
    <w:rsid w:val="600D5DA2"/>
    <w:rsid w:val="60182E76"/>
    <w:rsid w:val="604E7E90"/>
    <w:rsid w:val="60503394"/>
    <w:rsid w:val="60515592"/>
    <w:rsid w:val="605A3CA3"/>
    <w:rsid w:val="605D6E26"/>
    <w:rsid w:val="6072134A"/>
    <w:rsid w:val="607F3B31"/>
    <w:rsid w:val="608904D2"/>
    <w:rsid w:val="608B3264"/>
    <w:rsid w:val="60913E6F"/>
    <w:rsid w:val="60A81824"/>
    <w:rsid w:val="60A93A22"/>
    <w:rsid w:val="61260CB9"/>
    <w:rsid w:val="617678F3"/>
    <w:rsid w:val="618C48B8"/>
    <w:rsid w:val="619239A0"/>
    <w:rsid w:val="61AC454A"/>
    <w:rsid w:val="61B73BDF"/>
    <w:rsid w:val="61C21F70"/>
    <w:rsid w:val="61D87997"/>
    <w:rsid w:val="61E01520"/>
    <w:rsid w:val="61E7472F"/>
    <w:rsid w:val="623025A4"/>
    <w:rsid w:val="62385432"/>
    <w:rsid w:val="623C1C3A"/>
    <w:rsid w:val="625048C9"/>
    <w:rsid w:val="62575CE7"/>
    <w:rsid w:val="62695C01"/>
    <w:rsid w:val="627D26A4"/>
    <w:rsid w:val="62A20EC5"/>
    <w:rsid w:val="62C01E93"/>
    <w:rsid w:val="62C01FC4"/>
    <w:rsid w:val="632D11C2"/>
    <w:rsid w:val="633D2BD8"/>
    <w:rsid w:val="634E16F7"/>
    <w:rsid w:val="636F3548"/>
    <w:rsid w:val="639B507A"/>
    <w:rsid w:val="639C7278"/>
    <w:rsid w:val="63B771D4"/>
    <w:rsid w:val="63E257EE"/>
    <w:rsid w:val="640956AE"/>
    <w:rsid w:val="64290EE7"/>
    <w:rsid w:val="642F5C5F"/>
    <w:rsid w:val="64496497"/>
    <w:rsid w:val="64501EA8"/>
    <w:rsid w:val="64613B3E"/>
    <w:rsid w:val="649C269E"/>
    <w:rsid w:val="649D1AA0"/>
    <w:rsid w:val="64A27E2A"/>
    <w:rsid w:val="64B57E6E"/>
    <w:rsid w:val="64E65F95"/>
    <w:rsid w:val="64F87534"/>
    <w:rsid w:val="6521617A"/>
    <w:rsid w:val="65387F11"/>
    <w:rsid w:val="653C47A6"/>
    <w:rsid w:val="65441BB2"/>
    <w:rsid w:val="65771107"/>
    <w:rsid w:val="658C1FA6"/>
    <w:rsid w:val="65AA7A95"/>
    <w:rsid w:val="65AE59DE"/>
    <w:rsid w:val="65B62908"/>
    <w:rsid w:val="65C55583"/>
    <w:rsid w:val="65CD0811"/>
    <w:rsid w:val="65EC32C5"/>
    <w:rsid w:val="65FF6A62"/>
    <w:rsid w:val="66130F86"/>
    <w:rsid w:val="66360241"/>
    <w:rsid w:val="66B70E32"/>
    <w:rsid w:val="66E60BBC"/>
    <w:rsid w:val="66F205F4"/>
    <w:rsid w:val="66F74A7C"/>
    <w:rsid w:val="670C6F9F"/>
    <w:rsid w:val="670E46A1"/>
    <w:rsid w:val="67167F0C"/>
    <w:rsid w:val="671C723A"/>
    <w:rsid w:val="67207643"/>
    <w:rsid w:val="672B78DD"/>
    <w:rsid w:val="673A5489"/>
    <w:rsid w:val="6741799B"/>
    <w:rsid w:val="675D6D95"/>
    <w:rsid w:val="67720AA7"/>
    <w:rsid w:val="6775534A"/>
    <w:rsid w:val="67A24F14"/>
    <w:rsid w:val="67C85A1F"/>
    <w:rsid w:val="67CB570B"/>
    <w:rsid w:val="67D853EE"/>
    <w:rsid w:val="67DF4D79"/>
    <w:rsid w:val="67E50E81"/>
    <w:rsid w:val="67F33A1A"/>
    <w:rsid w:val="67F66FCD"/>
    <w:rsid w:val="67FD1DAB"/>
    <w:rsid w:val="68161650"/>
    <w:rsid w:val="681C6DDC"/>
    <w:rsid w:val="6869180E"/>
    <w:rsid w:val="68727990"/>
    <w:rsid w:val="68727B54"/>
    <w:rsid w:val="689A54AC"/>
    <w:rsid w:val="689E1934"/>
    <w:rsid w:val="68B865F8"/>
    <w:rsid w:val="68E775A5"/>
    <w:rsid w:val="6914700F"/>
    <w:rsid w:val="69293A97"/>
    <w:rsid w:val="6964263C"/>
    <w:rsid w:val="697C28D3"/>
    <w:rsid w:val="69950BC7"/>
    <w:rsid w:val="69A01157"/>
    <w:rsid w:val="69B610FC"/>
    <w:rsid w:val="69CE52EA"/>
    <w:rsid w:val="69D84B34"/>
    <w:rsid w:val="6A321D4B"/>
    <w:rsid w:val="6A557981"/>
    <w:rsid w:val="6A670F20"/>
    <w:rsid w:val="6A692BA2"/>
    <w:rsid w:val="6A8674D8"/>
    <w:rsid w:val="6AA568AB"/>
    <w:rsid w:val="6ACE6346"/>
    <w:rsid w:val="6AD43AD2"/>
    <w:rsid w:val="6ADD36B8"/>
    <w:rsid w:val="6ADF4062"/>
    <w:rsid w:val="6AEB36F7"/>
    <w:rsid w:val="6B0777A4"/>
    <w:rsid w:val="6B092CA7"/>
    <w:rsid w:val="6B0B4531"/>
    <w:rsid w:val="6B0D4F31"/>
    <w:rsid w:val="6B2C79E4"/>
    <w:rsid w:val="6B965D8F"/>
    <w:rsid w:val="6BAA605B"/>
    <w:rsid w:val="6BB35E32"/>
    <w:rsid w:val="6BFB3534"/>
    <w:rsid w:val="6C0E2555"/>
    <w:rsid w:val="6C1C72EC"/>
    <w:rsid w:val="6C3579AA"/>
    <w:rsid w:val="6C37710E"/>
    <w:rsid w:val="6C43172A"/>
    <w:rsid w:val="6C7B1767"/>
    <w:rsid w:val="6C7F158F"/>
    <w:rsid w:val="6C8B53A2"/>
    <w:rsid w:val="6CB90470"/>
    <w:rsid w:val="6CD31019"/>
    <w:rsid w:val="6CE33832"/>
    <w:rsid w:val="6CFE56E1"/>
    <w:rsid w:val="6D1D4911"/>
    <w:rsid w:val="6D3B7744"/>
    <w:rsid w:val="6D3D2DE2"/>
    <w:rsid w:val="6D3E3589"/>
    <w:rsid w:val="6D434B50"/>
    <w:rsid w:val="6D5502EE"/>
    <w:rsid w:val="6D6E6C99"/>
    <w:rsid w:val="6D79A1D0"/>
    <w:rsid w:val="6D8A74C3"/>
    <w:rsid w:val="6DA24B6A"/>
    <w:rsid w:val="6DD4663E"/>
    <w:rsid w:val="6DE05CD4"/>
    <w:rsid w:val="6DF87AF7"/>
    <w:rsid w:val="6E0B4599"/>
    <w:rsid w:val="6E322CF5"/>
    <w:rsid w:val="6E34575E"/>
    <w:rsid w:val="6E4F1AEC"/>
    <w:rsid w:val="6E6948C0"/>
    <w:rsid w:val="6E79134A"/>
    <w:rsid w:val="6E950C7A"/>
    <w:rsid w:val="6EA25D92"/>
    <w:rsid w:val="6EAB37FC"/>
    <w:rsid w:val="6EADFCC9"/>
    <w:rsid w:val="6EBA6FC6"/>
    <w:rsid w:val="6EBC693B"/>
    <w:rsid w:val="6EBF78C0"/>
    <w:rsid w:val="6EC64CCC"/>
    <w:rsid w:val="6ED63729"/>
    <w:rsid w:val="6F106C53"/>
    <w:rsid w:val="6F433AAD"/>
    <w:rsid w:val="6F5013AD"/>
    <w:rsid w:val="6F6EB5BF"/>
    <w:rsid w:val="6F8E337F"/>
    <w:rsid w:val="6F920E97"/>
    <w:rsid w:val="6F9B295C"/>
    <w:rsid w:val="6F9E6F2E"/>
    <w:rsid w:val="6FA568B9"/>
    <w:rsid w:val="6FCC1FFC"/>
    <w:rsid w:val="6FDB5952"/>
    <w:rsid w:val="700738BD"/>
    <w:rsid w:val="701C77FC"/>
    <w:rsid w:val="70404539"/>
    <w:rsid w:val="7045061E"/>
    <w:rsid w:val="706E7F9D"/>
    <w:rsid w:val="70770E10"/>
    <w:rsid w:val="70A853A7"/>
    <w:rsid w:val="70AF47ED"/>
    <w:rsid w:val="70D35CA6"/>
    <w:rsid w:val="70DD65B6"/>
    <w:rsid w:val="70EF55D6"/>
    <w:rsid w:val="71070572"/>
    <w:rsid w:val="71081111"/>
    <w:rsid w:val="71167A14"/>
    <w:rsid w:val="7126DE60"/>
    <w:rsid w:val="713F665A"/>
    <w:rsid w:val="714D5970"/>
    <w:rsid w:val="71617E94"/>
    <w:rsid w:val="71860FCD"/>
    <w:rsid w:val="71A97DB6"/>
    <w:rsid w:val="71B8501F"/>
    <w:rsid w:val="71C9064D"/>
    <w:rsid w:val="71F52906"/>
    <w:rsid w:val="71F64B04"/>
    <w:rsid w:val="722A535E"/>
    <w:rsid w:val="723E657D"/>
    <w:rsid w:val="7252521E"/>
    <w:rsid w:val="72737951"/>
    <w:rsid w:val="727D6358"/>
    <w:rsid w:val="72954A0D"/>
    <w:rsid w:val="729E4018"/>
    <w:rsid w:val="729E440C"/>
    <w:rsid w:val="72C7270A"/>
    <w:rsid w:val="72CE6D66"/>
    <w:rsid w:val="731D34D1"/>
    <w:rsid w:val="73236401"/>
    <w:rsid w:val="73760004"/>
    <w:rsid w:val="737EEA16"/>
    <w:rsid w:val="73866514"/>
    <w:rsid w:val="738B4A62"/>
    <w:rsid w:val="738C041D"/>
    <w:rsid w:val="73947FC5"/>
    <w:rsid w:val="739A0A38"/>
    <w:rsid w:val="73A338C6"/>
    <w:rsid w:val="73C7002B"/>
    <w:rsid w:val="73C72801"/>
    <w:rsid w:val="73CC4A61"/>
    <w:rsid w:val="73CF49AD"/>
    <w:rsid w:val="73E155F4"/>
    <w:rsid w:val="740564CB"/>
    <w:rsid w:val="740E5173"/>
    <w:rsid w:val="742873A2"/>
    <w:rsid w:val="742C1037"/>
    <w:rsid w:val="743608B6"/>
    <w:rsid w:val="749E2864"/>
    <w:rsid w:val="74A878F0"/>
    <w:rsid w:val="74B12652"/>
    <w:rsid w:val="74B5463B"/>
    <w:rsid w:val="74C12A19"/>
    <w:rsid w:val="74E14740"/>
    <w:rsid w:val="74F344EC"/>
    <w:rsid w:val="74FF5D81"/>
    <w:rsid w:val="750D66D2"/>
    <w:rsid w:val="75244CBB"/>
    <w:rsid w:val="753671DE"/>
    <w:rsid w:val="754A09BF"/>
    <w:rsid w:val="755D5A93"/>
    <w:rsid w:val="756C6735"/>
    <w:rsid w:val="756F0BE9"/>
    <w:rsid w:val="75763F65"/>
    <w:rsid w:val="75776DCD"/>
    <w:rsid w:val="75C735CB"/>
    <w:rsid w:val="75D62561"/>
    <w:rsid w:val="75E34125"/>
    <w:rsid w:val="75E41876"/>
    <w:rsid w:val="75FA5BF9"/>
    <w:rsid w:val="7614357E"/>
    <w:rsid w:val="76270B9C"/>
    <w:rsid w:val="76271066"/>
    <w:rsid w:val="763306FC"/>
    <w:rsid w:val="765566B2"/>
    <w:rsid w:val="766643CE"/>
    <w:rsid w:val="767D507A"/>
    <w:rsid w:val="767E5FFC"/>
    <w:rsid w:val="768129FA"/>
    <w:rsid w:val="768A7832"/>
    <w:rsid w:val="768D208F"/>
    <w:rsid w:val="76C421E9"/>
    <w:rsid w:val="76C57C6B"/>
    <w:rsid w:val="76D54682"/>
    <w:rsid w:val="76DD5C98"/>
    <w:rsid w:val="76F53854"/>
    <w:rsid w:val="771B79F7"/>
    <w:rsid w:val="772E0594"/>
    <w:rsid w:val="773E6630"/>
    <w:rsid w:val="776739F6"/>
    <w:rsid w:val="777F4EC5"/>
    <w:rsid w:val="777FB6AA"/>
    <w:rsid w:val="77815E20"/>
    <w:rsid w:val="778D3E30"/>
    <w:rsid w:val="77BE5C84"/>
    <w:rsid w:val="77D323A7"/>
    <w:rsid w:val="77E26736"/>
    <w:rsid w:val="77ED2F50"/>
    <w:rsid w:val="77F5D00D"/>
    <w:rsid w:val="77FF0310"/>
    <w:rsid w:val="7817361A"/>
    <w:rsid w:val="78234083"/>
    <w:rsid w:val="78244A5D"/>
    <w:rsid w:val="785931B9"/>
    <w:rsid w:val="78661915"/>
    <w:rsid w:val="786D2338"/>
    <w:rsid w:val="78800FDD"/>
    <w:rsid w:val="78A57E53"/>
    <w:rsid w:val="78BA6E21"/>
    <w:rsid w:val="78CA3838"/>
    <w:rsid w:val="78CE0040"/>
    <w:rsid w:val="78EA1B6E"/>
    <w:rsid w:val="78FA7C0B"/>
    <w:rsid w:val="791374B0"/>
    <w:rsid w:val="792F355C"/>
    <w:rsid w:val="79314655"/>
    <w:rsid w:val="79367E20"/>
    <w:rsid w:val="793C2872"/>
    <w:rsid w:val="7955121E"/>
    <w:rsid w:val="796A4D23"/>
    <w:rsid w:val="79772A57"/>
    <w:rsid w:val="797D7013"/>
    <w:rsid w:val="79802062"/>
    <w:rsid w:val="79807AE3"/>
    <w:rsid w:val="79CC46E0"/>
    <w:rsid w:val="79DA2188"/>
    <w:rsid w:val="79DD23FB"/>
    <w:rsid w:val="79DF4B1D"/>
    <w:rsid w:val="79EC4C14"/>
    <w:rsid w:val="79EF5B99"/>
    <w:rsid w:val="79F57AA2"/>
    <w:rsid w:val="79FACBCA"/>
    <w:rsid w:val="7A087169"/>
    <w:rsid w:val="7A0C2F4B"/>
    <w:rsid w:val="7A0E5C1F"/>
    <w:rsid w:val="7A1712DC"/>
    <w:rsid w:val="7A290C7B"/>
    <w:rsid w:val="7A300987"/>
    <w:rsid w:val="7A361B91"/>
    <w:rsid w:val="7A4259A3"/>
    <w:rsid w:val="7A5B2CCA"/>
    <w:rsid w:val="7A687DE1"/>
    <w:rsid w:val="7A6F196A"/>
    <w:rsid w:val="7A704DC6"/>
    <w:rsid w:val="7A9A5AF8"/>
    <w:rsid w:val="7AB5465D"/>
    <w:rsid w:val="7AB71B55"/>
    <w:rsid w:val="7AB94401"/>
    <w:rsid w:val="7AC31DEF"/>
    <w:rsid w:val="7AC96BBD"/>
    <w:rsid w:val="7AEE2EC3"/>
    <w:rsid w:val="7AF50CCA"/>
    <w:rsid w:val="7AFD3B58"/>
    <w:rsid w:val="7B086666"/>
    <w:rsid w:val="7B4464CB"/>
    <w:rsid w:val="7B4F1915"/>
    <w:rsid w:val="7B59516B"/>
    <w:rsid w:val="7BD86D3E"/>
    <w:rsid w:val="7BD90F3C"/>
    <w:rsid w:val="7BE2184C"/>
    <w:rsid w:val="7BEE565F"/>
    <w:rsid w:val="7BF00B62"/>
    <w:rsid w:val="7BF5086D"/>
    <w:rsid w:val="7BFD487B"/>
    <w:rsid w:val="7BFF3506"/>
    <w:rsid w:val="7BFF3D40"/>
    <w:rsid w:val="7C1F60CF"/>
    <w:rsid w:val="7C2D6A76"/>
    <w:rsid w:val="7C405469"/>
    <w:rsid w:val="7C4E2082"/>
    <w:rsid w:val="7C532E05"/>
    <w:rsid w:val="7C594A23"/>
    <w:rsid w:val="7C5D6F97"/>
    <w:rsid w:val="7C75AB7F"/>
    <w:rsid w:val="7CA3770C"/>
    <w:rsid w:val="7CA50571"/>
    <w:rsid w:val="7CC55AE8"/>
    <w:rsid w:val="7CC72DC3"/>
    <w:rsid w:val="7CD05C51"/>
    <w:rsid w:val="7CDD2D69"/>
    <w:rsid w:val="7CDD6705"/>
    <w:rsid w:val="7CE03CED"/>
    <w:rsid w:val="7CF34F0C"/>
    <w:rsid w:val="7D0B25B3"/>
    <w:rsid w:val="7D1F30F6"/>
    <w:rsid w:val="7D6D3651"/>
    <w:rsid w:val="7D6F821C"/>
    <w:rsid w:val="7D726ADF"/>
    <w:rsid w:val="7D990F1D"/>
    <w:rsid w:val="7D9D438A"/>
    <w:rsid w:val="7DB12040"/>
    <w:rsid w:val="7DBF94D1"/>
    <w:rsid w:val="7DCFA8CA"/>
    <w:rsid w:val="7DEFFFB3"/>
    <w:rsid w:val="7DF97C52"/>
    <w:rsid w:val="7E101E61"/>
    <w:rsid w:val="7E544504"/>
    <w:rsid w:val="7E5725D5"/>
    <w:rsid w:val="7E610966"/>
    <w:rsid w:val="7E7E7593"/>
    <w:rsid w:val="7E84532A"/>
    <w:rsid w:val="7EB65E72"/>
    <w:rsid w:val="7EBE2981"/>
    <w:rsid w:val="7EC6610C"/>
    <w:rsid w:val="7ECA4B12"/>
    <w:rsid w:val="7ECE1D14"/>
    <w:rsid w:val="7ED06A1C"/>
    <w:rsid w:val="7EED3DCE"/>
    <w:rsid w:val="7EED85D7"/>
    <w:rsid w:val="7EEE8BFF"/>
    <w:rsid w:val="7EF5932C"/>
    <w:rsid w:val="7EFB3BDD"/>
    <w:rsid w:val="7F2E4837"/>
    <w:rsid w:val="7F397345"/>
    <w:rsid w:val="7F4334D7"/>
    <w:rsid w:val="7F7165A5"/>
    <w:rsid w:val="7F79F19C"/>
    <w:rsid w:val="7F7DA3D1"/>
    <w:rsid w:val="7F7F404C"/>
    <w:rsid w:val="7F8C7F60"/>
    <w:rsid w:val="7F8F189D"/>
    <w:rsid w:val="7FBB383A"/>
    <w:rsid w:val="7FBC791E"/>
    <w:rsid w:val="7FBE471E"/>
    <w:rsid w:val="7FC06324"/>
    <w:rsid w:val="7FE7A7A9"/>
    <w:rsid w:val="7FE916E7"/>
    <w:rsid w:val="7FEBFBD0"/>
    <w:rsid w:val="7FEE13F2"/>
    <w:rsid w:val="7FF7F03D"/>
    <w:rsid w:val="87FFD74B"/>
    <w:rsid w:val="8BF7E281"/>
    <w:rsid w:val="978FBAE7"/>
    <w:rsid w:val="97BF0048"/>
    <w:rsid w:val="99ECADB2"/>
    <w:rsid w:val="9DEEB577"/>
    <w:rsid w:val="9F7F103F"/>
    <w:rsid w:val="9FEB9693"/>
    <w:rsid w:val="9FF5D221"/>
    <w:rsid w:val="9FFCAC15"/>
    <w:rsid w:val="B1FFF079"/>
    <w:rsid w:val="B27F4D48"/>
    <w:rsid w:val="B31D29FD"/>
    <w:rsid w:val="B67C8F0D"/>
    <w:rsid w:val="B7CF7210"/>
    <w:rsid w:val="BA3EDE80"/>
    <w:rsid w:val="BBFF52FE"/>
    <w:rsid w:val="BCBF863F"/>
    <w:rsid w:val="BE47FD25"/>
    <w:rsid w:val="BF771D55"/>
    <w:rsid w:val="BF9F1C0D"/>
    <w:rsid w:val="BFAE07AB"/>
    <w:rsid w:val="BFF5CDFD"/>
    <w:rsid w:val="BFF9EEBD"/>
    <w:rsid w:val="CCF73532"/>
    <w:rsid w:val="CEB51B52"/>
    <w:rsid w:val="CF3B9E8F"/>
    <w:rsid w:val="CF6F02AD"/>
    <w:rsid w:val="CFEF39C1"/>
    <w:rsid w:val="D5F75EF7"/>
    <w:rsid w:val="DAFFFEB0"/>
    <w:rsid w:val="DBE7E74E"/>
    <w:rsid w:val="DBEF4701"/>
    <w:rsid w:val="DCFF7F88"/>
    <w:rsid w:val="DE7A302D"/>
    <w:rsid w:val="DEFF842D"/>
    <w:rsid w:val="DF3D0EF0"/>
    <w:rsid w:val="DF5F2ED1"/>
    <w:rsid w:val="DF770DDA"/>
    <w:rsid w:val="DFF07ED4"/>
    <w:rsid w:val="DFFF70BA"/>
    <w:rsid w:val="E3FF6ADC"/>
    <w:rsid w:val="E5AF94ED"/>
    <w:rsid w:val="E5F78EFD"/>
    <w:rsid w:val="E73F9EBA"/>
    <w:rsid w:val="E7A7FB4D"/>
    <w:rsid w:val="EADE6A82"/>
    <w:rsid w:val="EAFE9F6D"/>
    <w:rsid w:val="EBA95DC0"/>
    <w:rsid w:val="EBFDB567"/>
    <w:rsid w:val="EEFBB442"/>
    <w:rsid w:val="EF7BBFDE"/>
    <w:rsid w:val="EF7CC934"/>
    <w:rsid w:val="EFA92DE8"/>
    <w:rsid w:val="EFFB57E2"/>
    <w:rsid w:val="F5FDB39B"/>
    <w:rsid w:val="F67F47A4"/>
    <w:rsid w:val="F6DF5C45"/>
    <w:rsid w:val="F6F3A0FF"/>
    <w:rsid w:val="F7FFA36E"/>
    <w:rsid w:val="F9FB7452"/>
    <w:rsid w:val="FA68D911"/>
    <w:rsid w:val="FADF3736"/>
    <w:rsid w:val="FAE5DC3F"/>
    <w:rsid w:val="FB7CC18F"/>
    <w:rsid w:val="FBFFD0FD"/>
    <w:rsid w:val="FCD8ABA5"/>
    <w:rsid w:val="FD4D63DB"/>
    <w:rsid w:val="FDBD9E50"/>
    <w:rsid w:val="FDFD4B7C"/>
    <w:rsid w:val="FDFD7EF4"/>
    <w:rsid w:val="FE7D47B8"/>
    <w:rsid w:val="FE7F27AC"/>
    <w:rsid w:val="FEF30413"/>
    <w:rsid w:val="FEFABFCF"/>
    <w:rsid w:val="FF162781"/>
    <w:rsid w:val="FF2FF640"/>
    <w:rsid w:val="FF5F14AA"/>
    <w:rsid w:val="FF5FE8A6"/>
    <w:rsid w:val="FF7B0939"/>
    <w:rsid w:val="FF7C754C"/>
    <w:rsid w:val="FF7E4BE0"/>
    <w:rsid w:val="FF9FD0FE"/>
    <w:rsid w:val="FFAF0BB5"/>
    <w:rsid w:val="FFAF9694"/>
    <w:rsid w:val="FFBFFE7D"/>
    <w:rsid w:val="FFDD9916"/>
    <w:rsid w:val="FFEEE717"/>
    <w:rsid w:val="FFF5A498"/>
    <w:rsid w:val="FFFD41B7"/>
    <w:rsid w:val="FFFF256E"/>
    <w:rsid w:val="FFFF3CB5"/>
    <w:rsid w:val="FFFF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pt" color="#000000" endarrow="open"/>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autoSpaceDE w:val="0"/>
      <w:autoSpaceDN w:val="0"/>
      <w:adjustRightInd w:val="0"/>
      <w:spacing w:before="100" w:after="60" w:line="288" w:lineRule="auto"/>
      <w:jc w:val="left"/>
      <w:textAlignment w:val="baseline"/>
      <w:outlineLvl w:val="1"/>
    </w:pPr>
    <w:rPr>
      <w:rFonts w:eastAsia="黑体"/>
      <w:kern w:val="0"/>
      <w:sz w:val="30"/>
      <w:szCs w:val="20"/>
    </w:rPr>
  </w:style>
  <w:style w:type="paragraph" w:styleId="5">
    <w:name w:val="heading 3"/>
    <w:basedOn w:val="1"/>
    <w:next w:val="1"/>
    <w:link w:val="60"/>
    <w:qFormat/>
    <w:uiPriority w:val="0"/>
    <w:pPr>
      <w:keepNext/>
      <w:keepLines/>
      <w:spacing w:before="120" w:after="120" w:line="400" w:lineRule="exact"/>
      <w:outlineLvl w:val="2"/>
    </w:pPr>
    <w:rPr>
      <w:rFonts w:eastAsia="黑体"/>
      <w:b/>
      <w:sz w:val="28"/>
    </w:rPr>
  </w:style>
  <w:style w:type="paragraph" w:styleId="6">
    <w:name w:val="heading 4"/>
    <w:basedOn w:val="1"/>
    <w:next w:val="1"/>
    <w:qFormat/>
    <w:uiPriority w:val="0"/>
    <w:pPr>
      <w:keepNext/>
      <w:keepLines/>
      <w:autoSpaceDE w:val="0"/>
      <w:autoSpaceDN w:val="0"/>
      <w:adjustRightInd w:val="0"/>
      <w:spacing w:before="20" w:line="288" w:lineRule="auto"/>
      <w:jc w:val="left"/>
      <w:textAlignment w:val="baseline"/>
      <w:outlineLvl w:val="3"/>
    </w:pPr>
    <w:rPr>
      <w:rFonts w:eastAsia="长城楷体"/>
      <w:b/>
      <w:kern w:val="0"/>
      <w:sz w:val="28"/>
      <w:szCs w:val="20"/>
    </w:rPr>
  </w:style>
  <w:style w:type="paragraph" w:styleId="7">
    <w:name w:val="heading 5"/>
    <w:basedOn w:val="1"/>
    <w:next w:val="1"/>
    <w:qFormat/>
    <w:uiPriority w:val="0"/>
    <w:pPr>
      <w:keepNext/>
      <w:keepLines/>
      <w:autoSpaceDE w:val="0"/>
      <w:autoSpaceDN w:val="0"/>
      <w:adjustRightInd w:val="0"/>
      <w:spacing w:line="288" w:lineRule="auto"/>
      <w:jc w:val="left"/>
      <w:textAlignment w:val="baseline"/>
      <w:outlineLvl w:val="4"/>
    </w:pPr>
    <w:rPr>
      <w:b/>
      <w:kern w:val="0"/>
      <w:sz w:val="24"/>
      <w:szCs w:val="20"/>
    </w:rPr>
  </w:style>
  <w:style w:type="paragraph" w:styleId="8">
    <w:name w:val="heading 6"/>
    <w:basedOn w:val="1"/>
    <w:next w:val="1"/>
    <w:qFormat/>
    <w:uiPriority w:val="0"/>
    <w:pPr>
      <w:keepNext/>
      <w:keepLines/>
      <w:autoSpaceDE w:val="0"/>
      <w:autoSpaceDN w:val="0"/>
      <w:adjustRightInd w:val="0"/>
      <w:spacing w:before="240" w:after="64" w:line="320" w:lineRule="auto"/>
      <w:jc w:val="left"/>
      <w:textAlignment w:val="baseline"/>
      <w:outlineLvl w:val="5"/>
    </w:pPr>
    <w:rPr>
      <w:rFonts w:ascii="Arial" w:hAnsi="Arial" w:eastAsia="黑体"/>
      <w:b/>
      <w:kern w:val="0"/>
      <w:sz w:val="24"/>
      <w:szCs w:val="20"/>
    </w:rPr>
  </w:style>
  <w:style w:type="paragraph" w:styleId="9">
    <w:name w:val="heading 7"/>
    <w:basedOn w:val="1"/>
    <w:next w:val="1"/>
    <w:qFormat/>
    <w:uiPriority w:val="0"/>
    <w:pPr>
      <w:keepNext/>
      <w:keepLines/>
      <w:autoSpaceDE w:val="0"/>
      <w:autoSpaceDN w:val="0"/>
      <w:adjustRightInd w:val="0"/>
      <w:spacing w:before="240" w:after="64" w:line="320" w:lineRule="auto"/>
      <w:jc w:val="left"/>
      <w:textAlignment w:val="baseline"/>
      <w:outlineLvl w:val="6"/>
    </w:pPr>
    <w:rPr>
      <w:b/>
      <w:kern w:val="0"/>
      <w:sz w:val="24"/>
      <w:szCs w:val="20"/>
    </w:rPr>
  </w:style>
  <w:style w:type="paragraph" w:styleId="10">
    <w:name w:val="heading 8"/>
    <w:basedOn w:val="1"/>
    <w:next w:val="1"/>
    <w:qFormat/>
    <w:uiPriority w:val="0"/>
    <w:pPr>
      <w:keepNext/>
      <w:keepLines/>
      <w:autoSpaceDE w:val="0"/>
      <w:autoSpaceDN w:val="0"/>
      <w:adjustRightInd w:val="0"/>
      <w:spacing w:before="240" w:after="64" w:line="320" w:lineRule="auto"/>
      <w:jc w:val="left"/>
      <w:textAlignment w:val="baseline"/>
      <w:outlineLvl w:val="7"/>
    </w:pPr>
    <w:rPr>
      <w:rFonts w:ascii="Arial" w:hAnsi="Arial" w:eastAsia="黑体"/>
      <w:kern w:val="0"/>
      <w:sz w:val="24"/>
      <w:szCs w:val="20"/>
    </w:rPr>
  </w:style>
  <w:style w:type="paragraph" w:styleId="11">
    <w:name w:val="heading 9"/>
    <w:basedOn w:val="1"/>
    <w:next w:val="1"/>
    <w:qFormat/>
    <w:uiPriority w:val="0"/>
    <w:pPr>
      <w:keepNext/>
      <w:keepLines/>
      <w:autoSpaceDE w:val="0"/>
      <w:autoSpaceDN w:val="0"/>
      <w:adjustRightInd w:val="0"/>
      <w:spacing w:before="240" w:after="64" w:line="320" w:lineRule="auto"/>
      <w:jc w:val="left"/>
      <w:textAlignment w:val="baseline"/>
      <w:outlineLvl w:val="8"/>
    </w:pPr>
    <w:rPr>
      <w:rFonts w:ascii="Arial" w:hAnsi="Arial" w:eastAsia="黑体"/>
      <w:kern w:val="0"/>
      <w:szCs w:val="20"/>
    </w:rPr>
  </w:style>
  <w:style w:type="character" w:default="1" w:styleId="35">
    <w:name w:val="Default Paragraph Font"/>
    <w:qFormat/>
    <w:uiPriority w:val="0"/>
  </w:style>
  <w:style w:type="table" w:default="1" w:styleId="33">
    <w:name w:val="Normal Table"/>
    <w:semiHidden/>
    <w:qFormat/>
    <w:uiPriority w:val="0"/>
    <w:tblPr>
      <w:tblCellMar>
        <w:top w:w="0" w:type="dxa"/>
        <w:left w:w="108" w:type="dxa"/>
        <w:bottom w:w="0" w:type="dxa"/>
        <w:right w:w="108" w:type="dxa"/>
      </w:tblCellMar>
    </w:tblPr>
  </w:style>
  <w:style w:type="paragraph" w:styleId="2">
    <w:name w:val="Body Text"/>
    <w:basedOn w:val="1"/>
    <w:link w:val="61"/>
    <w:qFormat/>
    <w:uiPriority w:val="0"/>
    <w:pPr>
      <w:spacing w:after="120"/>
    </w:pPr>
  </w:style>
  <w:style w:type="paragraph" w:styleId="12">
    <w:name w:val="Normal Indent"/>
    <w:basedOn w:val="1"/>
    <w:link w:val="62"/>
    <w:qFormat/>
    <w:uiPriority w:val="0"/>
    <w:pPr>
      <w:ind w:firstLine="420" w:firstLineChars="200"/>
    </w:pPr>
  </w:style>
  <w:style w:type="paragraph" w:styleId="13">
    <w:name w:val="Document Map"/>
    <w:basedOn w:val="1"/>
    <w:qFormat/>
    <w:uiPriority w:val="0"/>
    <w:pPr>
      <w:shd w:val="clear" w:color="auto" w:fill="000080"/>
    </w:pPr>
  </w:style>
  <w:style w:type="paragraph" w:styleId="14">
    <w:name w:val="annotation text"/>
    <w:basedOn w:val="1"/>
    <w:qFormat/>
    <w:uiPriority w:val="0"/>
    <w:pPr>
      <w:jc w:val="left"/>
    </w:pPr>
  </w:style>
  <w:style w:type="paragraph" w:styleId="15">
    <w:name w:val="Body Text Indent"/>
    <w:basedOn w:val="1"/>
    <w:next w:val="16"/>
    <w:qFormat/>
    <w:uiPriority w:val="0"/>
    <w:pPr>
      <w:spacing w:line="360" w:lineRule="auto"/>
      <w:ind w:firstLine="555"/>
    </w:pPr>
    <w:rPr>
      <w:rFonts w:ascii="仿宋_GB2312" w:eastAsia="仿宋_GB2312"/>
      <w:sz w:val="28"/>
      <w:szCs w:val="20"/>
    </w:rPr>
  </w:style>
  <w:style w:type="paragraph" w:styleId="16">
    <w:name w:val="header"/>
    <w:basedOn w:val="1"/>
    <w:next w:val="17"/>
    <w:link w:val="57"/>
    <w:qFormat/>
    <w:uiPriority w:val="0"/>
    <w:pPr>
      <w:pBdr>
        <w:bottom w:val="single" w:color="auto" w:sz="6" w:space="1"/>
      </w:pBdr>
      <w:tabs>
        <w:tab w:val="center" w:pos="4153"/>
        <w:tab w:val="right" w:pos="8306"/>
      </w:tabs>
      <w:snapToGrid w:val="0"/>
      <w:jc w:val="center"/>
    </w:pPr>
    <w:rPr>
      <w:sz w:val="18"/>
      <w:szCs w:val="18"/>
    </w:rPr>
  </w:style>
  <w:style w:type="paragraph" w:customStyle="1" w:styleId="17">
    <w:name w:val="样式5"/>
    <w:basedOn w:val="1"/>
    <w:qFormat/>
    <w:uiPriority w:val="0"/>
    <w:pPr>
      <w:snapToGrid w:val="0"/>
      <w:spacing w:line="360" w:lineRule="auto"/>
      <w:ind w:firstLine="510"/>
    </w:pPr>
    <w:rPr>
      <w:sz w:val="24"/>
    </w:rPr>
  </w:style>
  <w:style w:type="paragraph" w:styleId="18">
    <w:name w:val="Plain Text"/>
    <w:basedOn w:val="1"/>
    <w:link w:val="50"/>
    <w:qFormat/>
    <w:uiPriority w:val="0"/>
    <w:rPr>
      <w:rFonts w:ascii="宋体" w:hAnsi="Courier New" w:eastAsia="仿宋_GB2312"/>
      <w:sz w:val="28"/>
      <w:szCs w:val="20"/>
    </w:rPr>
  </w:style>
  <w:style w:type="paragraph" w:styleId="19">
    <w:name w:val="Date"/>
    <w:basedOn w:val="1"/>
    <w:next w:val="1"/>
    <w:link w:val="63"/>
    <w:qFormat/>
    <w:uiPriority w:val="0"/>
    <w:rPr>
      <w:sz w:val="28"/>
      <w:szCs w:val="20"/>
    </w:rPr>
  </w:style>
  <w:style w:type="paragraph" w:styleId="20">
    <w:name w:val="Body Text Indent 2"/>
    <w:basedOn w:val="1"/>
    <w:next w:val="1"/>
    <w:qFormat/>
    <w:uiPriority w:val="0"/>
    <w:pPr>
      <w:spacing w:after="120" w:line="480" w:lineRule="auto"/>
      <w:ind w:left="420" w:leftChars="200"/>
    </w:pPr>
  </w:style>
  <w:style w:type="paragraph" w:styleId="21">
    <w:name w:val="Balloon Text"/>
    <w:basedOn w:val="1"/>
    <w:qFormat/>
    <w:uiPriority w:val="0"/>
    <w:rPr>
      <w:sz w:val="18"/>
      <w:szCs w:val="18"/>
    </w:rPr>
  </w:style>
  <w:style w:type="paragraph" w:styleId="22">
    <w:name w:val="footer"/>
    <w:basedOn w:val="1"/>
    <w:qFormat/>
    <w:uiPriority w:val="0"/>
    <w:pPr>
      <w:tabs>
        <w:tab w:val="center" w:pos="4153"/>
        <w:tab w:val="right" w:pos="8306"/>
      </w:tabs>
      <w:snapToGrid w:val="0"/>
      <w:jc w:val="left"/>
    </w:pPr>
    <w:rPr>
      <w:sz w:val="18"/>
      <w:szCs w:val="18"/>
    </w:rPr>
  </w:style>
  <w:style w:type="paragraph" w:styleId="23">
    <w:name w:val="toc 1"/>
    <w:basedOn w:val="1"/>
    <w:next w:val="1"/>
    <w:qFormat/>
    <w:uiPriority w:val="0"/>
  </w:style>
  <w:style w:type="paragraph" w:styleId="24">
    <w:name w:val="List"/>
    <w:basedOn w:val="1"/>
    <w:qFormat/>
    <w:uiPriority w:val="0"/>
    <w:pPr>
      <w:ind w:left="200" w:hanging="200" w:hangingChars="200"/>
    </w:pPr>
  </w:style>
  <w:style w:type="paragraph" w:styleId="25">
    <w:name w:val="Body Text Indent 3"/>
    <w:basedOn w:val="1"/>
    <w:qFormat/>
    <w:uiPriority w:val="0"/>
    <w:pPr>
      <w:spacing w:after="120"/>
      <w:ind w:left="420" w:leftChars="200"/>
    </w:pPr>
    <w:rPr>
      <w:sz w:val="16"/>
      <w:szCs w:val="16"/>
    </w:rPr>
  </w:style>
  <w:style w:type="paragraph" w:styleId="26">
    <w:name w:val="table of figures"/>
    <w:basedOn w:val="1"/>
    <w:next w:val="1"/>
    <w:qFormat/>
    <w:uiPriority w:val="0"/>
    <w:pPr>
      <w:spacing w:before="120"/>
      <w:ind w:firstLine="420" w:firstLineChars="200"/>
    </w:pPr>
    <w:rPr>
      <w:rFonts w:ascii="黑体" w:eastAsia="黑体"/>
      <w:kern w:val="0"/>
      <w:szCs w:val="21"/>
    </w:rPr>
  </w:style>
  <w:style w:type="paragraph" w:styleId="27">
    <w:name w:val="Body Text 2"/>
    <w:basedOn w:val="1"/>
    <w:qFormat/>
    <w:uiPriority w:val="0"/>
    <w:pPr>
      <w:spacing w:after="120" w:line="480" w:lineRule="auto"/>
    </w:pPr>
  </w:style>
  <w:style w:type="paragraph" w:styleId="2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9">
    <w:name w:val="Normal (Web)"/>
    <w:basedOn w:val="1"/>
    <w:qFormat/>
    <w:uiPriority w:val="0"/>
    <w:pPr>
      <w:spacing w:before="100" w:beforeAutospacing="1" w:after="100" w:afterAutospacing="1"/>
      <w:jc w:val="left"/>
    </w:pPr>
    <w:rPr>
      <w:kern w:val="0"/>
      <w:sz w:val="24"/>
    </w:rPr>
  </w:style>
  <w:style w:type="paragraph" w:styleId="30">
    <w:name w:val="annotation subject"/>
    <w:basedOn w:val="14"/>
    <w:next w:val="14"/>
    <w:qFormat/>
    <w:uiPriority w:val="0"/>
    <w:rPr>
      <w:b/>
      <w:bCs/>
    </w:rPr>
  </w:style>
  <w:style w:type="paragraph" w:styleId="31">
    <w:name w:val="Body Text First Indent"/>
    <w:basedOn w:val="1"/>
    <w:qFormat/>
    <w:uiPriority w:val="0"/>
    <w:pPr>
      <w:ind w:firstLine="420" w:firstLineChars="100"/>
    </w:pPr>
    <w:rPr>
      <w:szCs w:val="20"/>
    </w:rPr>
  </w:style>
  <w:style w:type="paragraph" w:styleId="32">
    <w:name w:val="Body Text First Indent 2"/>
    <w:basedOn w:val="15"/>
    <w:next w:val="1"/>
    <w:qFormat/>
    <w:uiPriority w:val="0"/>
    <w:pPr>
      <w:ind w:firstLine="420" w:firstLineChars="200"/>
    </w:p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qFormat/>
    <w:uiPriority w:val="0"/>
  </w:style>
  <w:style w:type="character" w:styleId="37">
    <w:name w:val="page number"/>
    <w:basedOn w:val="35"/>
    <w:qFormat/>
    <w:uiPriority w:val="0"/>
  </w:style>
  <w:style w:type="character" w:styleId="38">
    <w:name w:val="FollowedHyperlink"/>
    <w:basedOn w:val="35"/>
    <w:qFormat/>
    <w:uiPriority w:val="0"/>
    <w:rPr>
      <w:color w:val="333333"/>
      <w:u w:val="none"/>
    </w:rPr>
  </w:style>
  <w:style w:type="character" w:styleId="39">
    <w:name w:val="Emphasis"/>
    <w:basedOn w:val="35"/>
    <w:qFormat/>
    <w:uiPriority w:val="0"/>
  </w:style>
  <w:style w:type="character" w:styleId="40">
    <w:name w:val="Hyperlink"/>
    <w:basedOn w:val="35"/>
    <w:qFormat/>
    <w:uiPriority w:val="0"/>
    <w:rPr>
      <w:color w:val="333333"/>
      <w:u w:val="none"/>
    </w:rPr>
  </w:style>
  <w:style w:type="character" w:styleId="41">
    <w:name w:val="annotation reference"/>
    <w:qFormat/>
    <w:uiPriority w:val="0"/>
    <w:rPr>
      <w:sz w:val="21"/>
      <w:szCs w:val="21"/>
    </w:rPr>
  </w:style>
  <w:style w:type="character" w:styleId="42">
    <w:name w:val="HTML Cite"/>
    <w:basedOn w:val="35"/>
    <w:qFormat/>
    <w:uiPriority w:val="0"/>
  </w:style>
  <w:style w:type="paragraph" w:customStyle="1" w:styleId="43">
    <w:name w:val="Default"/>
    <w:next w:val="1"/>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 w:type="character" w:customStyle="1" w:styleId="44">
    <w:name w:val="textbig1"/>
    <w:qFormat/>
    <w:uiPriority w:val="0"/>
    <w:rPr>
      <w:sz w:val="18"/>
      <w:szCs w:val="18"/>
    </w:rPr>
  </w:style>
  <w:style w:type="character" w:customStyle="1" w:styleId="45">
    <w:name w:val="报告表正文 Char Char"/>
    <w:link w:val="46"/>
    <w:qFormat/>
    <w:uiPriority w:val="0"/>
    <w:rPr>
      <w:sz w:val="24"/>
    </w:rPr>
  </w:style>
  <w:style w:type="paragraph" w:customStyle="1" w:styleId="46">
    <w:name w:val="报告表正文"/>
    <w:basedOn w:val="1"/>
    <w:link w:val="45"/>
    <w:qFormat/>
    <w:uiPriority w:val="0"/>
    <w:pPr>
      <w:adjustRightInd w:val="0"/>
      <w:spacing w:line="312" w:lineRule="auto"/>
      <w:ind w:left="113" w:right="113" w:firstLine="482"/>
      <w:jc w:val="left"/>
      <w:textAlignment w:val="baseline"/>
    </w:pPr>
    <w:rPr>
      <w:kern w:val="0"/>
      <w:sz w:val="24"/>
      <w:szCs w:val="20"/>
    </w:rPr>
  </w:style>
  <w:style w:type="character" w:customStyle="1" w:styleId="47">
    <w:name w:val="font81"/>
    <w:basedOn w:val="35"/>
    <w:qFormat/>
    <w:uiPriority w:val="0"/>
    <w:rPr>
      <w:rFonts w:hint="eastAsia" w:ascii="宋体" w:hAnsi="宋体" w:eastAsia="宋体" w:cs="宋体"/>
      <w:color w:val="000000"/>
      <w:sz w:val="20"/>
      <w:szCs w:val="20"/>
      <w:u w:val="none"/>
    </w:rPr>
  </w:style>
  <w:style w:type="character" w:customStyle="1" w:styleId="48">
    <w:name w:val="表头 Char2"/>
    <w:link w:val="49"/>
    <w:qFormat/>
    <w:uiPriority w:val="0"/>
    <w:rPr>
      <w:rFonts w:ascii="黑体" w:eastAsia="黑体"/>
      <w:snapToGrid w:val="0"/>
      <w:spacing w:val="10"/>
      <w:w w:val="98"/>
      <w:kern w:val="21"/>
      <w:sz w:val="21"/>
      <w:lang w:val="en-US" w:eastAsia="zh-CN" w:bidi="ar-SA"/>
    </w:rPr>
  </w:style>
  <w:style w:type="paragraph" w:customStyle="1" w:styleId="49">
    <w:name w:val="表头"/>
    <w:basedOn w:val="1"/>
    <w:next w:val="1"/>
    <w:link w:val="48"/>
    <w:qFormat/>
    <w:uiPriority w:val="0"/>
    <w:pPr>
      <w:keepNext/>
      <w:snapToGrid w:val="0"/>
      <w:spacing w:before="60" w:after="60" w:line="400" w:lineRule="exact"/>
      <w:jc w:val="center"/>
    </w:pPr>
    <w:rPr>
      <w:rFonts w:ascii="黑体" w:eastAsia="黑体"/>
      <w:snapToGrid w:val="0"/>
      <w:spacing w:val="10"/>
      <w:w w:val="98"/>
      <w:kern w:val="21"/>
      <w:szCs w:val="20"/>
    </w:rPr>
  </w:style>
  <w:style w:type="character" w:customStyle="1" w:styleId="50">
    <w:name w:val="纯文本 Char"/>
    <w:link w:val="18"/>
    <w:qFormat/>
    <w:uiPriority w:val="0"/>
    <w:rPr>
      <w:rFonts w:ascii="宋体" w:hAnsi="Courier New" w:eastAsia="仿宋_GB2312"/>
      <w:kern w:val="2"/>
      <w:sz w:val="28"/>
      <w:lang w:val="en-US" w:eastAsia="zh-CN" w:bidi="ar-SA"/>
    </w:rPr>
  </w:style>
  <w:style w:type="character" w:customStyle="1" w:styleId="51">
    <w:name w:val="表格小四 Char Char"/>
    <w:link w:val="52"/>
    <w:qFormat/>
    <w:uiPriority w:val="0"/>
    <w:rPr>
      <w:rFonts w:ascii="宋体" w:hAnsi="宋体" w:eastAsia="宋体" w:cs="宋体"/>
      <w:color w:val="000000"/>
      <w:sz w:val="24"/>
      <w:szCs w:val="24"/>
      <w:lang w:val="en-US" w:eastAsia="zh-CN" w:bidi="ar-SA"/>
    </w:rPr>
  </w:style>
  <w:style w:type="paragraph" w:customStyle="1" w:styleId="52">
    <w:name w:val="表格小四"/>
    <w:basedOn w:val="1"/>
    <w:link w:val="51"/>
    <w:qFormat/>
    <w:uiPriority w:val="0"/>
    <w:pPr>
      <w:widowControl/>
      <w:adjustRightInd w:val="0"/>
      <w:snapToGrid w:val="0"/>
      <w:jc w:val="center"/>
    </w:pPr>
    <w:rPr>
      <w:rFonts w:ascii="宋体" w:hAnsi="宋体" w:cs="宋体"/>
      <w:color w:val="000000"/>
      <w:kern w:val="0"/>
      <w:sz w:val="24"/>
    </w:rPr>
  </w:style>
  <w:style w:type="character" w:customStyle="1" w:styleId="53">
    <w:name w:val="font21"/>
    <w:basedOn w:val="35"/>
    <w:qFormat/>
    <w:uiPriority w:val="0"/>
    <w:rPr>
      <w:rFonts w:hint="eastAsia" w:ascii="宋体" w:hAnsi="宋体" w:eastAsia="宋体" w:cs="宋体"/>
      <w:color w:val="800080"/>
      <w:sz w:val="20"/>
      <w:szCs w:val="20"/>
      <w:u w:val="none"/>
    </w:rPr>
  </w:style>
  <w:style w:type="character" w:customStyle="1" w:styleId="54">
    <w:name w:val="标题 1 Char"/>
    <w:link w:val="3"/>
    <w:qFormat/>
    <w:uiPriority w:val="0"/>
    <w:rPr>
      <w:rFonts w:eastAsia="宋体"/>
      <w:b/>
      <w:bCs/>
      <w:kern w:val="44"/>
      <w:sz w:val="44"/>
      <w:szCs w:val="44"/>
      <w:lang w:val="en-US" w:eastAsia="zh-CN" w:bidi="ar-SA"/>
    </w:rPr>
  </w:style>
  <w:style w:type="character" w:customStyle="1" w:styleId="55">
    <w:name w:val="表、图名 Char Char"/>
    <w:link w:val="56"/>
    <w:qFormat/>
    <w:uiPriority w:val="0"/>
    <w:rPr>
      <w:rFonts w:ascii="黑体" w:hAnsi="宋体" w:eastAsia="黑体"/>
      <w:b/>
      <w:sz w:val="24"/>
      <w:szCs w:val="24"/>
      <w:lang w:val="en-US" w:eastAsia="zh-CN" w:bidi="ar-SA"/>
    </w:rPr>
  </w:style>
  <w:style w:type="paragraph" w:customStyle="1" w:styleId="56">
    <w:name w:val="表、图名"/>
    <w:basedOn w:val="1"/>
    <w:link w:val="55"/>
    <w:qFormat/>
    <w:uiPriority w:val="0"/>
    <w:pPr>
      <w:tabs>
        <w:tab w:val="left" w:pos="3600"/>
      </w:tabs>
      <w:adjustRightInd w:val="0"/>
      <w:snapToGrid w:val="0"/>
      <w:jc w:val="center"/>
    </w:pPr>
    <w:rPr>
      <w:rFonts w:ascii="黑体" w:hAnsi="宋体" w:eastAsia="黑体"/>
      <w:b/>
      <w:kern w:val="0"/>
      <w:sz w:val="24"/>
    </w:rPr>
  </w:style>
  <w:style w:type="character" w:customStyle="1" w:styleId="57">
    <w:name w:val="页眉 Char"/>
    <w:basedOn w:val="35"/>
    <w:link w:val="16"/>
    <w:qFormat/>
    <w:uiPriority w:val="0"/>
    <w:rPr>
      <w:kern w:val="2"/>
      <w:sz w:val="18"/>
      <w:szCs w:val="18"/>
    </w:rPr>
  </w:style>
  <w:style w:type="character" w:customStyle="1" w:styleId="58">
    <w:name w:val="表格 Char"/>
    <w:link w:val="59"/>
    <w:qFormat/>
    <w:uiPriority w:val="0"/>
    <w:rPr>
      <w:rFonts w:eastAsia="宋体"/>
      <w:kern w:val="2"/>
      <w:sz w:val="24"/>
      <w:lang w:val="en-US" w:eastAsia="zh-CN" w:bidi="ar-SA"/>
    </w:rPr>
  </w:style>
  <w:style w:type="paragraph" w:customStyle="1" w:styleId="59">
    <w:name w:val="表格"/>
    <w:basedOn w:val="1"/>
    <w:next w:val="1"/>
    <w:link w:val="58"/>
    <w:qFormat/>
    <w:uiPriority w:val="0"/>
    <w:pPr>
      <w:jc w:val="center"/>
    </w:pPr>
    <w:rPr>
      <w:sz w:val="24"/>
      <w:szCs w:val="20"/>
    </w:rPr>
  </w:style>
  <w:style w:type="character" w:customStyle="1" w:styleId="60">
    <w:name w:val="标题 3 Char"/>
    <w:basedOn w:val="35"/>
    <w:link w:val="5"/>
    <w:qFormat/>
    <w:uiPriority w:val="0"/>
    <w:rPr>
      <w:rFonts w:eastAsia="黑体"/>
      <w:b/>
      <w:sz w:val="28"/>
      <w:lang w:val="en-US" w:eastAsia="zh-CN" w:bidi="ar-SA"/>
    </w:rPr>
  </w:style>
  <w:style w:type="character" w:customStyle="1" w:styleId="61">
    <w:name w:val="正文文本 Char"/>
    <w:link w:val="2"/>
    <w:qFormat/>
    <w:uiPriority w:val="0"/>
    <w:rPr>
      <w:rFonts w:eastAsia="宋体"/>
      <w:kern w:val="2"/>
      <w:sz w:val="21"/>
      <w:szCs w:val="24"/>
      <w:lang w:val="en-US" w:eastAsia="zh-CN" w:bidi="ar-SA"/>
    </w:rPr>
  </w:style>
  <w:style w:type="character" w:customStyle="1" w:styleId="62">
    <w:name w:val="正文缩进 Char"/>
    <w:basedOn w:val="35"/>
    <w:link w:val="12"/>
    <w:qFormat/>
    <w:uiPriority w:val="0"/>
    <w:rPr>
      <w:kern w:val="2"/>
      <w:sz w:val="21"/>
      <w:szCs w:val="24"/>
    </w:rPr>
  </w:style>
  <w:style w:type="character" w:customStyle="1" w:styleId="63">
    <w:name w:val="日期 Char"/>
    <w:link w:val="19"/>
    <w:qFormat/>
    <w:uiPriority w:val="0"/>
    <w:rPr>
      <w:kern w:val="2"/>
      <w:sz w:val="28"/>
    </w:rPr>
  </w:style>
  <w:style w:type="character" w:customStyle="1" w:styleId="64">
    <w:name w:val="纯文本 Char1"/>
    <w:qFormat/>
    <w:uiPriority w:val="0"/>
    <w:rPr>
      <w:rFonts w:eastAsia="宋体"/>
      <w:spacing w:val="8"/>
      <w:kern w:val="2"/>
      <w:sz w:val="24"/>
      <w:lang w:val="en-US" w:eastAsia="zh-CN" w:bidi="ar-SA"/>
    </w:rPr>
  </w:style>
  <w:style w:type="character" w:customStyle="1" w:styleId="65">
    <w:name w:val="样式1 Char"/>
    <w:basedOn w:val="35"/>
    <w:link w:val="66"/>
    <w:qFormat/>
    <w:uiPriority w:val="0"/>
    <w:rPr>
      <w:rFonts w:eastAsia="楷体_GB2312"/>
      <w:kern w:val="2"/>
      <w:sz w:val="21"/>
    </w:rPr>
  </w:style>
  <w:style w:type="paragraph" w:customStyle="1" w:styleId="66">
    <w:name w:val="样式1"/>
    <w:basedOn w:val="1"/>
    <w:link w:val="65"/>
    <w:qFormat/>
    <w:uiPriority w:val="0"/>
    <w:pPr>
      <w:spacing w:after="40" w:line="300" w:lineRule="atLeast"/>
      <w:jc w:val="center"/>
      <w:outlineLvl w:val="2"/>
    </w:pPr>
    <w:rPr>
      <w:rFonts w:eastAsia="楷体_GB2312"/>
      <w:szCs w:val="20"/>
    </w:rPr>
  </w:style>
  <w:style w:type="paragraph" w:customStyle="1" w:styleId="67">
    <w:name w:val="正文修改"/>
    <w:basedOn w:val="1"/>
    <w:qFormat/>
    <w:uiPriority w:val="0"/>
    <w:pPr>
      <w:spacing w:line="360" w:lineRule="auto"/>
      <w:ind w:firstLine="480" w:firstLineChars="200"/>
    </w:pPr>
    <w:rPr>
      <w:rFonts w:cs="宋体"/>
      <w:sz w:val="24"/>
      <w:szCs w:val="20"/>
    </w:rPr>
  </w:style>
  <w:style w:type="paragraph" w:customStyle="1" w:styleId="68">
    <w:name w:val="正文 小四 行距: 1.5 倍行距"/>
    <w:basedOn w:val="1"/>
    <w:qFormat/>
    <w:uiPriority w:val="0"/>
    <w:pPr>
      <w:spacing w:line="360" w:lineRule="auto"/>
      <w:ind w:firstLine="480" w:firstLineChars="200"/>
    </w:pPr>
    <w:rPr>
      <w:rFonts w:cs="宋体"/>
      <w:sz w:val="24"/>
      <w:szCs w:val="20"/>
    </w:rPr>
  </w:style>
  <w:style w:type="paragraph" w:customStyle="1" w:styleId="69">
    <w:name w:val="正文格式"/>
    <w:basedOn w:val="31"/>
    <w:next w:val="22"/>
    <w:qFormat/>
    <w:uiPriority w:val="0"/>
    <w:pPr>
      <w:ind w:firstLine="200"/>
    </w:pPr>
    <w:rPr>
      <w:rFonts w:ascii="宋体"/>
    </w:rPr>
  </w:style>
  <w:style w:type="paragraph" w:customStyle="1" w:styleId="70">
    <w:name w:val="+正文"/>
    <w:basedOn w:val="1"/>
    <w:qFormat/>
    <w:uiPriority w:val="0"/>
    <w:pPr>
      <w:spacing w:line="360" w:lineRule="auto"/>
      <w:ind w:firstLine="200" w:firstLineChars="200"/>
    </w:pPr>
    <w:rPr>
      <w:sz w:val="28"/>
      <w:szCs w:val="28"/>
    </w:rPr>
  </w:style>
  <w:style w:type="paragraph" w:customStyle="1" w:styleId="71">
    <w:name w:val="邓正文"/>
    <w:basedOn w:val="1"/>
    <w:qFormat/>
    <w:uiPriority w:val="0"/>
    <w:pPr>
      <w:snapToGrid w:val="0"/>
      <w:ind w:firstLine="360" w:firstLineChars="150"/>
      <w:jc w:val="left"/>
    </w:pPr>
    <w:rPr>
      <w:rFonts w:ascii="宋体" w:hAnsi="宋体" w:eastAsia="仿宋_GB2312"/>
      <w:color w:val="000000"/>
      <w:kern w:val="0"/>
      <w:sz w:val="20"/>
      <w:szCs w:val="20"/>
    </w:rPr>
  </w:style>
  <w:style w:type="paragraph" w:customStyle="1" w:styleId="72">
    <w:name w:val="style1"/>
    <w:basedOn w:val="1"/>
    <w:qFormat/>
    <w:uiPriority w:val="0"/>
    <w:pPr>
      <w:jc w:val="left"/>
    </w:pPr>
    <w:rPr>
      <w:rFonts w:ascii="宋体" w:hAnsi="宋体"/>
      <w:kern w:val="0"/>
      <w:sz w:val="40"/>
      <w:szCs w:val="40"/>
    </w:rPr>
  </w:style>
  <w:style w:type="paragraph" w:customStyle="1" w:styleId="73">
    <w:name w:val="中文报告书样式"/>
    <w:basedOn w:val="1"/>
    <w:qFormat/>
    <w:uiPriority w:val="0"/>
    <w:pPr>
      <w:adjustRightInd w:val="0"/>
      <w:spacing w:line="420" w:lineRule="atLeast"/>
      <w:textAlignment w:val="baseline"/>
    </w:pPr>
    <w:rPr>
      <w:kern w:val="24"/>
      <w:sz w:val="24"/>
      <w:szCs w:val="20"/>
    </w:rPr>
  </w:style>
  <w:style w:type="paragraph" w:customStyle="1" w:styleId="74">
    <w:name w:val="无悬挂正文5号"/>
    <w:basedOn w:val="1"/>
    <w:qFormat/>
    <w:uiPriority w:val="0"/>
    <w:pPr>
      <w:jc w:val="center"/>
    </w:pPr>
  </w:style>
  <w:style w:type="paragraph" w:customStyle="1" w:styleId="75">
    <w:name w:val="表格内文字"/>
    <w:basedOn w:val="1"/>
    <w:qFormat/>
    <w:uiPriority w:val="0"/>
    <w:pPr>
      <w:tabs>
        <w:tab w:val="left" w:pos="0"/>
      </w:tabs>
      <w:autoSpaceDE w:val="0"/>
      <w:autoSpaceDN w:val="0"/>
      <w:adjustRightInd w:val="0"/>
      <w:snapToGrid w:val="0"/>
      <w:jc w:val="center"/>
      <w:textAlignment w:val="baseline"/>
    </w:pPr>
    <w:rPr>
      <w:rFonts w:eastAsia="仿宋_GB2312"/>
      <w:sz w:val="24"/>
    </w:rPr>
  </w:style>
  <w:style w:type="paragraph" w:customStyle="1" w:styleId="76">
    <w:name w:val="标题三"/>
    <w:next w:val="1"/>
    <w:qFormat/>
    <w:uiPriority w:val="0"/>
    <w:pPr>
      <w:numPr>
        <w:ilvl w:val="2"/>
        <w:numId w:val="1"/>
      </w:numPr>
      <w:autoSpaceDE w:val="0"/>
      <w:autoSpaceDN w:val="0"/>
      <w:adjustRightInd w:val="0"/>
      <w:spacing w:line="360" w:lineRule="auto"/>
      <w:jc w:val="both"/>
      <w:outlineLvl w:val="2"/>
    </w:pPr>
    <w:rPr>
      <w:rFonts w:ascii="Times New Roman" w:hAnsi="Times New Roman" w:eastAsia="宋体" w:cs="Times New Roman"/>
      <w:b/>
      <w:sz w:val="28"/>
      <w:szCs w:val="28"/>
      <w:lang w:val="zh-CN" w:eastAsia="zh-CN" w:bidi="ar-SA"/>
    </w:rPr>
  </w:style>
  <w:style w:type="paragraph" w:customStyle="1" w:styleId="77">
    <w:name w:val="表格中文字"/>
    <w:basedOn w:val="1"/>
    <w:qFormat/>
    <w:uiPriority w:val="0"/>
    <w:pPr>
      <w:adjustRightInd w:val="0"/>
      <w:snapToGrid w:val="0"/>
      <w:jc w:val="center"/>
    </w:pPr>
    <w:rPr>
      <w:kern w:val="18"/>
      <w:szCs w:val="21"/>
    </w:rPr>
  </w:style>
  <w:style w:type="paragraph" w:customStyle="1" w:styleId="78">
    <w:name w:val="Char"/>
    <w:basedOn w:val="1"/>
    <w:qFormat/>
    <w:uiPriority w:val="0"/>
    <w:rPr>
      <w:rFonts w:ascii="Tahoma" w:hAnsi="Tahoma"/>
      <w:sz w:val="24"/>
      <w:szCs w:val="20"/>
    </w:rPr>
  </w:style>
  <w:style w:type="paragraph" w:customStyle="1" w:styleId="79">
    <w:name w:val=" Char Char Char Char Char Char1 Char"/>
    <w:basedOn w:val="1"/>
    <w:qFormat/>
    <w:uiPriority w:val="0"/>
  </w:style>
  <w:style w:type="paragraph" w:customStyle="1" w:styleId="80">
    <w:name w:val="Char1"/>
    <w:basedOn w:val="1"/>
    <w:qFormat/>
    <w:uiPriority w:val="0"/>
    <w:pPr>
      <w:adjustRightInd w:val="0"/>
      <w:snapToGrid w:val="0"/>
      <w:spacing w:line="360" w:lineRule="auto"/>
      <w:ind w:firstLine="200" w:firstLineChars="200"/>
    </w:pPr>
    <w:rPr>
      <w:rFonts w:ascii="仿宋_GB2312" w:eastAsia="仿宋_GB2312"/>
      <w:b/>
      <w:sz w:val="32"/>
      <w:szCs w:val="32"/>
    </w:rPr>
  </w:style>
  <w:style w:type="paragraph" w:customStyle="1" w:styleId="81">
    <w:name w:val=" Char Char Char Char Char Char Char Char Char Char Char Char Char Char Char Char Char Char"/>
    <w:basedOn w:val="1"/>
    <w:qFormat/>
    <w:uiPriority w:val="0"/>
  </w:style>
  <w:style w:type="paragraph" w:customStyle="1" w:styleId="82">
    <w:name w:val="报告书"/>
    <w:basedOn w:val="1"/>
    <w:qFormat/>
    <w:uiPriority w:val="0"/>
    <w:pPr>
      <w:adjustRightInd w:val="0"/>
      <w:snapToGrid w:val="0"/>
      <w:spacing w:line="440" w:lineRule="atLeast"/>
      <w:ind w:firstLine="482"/>
      <w:jc w:val="left"/>
      <w:textAlignment w:val="baseline"/>
    </w:pPr>
    <w:rPr>
      <w:rFonts w:ascii="宋体"/>
      <w:kern w:val="24"/>
      <w:sz w:val="24"/>
      <w:szCs w:val="20"/>
    </w:rPr>
  </w:style>
  <w:style w:type="paragraph" w:customStyle="1" w:styleId="83">
    <w:name w:val="表格头"/>
    <w:qFormat/>
    <w:uiPriority w:val="0"/>
    <w:pPr>
      <w:spacing w:before="120" w:after="120" w:line="480" w:lineRule="atLeast"/>
      <w:jc w:val="center"/>
    </w:pPr>
    <w:rPr>
      <w:rFonts w:ascii="Times New Roman" w:hAnsi="Times New Roman" w:eastAsia="宋体" w:cs="Times New Roman"/>
      <w:sz w:val="24"/>
      <w:szCs w:val="24"/>
      <w:lang w:val="en-US" w:eastAsia="zh-CN" w:bidi="ar-SA"/>
    </w:rPr>
  </w:style>
  <w:style w:type="paragraph" w:customStyle="1" w:styleId="84">
    <w:name w:val="a-表内"/>
    <w:qFormat/>
    <w:uiPriority w:val="0"/>
    <w:pPr>
      <w:adjustRightInd w:val="0"/>
      <w:snapToGrid w:val="0"/>
      <w:jc w:val="center"/>
    </w:pPr>
    <w:rPr>
      <w:rFonts w:ascii="Times New Roman" w:hAnsi="Times New Roman" w:eastAsia="宋体" w:cs="Times New Roman"/>
      <w:color w:val="000000"/>
      <w:kern w:val="2"/>
      <w:sz w:val="21"/>
      <w:szCs w:val="21"/>
      <w:lang w:val="en-US" w:eastAsia="zh-CN" w:bidi="ar-SA"/>
    </w:rPr>
  </w:style>
  <w:style w:type="paragraph" w:customStyle="1" w:styleId="85">
    <w:name w:val="样式2"/>
    <w:basedOn w:val="1"/>
    <w:qFormat/>
    <w:uiPriority w:val="0"/>
    <w:pPr>
      <w:adjustRightInd w:val="0"/>
      <w:ind w:left="170"/>
      <w:jc w:val="left"/>
      <w:textAlignment w:val="baseline"/>
    </w:pPr>
    <w:rPr>
      <w:b/>
      <w:kern w:val="0"/>
      <w:sz w:val="24"/>
      <w:szCs w:val="20"/>
      <w:lang w:eastAsia="ar-SA"/>
    </w:rPr>
  </w:style>
  <w:style w:type="paragraph" w:customStyle="1" w:styleId="86">
    <w:name w:val=" 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7">
    <w:name w:val="表格文字"/>
    <w:basedOn w:val="1"/>
    <w:next w:val="1"/>
    <w:qFormat/>
    <w:uiPriority w:val="0"/>
    <w:pPr>
      <w:autoSpaceDE w:val="0"/>
      <w:autoSpaceDN w:val="0"/>
      <w:adjustRightInd w:val="0"/>
      <w:jc w:val="center"/>
      <w:textAlignment w:val="bottom"/>
    </w:pPr>
    <w:rPr>
      <w:bCs/>
      <w:color w:val="000000"/>
      <w:spacing w:val="-10"/>
      <w:kern w:val="0"/>
      <w:szCs w:val="21"/>
    </w:rPr>
  </w:style>
  <w:style w:type="paragraph" w:customStyle="1" w:styleId="88">
    <w:name w:val="表文"/>
    <w:basedOn w:val="2"/>
    <w:next w:val="12"/>
    <w:qFormat/>
    <w:uiPriority w:val="0"/>
    <w:pPr>
      <w:spacing w:after="0" w:line="240" w:lineRule="exact"/>
    </w:pPr>
    <w:rPr>
      <w:rFonts w:ascii="宋体" w:hAnsi="宋体"/>
      <w:szCs w:val="20"/>
    </w:rPr>
  </w:style>
  <w:style w:type="paragraph" w:customStyle="1" w:styleId="89">
    <w:name w:val="样式9"/>
    <w:basedOn w:val="1"/>
    <w:qFormat/>
    <w:uiPriority w:val="0"/>
    <w:pPr>
      <w:tabs>
        <w:tab w:val="left" w:pos="147"/>
      </w:tabs>
      <w:spacing w:line="420" w:lineRule="auto"/>
      <w:ind w:firstLine="200" w:firstLineChars="200"/>
    </w:pPr>
    <w:rPr>
      <w:sz w:val="24"/>
    </w:rPr>
  </w:style>
  <w:style w:type="paragraph" w:customStyle="1" w:styleId="90">
    <w:name w:val="1-表头1"/>
    <w:basedOn w:val="1"/>
    <w:qFormat/>
    <w:uiPriority w:val="0"/>
    <w:pPr>
      <w:spacing w:line="360" w:lineRule="auto"/>
      <w:jc w:val="center"/>
    </w:pPr>
    <w:rPr>
      <w:rFonts w:eastAsia="Times New Roman"/>
      <w:szCs w:val="20"/>
    </w:rPr>
  </w:style>
  <w:style w:type="paragraph" w:customStyle="1" w:styleId="91">
    <w:name w:val="填表内容"/>
    <w:basedOn w:val="1"/>
    <w:qFormat/>
    <w:uiPriority w:val="0"/>
    <w:pPr>
      <w:adjustRightInd w:val="0"/>
      <w:spacing w:line="480" w:lineRule="exact"/>
      <w:ind w:firstLine="560" w:firstLineChars="200"/>
      <w:jc w:val="left"/>
      <w:textAlignment w:val="baseline"/>
    </w:pPr>
    <w:rPr>
      <w:rFonts w:ascii="楷体_GB2312" w:eastAsia="楷体_GB2312"/>
      <w:sz w:val="28"/>
      <w:szCs w:val="20"/>
    </w:rPr>
  </w:style>
  <w:style w:type="paragraph" w:customStyle="1" w:styleId="92">
    <w:name w:val="Body text|1"/>
    <w:basedOn w:val="1"/>
    <w:qFormat/>
    <w:uiPriority w:val="0"/>
    <w:pPr>
      <w:spacing w:line="446" w:lineRule="auto"/>
      <w:ind w:firstLine="400"/>
    </w:pPr>
    <w:rPr>
      <w:rFonts w:ascii="宋体" w:hAnsi="宋体" w:cs="宋体"/>
      <w:color w:val="5B725A"/>
      <w:sz w:val="20"/>
      <w:szCs w:val="20"/>
      <w:lang w:val="zh-TW" w:eastAsia="zh-TW" w:bidi="zh-TW"/>
    </w:rPr>
  </w:style>
  <w:style w:type="paragraph" w:customStyle="1" w:styleId="93">
    <w:name w:val="正文样式2"/>
    <w:basedOn w:val="1"/>
    <w:qFormat/>
    <w:uiPriority w:val="0"/>
    <w:pPr>
      <w:spacing w:line="560" w:lineRule="exact"/>
      <w:ind w:firstLine="601"/>
    </w:pPr>
    <w:rPr>
      <w:sz w:val="28"/>
    </w:rPr>
  </w:style>
  <w:style w:type="paragraph" w:customStyle="1" w:styleId="94">
    <w:name w:val="样式 首行缩进:  2 字符1"/>
    <w:basedOn w:val="1"/>
    <w:qFormat/>
    <w:uiPriority w:val="0"/>
    <w:pPr>
      <w:spacing w:before="120" w:line="400" w:lineRule="exact"/>
      <w:ind w:firstLine="200" w:firstLineChars="200"/>
    </w:pPr>
    <w:rPr>
      <w:rFonts w:ascii="宋体"/>
      <w:sz w:val="24"/>
      <w:szCs w:val="20"/>
    </w:rPr>
  </w:style>
  <w:style w:type="paragraph" w:customStyle="1" w:styleId="95">
    <w:name w:val="图表名"/>
    <w:basedOn w:val="1"/>
    <w:qFormat/>
    <w:uiPriority w:val="0"/>
    <w:pPr>
      <w:spacing w:before="120" w:after="120" w:line="240" w:lineRule="exact"/>
      <w:jc w:val="center"/>
    </w:pPr>
    <w:rPr>
      <w:b/>
      <w:color w:val="000000"/>
      <w:szCs w:val="21"/>
    </w:rPr>
  </w:style>
  <w:style w:type="paragraph" w:customStyle="1" w:styleId="96">
    <w:name w:val="表格内容1"/>
    <w:basedOn w:val="1"/>
    <w:qFormat/>
    <w:uiPriority w:val="0"/>
    <w:pPr>
      <w:tabs>
        <w:tab w:val="left" w:pos="1535"/>
        <w:tab w:val="left" w:pos="3105"/>
        <w:tab w:val="left" w:pos="4676"/>
        <w:tab w:val="left" w:pos="6247"/>
        <w:tab w:val="left" w:pos="7740"/>
        <w:tab w:val="left" w:pos="9288"/>
      </w:tabs>
      <w:adjustRightInd w:val="0"/>
      <w:snapToGrid w:val="0"/>
      <w:spacing w:line="300" w:lineRule="atLeast"/>
      <w:jc w:val="center"/>
      <w:textAlignment w:val="baseline"/>
    </w:pPr>
    <w:rPr>
      <w:rFonts w:ascii="宋体" w:hAnsi="宋体"/>
      <w:szCs w:val="20"/>
    </w:rPr>
  </w:style>
  <w:style w:type="paragraph" w:customStyle="1" w:styleId="97">
    <w:name w:val="正文1"/>
    <w:qFormat/>
    <w:uiPriority w:val="0"/>
    <w:pPr>
      <w:widowControl w:val="0"/>
      <w:adjustRightInd w:val="0"/>
      <w:spacing w:line="240" w:lineRule="atLeast"/>
    </w:pPr>
    <w:rPr>
      <w:rFonts w:hint="eastAsia" w:ascii="宋体" w:hAnsi="Times New Roman" w:eastAsia="宋体" w:cs="Times New Roman"/>
      <w:sz w:val="21"/>
      <w:lang w:val="en-US" w:eastAsia="zh-CN" w:bidi="ar-SA"/>
    </w:rPr>
  </w:style>
  <w:style w:type="paragraph" w:customStyle="1" w:styleId="98">
    <w:name w:val="样式3"/>
    <w:basedOn w:val="1"/>
    <w:qFormat/>
    <w:uiPriority w:val="0"/>
    <w:pPr>
      <w:widowControl/>
      <w:snapToGrid w:val="0"/>
      <w:spacing w:line="360" w:lineRule="auto"/>
      <w:ind w:firstLine="601"/>
      <w:jc w:val="left"/>
    </w:pPr>
    <w:rPr>
      <w:rFonts w:ascii="仿宋_GB2312"/>
      <w:sz w:val="28"/>
      <w:szCs w:val="30"/>
    </w:rPr>
  </w:style>
  <w:style w:type="paragraph" w:customStyle="1" w:styleId="99">
    <w:name w:val="表格标题"/>
    <w:basedOn w:val="1"/>
    <w:qFormat/>
    <w:uiPriority w:val="0"/>
    <w:pPr>
      <w:spacing w:before="120"/>
      <w:jc w:val="center"/>
    </w:pPr>
    <w:rPr>
      <w:sz w:val="24"/>
      <w:szCs w:val="20"/>
    </w:rPr>
  </w:style>
  <w:style w:type="paragraph" w:customStyle="1" w:styleId="100">
    <w:name w:val="邓表后空格"/>
    <w:basedOn w:val="101"/>
    <w:qFormat/>
    <w:uiPriority w:val="0"/>
    <w:pPr>
      <w:spacing w:line="240" w:lineRule="exact"/>
      <w:ind w:firstLine="0"/>
    </w:pPr>
    <w:rPr>
      <w:rFonts w:eastAsia="宋体"/>
      <w:sz w:val="18"/>
    </w:rPr>
  </w:style>
  <w:style w:type="paragraph" w:customStyle="1" w:styleId="101">
    <w:name w:val="正文 楷体"/>
    <w:basedOn w:val="1"/>
    <w:qFormat/>
    <w:uiPriority w:val="0"/>
    <w:pPr>
      <w:spacing w:line="500" w:lineRule="exact"/>
      <w:ind w:firstLine="200"/>
    </w:pPr>
    <w:rPr>
      <w:rFonts w:ascii="楷体_GB2312" w:hAnsi="楷体_GB2312" w:eastAsia="楷体_GB2312"/>
    </w:rPr>
  </w:style>
  <w:style w:type="paragraph" w:customStyle="1" w:styleId="102">
    <w:name w:val="Char Char1 Char Char Char Char Char Char Char Char Char Char Char Char Char Char Char Char Char Char Char Char1 Char"/>
    <w:basedOn w:val="1"/>
    <w:qFormat/>
    <w:uiPriority w:val="0"/>
    <w:pPr>
      <w:spacing w:line="360" w:lineRule="auto"/>
      <w:ind w:firstLine="200" w:firstLineChars="200"/>
    </w:pPr>
    <w:rPr>
      <w:szCs w:val="20"/>
    </w:rPr>
  </w:style>
  <w:style w:type="paragraph" w:customStyle="1" w:styleId="103">
    <w:name w:val="Plain Text11"/>
    <w:basedOn w:val="1"/>
    <w:qFormat/>
    <w:uiPriority w:val="0"/>
    <w:rPr>
      <w:rFonts w:ascii="宋体" w:hAnsi="Courier New" w:eastAsia="仿宋_GB2312"/>
      <w:sz w:val="28"/>
      <w:szCs w:val="20"/>
    </w:rPr>
  </w:style>
  <w:style w:type="paragraph" w:customStyle="1" w:styleId="104">
    <w:name w:val="p0"/>
    <w:basedOn w:val="1"/>
    <w:qFormat/>
    <w:uiPriority w:val="0"/>
    <w:pPr>
      <w:widowControl/>
    </w:pPr>
    <w:rPr>
      <w:kern w:val="0"/>
      <w:szCs w:val="21"/>
    </w:rPr>
  </w:style>
  <w:style w:type="paragraph" w:customStyle="1" w:styleId="105">
    <w:name w:val="Table Paragraph"/>
    <w:basedOn w:val="1"/>
    <w:qFormat/>
    <w:uiPriority w:val="1"/>
    <w:pPr>
      <w:spacing w:before="34"/>
      <w:jc w:val="center"/>
    </w:pPr>
  </w:style>
  <w:style w:type="paragraph" w:customStyle="1" w:styleId="106">
    <w:name w:val="2黑体4号"/>
    <w:basedOn w:val="107"/>
    <w:qFormat/>
    <w:uiPriority w:val="0"/>
    <w:pPr>
      <w:jc w:val="left"/>
    </w:pPr>
    <w:rPr>
      <w:rFonts w:eastAsia="黑体"/>
      <w:sz w:val="28"/>
      <w:szCs w:val="28"/>
    </w:rPr>
  </w:style>
  <w:style w:type="paragraph" w:customStyle="1" w:styleId="107">
    <w:name w:val="啊啊啊啊"/>
    <w:basedOn w:val="1"/>
    <w:qFormat/>
    <w:uiPriority w:val="0"/>
    <w:pPr>
      <w:jc w:val="center"/>
    </w:pPr>
  </w:style>
  <w:style w:type="paragraph" w:customStyle="1" w:styleId="108">
    <w:name w:val="0正文"/>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09">
    <w:name w:val="_Style 27"/>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10">
    <w:name w:val="报告"/>
    <w:basedOn w:val="1"/>
    <w:qFormat/>
    <w:uiPriority w:val="0"/>
    <w:pPr>
      <w:spacing w:line="360" w:lineRule="auto"/>
      <w:ind w:firstLine="560" w:firstLineChars="200"/>
    </w:pPr>
    <w:rPr>
      <w:sz w:val="28"/>
    </w:rPr>
  </w:style>
  <w:style w:type="paragraph" w:customStyle="1" w:styleId="111">
    <w:name w:val="正文(首行缩进)"/>
    <w:basedOn w:val="1"/>
    <w:qFormat/>
    <w:uiPriority w:val="0"/>
    <w:pPr>
      <w:tabs>
        <w:tab w:val="left" w:pos="6678"/>
      </w:tabs>
      <w:jc w:val="center"/>
    </w:pPr>
    <w:rPr>
      <w:rFonts w:ascii="宋体" w:hAnsi="宋体"/>
      <w:snapToGrid w:val="0"/>
      <w:szCs w:val="21"/>
    </w:rPr>
  </w:style>
  <w:style w:type="paragraph" w:customStyle="1" w:styleId="112">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13">
    <w:name w:val="样式4"/>
    <w:basedOn w:val="1"/>
    <w:qFormat/>
    <w:uiPriority w:val="0"/>
    <w:pPr>
      <w:tabs>
        <w:tab w:val="left" w:pos="9128"/>
      </w:tabs>
      <w:adjustRightInd w:val="0"/>
      <w:snapToGrid w:val="0"/>
      <w:spacing w:line="500" w:lineRule="exact"/>
      <w:jc w:val="center"/>
    </w:pPr>
    <w:rPr>
      <w:szCs w:val="20"/>
    </w:rPr>
  </w:style>
  <w:style w:type="paragraph" w:customStyle="1" w:styleId="114">
    <w:name w:val="中文报告书"/>
    <w:basedOn w:val="1"/>
    <w:qFormat/>
    <w:uiPriority w:val="0"/>
    <w:pPr>
      <w:adjustRightInd w:val="0"/>
      <w:spacing w:after="80" w:line="420" w:lineRule="atLeast"/>
      <w:jc w:val="left"/>
      <w:textAlignment w:val="baseline"/>
    </w:pPr>
    <w:rPr>
      <w:kern w:val="0"/>
      <w:sz w:val="24"/>
      <w:szCs w:val="20"/>
    </w:rPr>
  </w:style>
  <w:style w:type="paragraph" w:customStyle="1" w:styleId="115">
    <w:name w:val="准 正文 左侧:  2 字符 + 首行缩进:  2 字符"/>
    <w:basedOn w:val="1"/>
    <w:qFormat/>
    <w:uiPriority w:val="0"/>
    <w:pPr>
      <w:spacing w:line="360" w:lineRule="auto"/>
      <w:ind w:firstLine="480" w:firstLineChars="200"/>
    </w:pPr>
    <w:rPr>
      <w:kern w:val="0"/>
      <w:sz w:val="24"/>
      <w:szCs w:val="20"/>
      <w:lang w:val="zh-CN"/>
    </w:rPr>
  </w:style>
  <w:style w:type="paragraph" w:customStyle="1" w:styleId="116">
    <w:name w:val="样式 正文首行缩进 + 首行缩进:  2 字符1"/>
    <w:basedOn w:val="1"/>
    <w:next w:val="1"/>
    <w:qFormat/>
    <w:uiPriority w:val="0"/>
    <w:pPr>
      <w:spacing w:line="360" w:lineRule="auto"/>
      <w:ind w:firstLine="480" w:firstLineChars="200"/>
    </w:pPr>
    <w:rPr>
      <w:sz w:val="24"/>
    </w:rPr>
  </w:style>
  <w:style w:type="paragraph" w:customStyle="1" w:styleId="117">
    <w:name w:val="Body Text Indent1"/>
    <w:basedOn w:val="1"/>
    <w:qFormat/>
    <w:uiPriority w:val="0"/>
    <w:pPr>
      <w:spacing w:line="480" w:lineRule="exact"/>
      <w:ind w:left="-123" w:firstLine="563"/>
    </w:pPr>
    <w:rPr>
      <w:sz w:val="28"/>
      <w:szCs w:val="20"/>
    </w:rPr>
  </w:style>
  <w:style w:type="paragraph" w:customStyle="1" w:styleId="118">
    <w:name w:val="样式 (西文) 仿宋_GB2312 (中文) 仿宋_GB2312 黑色 行距: 固定值 30 磅 首行缩进:  2 字符"/>
    <w:basedOn w:val="1"/>
    <w:qFormat/>
    <w:uiPriority w:val="0"/>
    <w:pPr>
      <w:spacing w:line="360" w:lineRule="auto"/>
      <w:ind w:firstLine="1997" w:firstLineChars="950"/>
    </w:pPr>
    <w:rPr>
      <w:rFonts w:ascii="宋体" w:hAnsi="宋体" w:cs="宋体"/>
      <w:b/>
      <w:color w:val="000000"/>
      <w:kern w:val="0"/>
      <w:szCs w:val="21"/>
      <w:lang w:val="en-US" w:eastAsia="zh-CN"/>
    </w:rPr>
  </w:style>
  <w:style w:type="paragraph" w:customStyle="1" w:styleId="119">
    <w:name w:val="Body Text 21"/>
    <w:basedOn w:val="1"/>
    <w:qFormat/>
    <w:uiPriority w:val="0"/>
    <w:pPr>
      <w:spacing w:after="120" w:line="480" w:lineRule="auto"/>
    </w:pPr>
  </w:style>
  <w:style w:type="paragraph" w:customStyle="1" w:styleId="120">
    <w:name w:val="小四表文左齐"/>
    <w:basedOn w:val="1"/>
    <w:qFormat/>
    <w:uiPriority w:val="0"/>
    <w:pPr>
      <w:adjustRightInd w:val="0"/>
      <w:snapToGrid w:val="0"/>
      <w:jc w:val="center"/>
    </w:pPr>
    <w:rPr>
      <w:rFonts w:ascii="仿宋_GB2312" w:eastAsia="仿宋_GB2312"/>
      <w:szCs w:val="21"/>
    </w:rPr>
  </w:style>
  <w:style w:type="paragraph" w:customStyle="1" w:styleId="121">
    <w:name w:val="表"/>
    <w:basedOn w:val="1"/>
    <w:qFormat/>
    <w:uiPriority w:val="0"/>
    <w:pPr>
      <w:snapToGrid w:val="0"/>
      <w:jc w:val="center"/>
    </w:pPr>
    <w:rPr>
      <w:b/>
      <w:spacing w:val="2"/>
    </w:rPr>
  </w:style>
  <w:style w:type="paragraph" w:customStyle="1" w:styleId="122">
    <w:name w:val="表格式"/>
    <w:basedOn w:val="24"/>
    <w:qFormat/>
    <w:uiPriority w:val="0"/>
    <w:pPr>
      <w:spacing w:beforeLines="50" w:afterLines="50" w:line="200" w:lineRule="exact"/>
      <w:ind w:left="0" w:firstLine="0" w:firstLineChars="0"/>
      <w:jc w:val="center"/>
    </w:pPr>
    <w:rPr>
      <w:szCs w:val="20"/>
    </w:rPr>
  </w:style>
  <w:style w:type="paragraph" w:customStyle="1" w:styleId="123">
    <w:name w:val="Char 正文"/>
    <w:basedOn w:val="3"/>
    <w:qFormat/>
    <w:uiPriority w:val="0"/>
    <w:pPr>
      <w:snapToGrid w:val="0"/>
      <w:spacing w:before="240" w:after="240" w:line="348" w:lineRule="auto"/>
    </w:pPr>
    <w:rPr>
      <w:rFonts w:ascii="Tahoma" w:hAnsi="Tahoma"/>
      <w:bCs w:val="0"/>
      <w:sz w:val="24"/>
      <w:szCs w:val="20"/>
    </w:rPr>
  </w:style>
  <w:style w:type="paragraph" w:customStyle="1" w:styleId="124">
    <w:name w:val="小于节标题"/>
    <w:basedOn w:val="125"/>
    <w:qFormat/>
    <w:uiPriority w:val="0"/>
    <w:pPr>
      <w:tabs>
        <w:tab w:val="left" w:pos="567"/>
      </w:tabs>
      <w:ind w:firstLine="0" w:firstLineChars="0"/>
    </w:pPr>
  </w:style>
  <w:style w:type="paragraph" w:customStyle="1" w:styleId="125">
    <w:name w:val="新正文样式"/>
    <w:basedOn w:val="1"/>
    <w:qFormat/>
    <w:uiPriority w:val="0"/>
    <w:pPr>
      <w:tabs>
        <w:tab w:val="left" w:pos="567"/>
      </w:tabs>
      <w:spacing w:line="360" w:lineRule="auto"/>
      <w:ind w:firstLine="560" w:firstLineChars="200"/>
    </w:pPr>
    <w:rPr>
      <w:rFonts w:eastAsia="华文中宋"/>
      <w:spacing w:val="20"/>
      <w:sz w:val="24"/>
      <w:szCs w:val="20"/>
    </w:rPr>
  </w:style>
  <w:style w:type="paragraph" w:customStyle="1" w:styleId="126">
    <w:name w:val="1"/>
    <w:basedOn w:val="1"/>
    <w:next w:val="15"/>
    <w:qFormat/>
    <w:uiPriority w:val="0"/>
    <w:pPr>
      <w:spacing w:line="360" w:lineRule="auto"/>
      <w:ind w:firstLine="480" w:firstLineChars="200"/>
    </w:pPr>
    <w:rPr>
      <w:rFonts w:ascii="仿宋_GB2312" w:eastAsia="仿宋_GB2312"/>
      <w:sz w:val="24"/>
    </w:rPr>
  </w:style>
  <w:style w:type="paragraph" w:customStyle="1" w:styleId="127">
    <w:name w:val="正文邓"/>
    <w:basedOn w:val="71"/>
    <w:qFormat/>
    <w:uiPriority w:val="0"/>
    <w:pPr>
      <w:adjustRightInd w:val="0"/>
      <w:ind w:firstLine="600" w:firstLineChars="250"/>
    </w:pPr>
    <w:rPr>
      <w:rFonts w:ascii="仿宋" w:hAnsi="仿宋" w:eastAsia="仿宋"/>
      <w:bCs/>
    </w:rPr>
  </w:style>
  <w:style w:type="paragraph" w:customStyle="1" w:styleId="128">
    <w:name w:val="样式35"/>
    <w:basedOn w:val="1"/>
    <w:qFormat/>
    <w:uiPriority w:val="0"/>
    <w:pPr>
      <w:adjustRightInd w:val="0"/>
      <w:spacing w:line="312" w:lineRule="auto"/>
      <w:ind w:firstLine="567"/>
    </w:pPr>
    <w:rPr>
      <w:rFonts w:ascii="宋体"/>
      <w:kern w:val="0"/>
      <w:sz w:val="28"/>
    </w:rPr>
  </w:style>
  <w:style w:type="paragraph" w:customStyle="1" w:styleId="129">
    <w:name w:val="邓表头标题"/>
    <w:basedOn w:val="1"/>
    <w:qFormat/>
    <w:uiPriority w:val="0"/>
    <w:pPr>
      <w:snapToGrid w:val="0"/>
      <w:jc w:val="center"/>
    </w:pPr>
    <w:rPr>
      <w:rFonts w:ascii="黑体" w:hAnsi="黑体" w:eastAsia="黑体"/>
      <w:b/>
      <w:bCs/>
      <w:szCs w:val="21"/>
    </w:rPr>
  </w:style>
  <w:style w:type="paragraph" w:customStyle="1" w:styleId="130">
    <w:name w:val="Plain Text1"/>
    <w:basedOn w:val="1"/>
    <w:qFormat/>
    <w:uiPriority w:val="0"/>
    <w:rPr>
      <w:rFonts w:ascii="宋体" w:hAnsi="Courier New" w:eastAsia="仿宋_GB2312"/>
      <w:sz w:val="28"/>
      <w:szCs w:val="20"/>
    </w:rPr>
  </w:style>
  <w:style w:type="paragraph" w:customStyle="1" w:styleId="131">
    <w:name w:val="List Paragraph"/>
    <w:basedOn w:val="1"/>
    <w:qFormat/>
    <w:uiPriority w:val="0"/>
    <w:pPr>
      <w:jc w:val="center"/>
    </w:pPr>
    <w:rPr>
      <w:rFonts w:ascii="宋体" w:hAnsi="宋体"/>
      <w:kern w:val="0"/>
      <w:sz w:val="18"/>
      <w:szCs w:val="20"/>
      <w:lang w:eastAsia="ar-SA"/>
    </w:rPr>
  </w:style>
  <w:style w:type="paragraph" w:customStyle="1" w:styleId="132">
    <w:name w:val="表格文字邓"/>
    <w:basedOn w:val="1"/>
    <w:qFormat/>
    <w:uiPriority w:val="0"/>
    <w:pPr>
      <w:widowControl/>
      <w:snapToGrid w:val="0"/>
      <w:spacing w:line="200" w:lineRule="exact"/>
      <w:jc w:val="center"/>
    </w:pPr>
    <w:rPr>
      <w:rFonts w:ascii="宋体" w:hAnsi="宋体" w:eastAsia="华文中宋"/>
      <w:color w:val="000000"/>
      <w:sz w:val="18"/>
      <w:szCs w:val="18"/>
    </w:rPr>
  </w:style>
  <w:style w:type="paragraph" w:customStyle="1" w:styleId="133">
    <w:name w:val="li表格"/>
    <w:basedOn w:val="1"/>
    <w:next w:val="1"/>
    <w:qFormat/>
    <w:uiPriority w:val="0"/>
    <w:pPr>
      <w:spacing w:line="360" w:lineRule="exact"/>
      <w:jc w:val="center"/>
    </w:pPr>
    <w:rPr>
      <w:b/>
      <w:spacing w:val="4"/>
      <w:szCs w:val="21"/>
    </w:rPr>
  </w:style>
  <w:style w:type="paragraph" w:customStyle="1" w:styleId="134">
    <w:name w:val="简单回函地址"/>
    <w:basedOn w:val="1"/>
    <w:qFormat/>
    <w:uiPriority w:val="0"/>
    <w:pPr>
      <w:adjustRightInd w:val="0"/>
      <w:spacing w:line="312" w:lineRule="atLeast"/>
      <w:textAlignment w:val="baseline"/>
    </w:pPr>
    <w:rPr>
      <w:kern w:val="0"/>
      <w:szCs w:val="20"/>
    </w:rPr>
  </w:style>
  <w:style w:type="paragraph" w:customStyle="1" w:styleId="135">
    <w:name w:val="Char Char Char Char Char Char"/>
    <w:basedOn w:val="1"/>
    <w:next w:val="1"/>
    <w:qFormat/>
    <w:uiPriority w:val="0"/>
    <w:pPr>
      <w:spacing w:line="360" w:lineRule="auto"/>
      <w:ind w:firstLine="200" w:firstLineChars="200"/>
    </w:pPr>
    <w:rPr>
      <w:rFonts w:ascii="宋体" w:hAnsi="宋体" w:cs="宋体"/>
      <w:sz w:val="24"/>
    </w:rPr>
  </w:style>
  <w:style w:type="paragraph" w:customStyle="1" w:styleId="136">
    <w:name w:val="默认段落字体 Para"/>
    <w:basedOn w:val="1"/>
    <w:qFormat/>
    <w:uiPriority w:val="0"/>
    <w:rPr>
      <w:szCs w:val="21"/>
    </w:rPr>
  </w:style>
  <w:style w:type="paragraph" w:customStyle="1" w:styleId="137">
    <w:name w:val="Header or footer|1"/>
    <w:basedOn w:val="1"/>
    <w:qFormat/>
    <w:uiPriority w:val="0"/>
    <w:rPr>
      <w:rFonts w:ascii="宋体" w:hAnsi="宋体" w:cs="宋体"/>
      <w:color w:val="5B725A"/>
      <w:sz w:val="20"/>
      <w:szCs w:val="20"/>
      <w:lang w:val="zh-TW" w:eastAsia="zh-TW" w:bidi="zh-TW"/>
    </w:rPr>
  </w:style>
  <w:style w:type="paragraph" w:customStyle="1" w:styleId="138">
    <w:name w:val="Char Char Char"/>
    <w:basedOn w:val="1"/>
    <w:qFormat/>
    <w:uiPriority w:val="0"/>
    <w:pPr>
      <w:spacing w:line="360" w:lineRule="auto"/>
      <w:ind w:firstLine="200" w:firstLineChars="200"/>
    </w:pPr>
  </w:style>
  <w:style w:type="paragraph" w:customStyle="1" w:styleId="139">
    <w:name w:val=" Char2 Char Char"/>
    <w:basedOn w:val="1"/>
    <w:qFormat/>
    <w:uiPriority w:val="0"/>
    <w:pPr>
      <w:spacing w:line="360" w:lineRule="auto"/>
      <w:ind w:firstLine="200" w:firstLineChars="200"/>
    </w:pPr>
  </w:style>
  <w:style w:type="paragraph" w:customStyle="1" w:styleId="140">
    <w:name w:val="报告书表格"/>
    <w:basedOn w:val="1"/>
    <w:qFormat/>
    <w:uiPriority w:val="0"/>
    <w:pPr>
      <w:adjustRightInd w:val="0"/>
      <w:spacing w:before="60" w:after="60" w:line="240" w:lineRule="atLeast"/>
      <w:jc w:val="center"/>
      <w:textAlignment w:val="baseline"/>
    </w:pPr>
    <w:rPr>
      <w:kern w:val="0"/>
      <w:szCs w:val="20"/>
    </w:rPr>
  </w:style>
  <w:style w:type="paragraph" w:customStyle="1" w:styleId="141">
    <w:name w:val="邓表格文字"/>
    <w:basedOn w:val="132"/>
    <w:qFormat/>
    <w:uiPriority w:val="0"/>
    <w:pPr>
      <w:spacing w:line="220" w:lineRule="exact"/>
    </w:pPr>
    <w:rPr>
      <w:rFonts w:eastAsia="宋体"/>
      <w:kern w:val="0"/>
      <w:sz w:val="15"/>
      <w:szCs w:val="15"/>
    </w:rPr>
  </w:style>
  <w:style w:type="paragraph" w:customStyle="1" w:styleId="142">
    <w:name w:val=" Char Char Char Char Char Char Char Char Char Char Char Char Char Char Char Char"/>
    <w:basedOn w:val="1"/>
    <w:qFormat/>
    <w:uiPriority w:val="0"/>
  </w:style>
  <w:style w:type="paragraph" w:customStyle="1" w:styleId="143">
    <w:name w:val="图表名称1"/>
    <w:basedOn w:val="1"/>
    <w:qFormat/>
    <w:uiPriority w:val="0"/>
    <w:pPr>
      <w:adjustRightInd w:val="0"/>
      <w:snapToGrid w:val="0"/>
      <w:spacing w:line="240" w:lineRule="auto"/>
      <w:jc w:val="center"/>
    </w:pPr>
    <w:rPr>
      <w:rFonts w:ascii="Times New Roman" w:hAnsi="Times New Roman" w:cs="宋体"/>
      <w:b/>
      <w:bCs/>
      <w:kern w:val="21"/>
      <w:sz w:val="21"/>
    </w:rPr>
  </w:style>
  <w:style w:type="paragraph" w:customStyle="1" w:styleId="144">
    <w:name w:val="样式 样式 样式 四号 左侧:  1.53 厘米 + 首行缩进:  2 字符 + 居中 左侧:  2 字符 首行缩进:  2..."/>
    <w:basedOn w:val="145"/>
    <w:qFormat/>
    <w:uiPriority w:val="0"/>
    <w:pPr>
      <w:adjustRightInd w:val="0"/>
      <w:ind w:left="200" w:leftChars="200"/>
      <w:jc w:val="center"/>
    </w:pPr>
    <w:rPr>
      <w:w w:val="90"/>
      <w:sz w:val="28"/>
    </w:rPr>
  </w:style>
  <w:style w:type="paragraph" w:customStyle="1" w:styleId="145">
    <w:name w:val="样式 样式 四号 左侧:  1.53 厘米 + 首行缩进:  2 字符"/>
    <w:basedOn w:val="146"/>
    <w:qFormat/>
    <w:uiPriority w:val="0"/>
    <w:pPr>
      <w:ind w:left="200" w:leftChars="200"/>
    </w:pPr>
    <w:rPr>
      <w:szCs w:val="20"/>
    </w:rPr>
  </w:style>
  <w:style w:type="paragraph" w:customStyle="1" w:styleId="146">
    <w:name w:val="样式 四号 左侧:  1.53 厘米"/>
    <w:basedOn w:val="1"/>
    <w:qFormat/>
    <w:uiPriority w:val="0"/>
    <w:pPr>
      <w:adjustRightInd w:val="0"/>
    </w:pPr>
    <w:rPr>
      <w:w w:val="90"/>
      <w:sz w:val="28"/>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8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58</Pages>
  <Words>7704</Words>
  <Characters>43913</Characters>
  <Lines>365</Lines>
  <Paragraphs>103</Paragraphs>
  <TotalTime>29</TotalTime>
  <ScaleCrop>false</ScaleCrop>
  <LinksUpToDate>false</LinksUpToDate>
  <CharactersWithSpaces>51514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2020-07-16T08:55:00Z</dcterms:created>
  <dc:creator>hjz</dc:creator>
  <cp:lastModifiedBy>you</cp:lastModifiedBy>
  <cp:lastPrinted>2020-05-13T13:19:00Z</cp:lastPrinted>
  <dcterms:modified xsi:type="dcterms:W3CDTF">2020-09-23T03:17:00Z</dcterms:modified>
  <dc:title>建设项目基本情况</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