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 xml:space="preserve"> </w:t>
      </w:r>
      <w:r>
        <w:rPr>
          <w:rFonts w:hint="eastAsia" w:ascii="宋体" w:hAnsi="宋体" w:eastAsia="宋体" w:cs="宋体"/>
          <w:b/>
          <w:sz w:val="28"/>
          <w:szCs w:val="28"/>
        </w:rPr>
        <w:t>专家意见修改说明</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2" w:firstLineChars="200"/>
        <w:textAlignment w:val="auto"/>
        <w:outlineLvl w:val="0"/>
        <w:rPr>
          <w:rFonts w:hint="default" w:ascii="Times New Roman" w:hAnsi="Times New Roman" w:cs="Times New Roman"/>
          <w:b/>
          <w:bCs w:val="0"/>
          <w:sz w:val="24"/>
          <w:szCs w:val="24"/>
          <w:lang w:val="en-US" w:eastAsia="zh-CN"/>
        </w:rPr>
      </w:pPr>
      <w:r>
        <w:rPr>
          <w:rFonts w:hint="default" w:ascii="Times New Roman" w:hAnsi="Times New Roman" w:cs="Times New Roman"/>
          <w:b/>
          <w:bCs w:val="0"/>
          <w:sz w:val="24"/>
          <w:szCs w:val="24"/>
          <w:lang w:val="en-US" w:eastAsia="zh-CN"/>
        </w:rPr>
        <w:t>1.补充完善项目与园区规划及规划环评符合性分析内容（对照规划环评审查意见要求）。园区规划环评提出了“三线一单”管控要求，修订“三线一单”分析内容。</w:t>
      </w:r>
    </w:p>
    <w:p>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（1）已补充完善项目与园区规划及规划环评符合性分析内容，</w:t>
      </w:r>
    </w:p>
    <w:p>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w:t>
      </w:r>
      <w:r>
        <w:rPr>
          <w:rFonts w:hint="default" w:ascii="Times New Roman" w:hAnsi="Times New Roman" w:cs="Times New Roman"/>
          <w:sz w:val="24"/>
          <w:szCs w:val="24"/>
          <w:lang w:eastAsia="zh-CN"/>
        </w:rPr>
        <w:t>《</w:t>
      </w:r>
      <w:r>
        <w:rPr>
          <w:rFonts w:hint="default" w:ascii="Times New Roman" w:hAnsi="Times New Roman" w:cs="Times New Roman"/>
          <w:sz w:val="24"/>
          <w:szCs w:val="24"/>
        </w:rPr>
        <w:t>呼图壁工业园区总体规划(2017-2035)</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呼图壁工业园区规划为“一园三区，分为东区、中区和西区，东区位于呼图壁县二十里店镇、中区位于呼图壁河两侧，五工台西侧、西区位于呼图壁县城西侧28公里处，总面积34.4平方公里。规划期限为2017-2035年，近期2017年-2025年，远期2026年-2035年。园区规划总体目标：结合周边产业友展，依据呼图壁资源、区位、交通优势，发展以服务新疆本地兼顾外向型市场为核心目标的产业体系，将园区打造成为“新疆新型工业化发展示范区”。</w:t>
      </w:r>
      <w:r>
        <w:rPr>
          <w:rFonts w:hint="default" w:ascii="Times New Roman" w:hAnsi="Times New Roman" w:cs="Times New Roman"/>
          <w:sz w:val="24"/>
          <w:szCs w:val="24"/>
        </w:rPr>
        <w:t>西区</w:t>
      </w:r>
      <w:r>
        <w:rPr>
          <w:rFonts w:hint="default" w:ascii="Times New Roman" w:hAnsi="Times New Roman" w:cs="Times New Roman"/>
          <w:b w:val="0"/>
          <w:bCs w:val="0"/>
          <w:color w:val="auto"/>
          <w:sz w:val="24"/>
          <w:szCs w:val="24"/>
          <w:lang w:val="en-US" w:eastAsia="zh-CN"/>
        </w:rPr>
        <w:t>重点产业规划为</w:t>
      </w:r>
      <w:r>
        <w:rPr>
          <w:rFonts w:hint="default" w:ascii="Times New Roman" w:hAnsi="Times New Roman" w:cs="Times New Roman"/>
          <w:b w:val="0"/>
          <w:bCs w:val="0"/>
          <w:color w:val="auto"/>
          <w:sz w:val="24"/>
          <w:szCs w:val="24"/>
        </w:rPr>
        <w:t>结合现状向有色金属加工和新材料产业两大方向发展</w:t>
      </w:r>
      <w:r>
        <w:rPr>
          <w:rFonts w:hint="default" w:ascii="Times New Roman" w:hAnsi="Times New Roman" w:cs="Times New Roman"/>
          <w:b w:val="0"/>
          <w:bCs w:val="0"/>
          <w:color w:val="auto"/>
          <w:sz w:val="24"/>
          <w:szCs w:val="24"/>
          <w:lang w:eastAsia="zh-CN"/>
        </w:rPr>
        <w:t>；</w:t>
      </w:r>
      <w:r>
        <w:rPr>
          <w:rFonts w:hint="default" w:ascii="Times New Roman" w:hAnsi="Times New Roman" w:cs="Times New Roman"/>
          <w:b w:val="0"/>
          <w:bCs w:val="0"/>
          <w:color w:val="auto"/>
          <w:sz w:val="24"/>
          <w:szCs w:val="24"/>
          <w:lang w:val="en-US" w:eastAsia="zh-CN"/>
        </w:rPr>
        <w:t>根据规划环评对西区现状企业的整治方案，新疆鲁兴化工有限公司整治方案为：近期保留，限期内完成技术</w:t>
      </w:r>
      <w:r>
        <w:rPr>
          <w:rFonts w:hint="default" w:ascii="Times New Roman" w:hAnsi="Times New Roman" w:cs="Times New Roman"/>
          <w:sz w:val="24"/>
          <w:szCs w:val="24"/>
          <w:lang w:val="en-US" w:eastAsia="zh-CN"/>
        </w:rPr>
        <w:t>改造（提标改造）；规划远期内完成园区内搬迁和产业转型，或搬迁出园区。</w:t>
      </w:r>
    </w:p>
    <w:p>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本项目位于呼图壁工业园区西区，本项目为</w:t>
      </w:r>
      <w:r>
        <w:rPr>
          <w:rFonts w:hint="default" w:ascii="Times New Roman" w:hAnsi="Times New Roman" w:eastAsia="宋体" w:cs="Times New Roman"/>
          <w:sz w:val="24"/>
          <w:szCs w:val="24"/>
          <w:lang w:eastAsia="zh-CN"/>
        </w:rPr>
        <w:t>新疆鲁兴化工有限公司化工仓储物流改造项目</w:t>
      </w:r>
      <w:r>
        <w:rPr>
          <w:rFonts w:hint="default" w:ascii="Times New Roman" w:hAnsi="Times New Roman" w:cs="Times New Roman"/>
          <w:b w:val="0"/>
          <w:bCs/>
          <w:sz w:val="24"/>
          <w:szCs w:val="24"/>
          <w:lang w:val="en-US" w:eastAsia="zh-CN"/>
        </w:rPr>
        <w:t>，属于项目的技术提标改造，符合园区规划对项目的整治方案。</w:t>
      </w:r>
      <w:r>
        <w:rPr>
          <w:rFonts w:hint="default" w:ascii="Times New Roman" w:hAnsi="Times New Roman" w:cs="Times New Roman"/>
          <w:sz w:val="24"/>
          <w:szCs w:val="24"/>
          <w:lang w:val="en-US" w:eastAsia="zh-CN"/>
        </w:rPr>
        <w:t>项目用地性质为工业用地（见附图4），位于西区已建区，不属于禁止建设区和限建区（见附图5），不属于“四线”控制范围内（见附图6），属于新材料与有色金属加工组团（见附图7）。</w:t>
      </w:r>
    </w:p>
    <w:p>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default" w:ascii="Times New Roman" w:hAnsi="Times New Roman" w:eastAsia="宋体" w:cs="Times New Roman"/>
          <w:color w:val="FF0000"/>
          <w:sz w:val="24"/>
          <w:szCs w:val="24"/>
          <w:lang w:val="en-US" w:eastAsia="zh-CN"/>
        </w:rPr>
      </w:pPr>
      <w:r>
        <w:rPr>
          <w:rFonts w:hint="default" w:ascii="Times New Roman" w:hAnsi="Times New Roman" w:eastAsia="宋体" w:cs="Times New Roman"/>
          <w:sz w:val="24"/>
          <w:szCs w:val="24"/>
          <w:lang w:val="en-US" w:eastAsia="zh-CN"/>
        </w:rPr>
        <w:t>（2）已修订“三线一单”符合性分析，</w:t>
      </w:r>
      <w:r>
        <w:rPr>
          <w:rFonts w:hint="default" w:ascii="Times New Roman" w:hAnsi="Times New Roman" w:eastAsia="宋体" w:cs="Times New Roman"/>
          <w:color w:val="auto"/>
          <w:sz w:val="24"/>
          <w:szCs w:val="24"/>
          <w:lang w:val="en-US" w:eastAsia="zh-CN"/>
        </w:rPr>
        <w:t>具体见P</w:t>
      </w:r>
      <w:r>
        <w:rPr>
          <w:rFonts w:hint="default" w:ascii="Times New Roman" w:hAnsi="Times New Roman" w:cs="Times New Roman"/>
          <w:color w:val="auto"/>
          <w:sz w:val="24"/>
          <w:szCs w:val="24"/>
          <w:lang w:val="en-US" w:eastAsia="zh-CN"/>
        </w:rPr>
        <w:t>8-P9；</w:t>
      </w:r>
    </w:p>
    <w:p>
      <w:pPr>
        <w:pStyle w:val="17"/>
        <w:spacing w:line="240" w:lineRule="auto"/>
        <w:ind w:firstLine="422"/>
        <w:jc w:val="center"/>
        <w:rPr>
          <w:rFonts w:hint="default" w:ascii="Times New Roman" w:hAnsi="Times New Roman" w:eastAsia="宋体" w:cs="Times New Roman"/>
          <w:b w:val="0"/>
          <w:bCs w:val="0"/>
          <w:color w:val="auto"/>
          <w:sz w:val="21"/>
          <w:szCs w:val="21"/>
        </w:rPr>
      </w:pPr>
      <w:r>
        <w:rPr>
          <w:rFonts w:hint="default" w:ascii="Times New Roman" w:hAnsi="Times New Roman" w:eastAsia="宋体" w:cs="Times New Roman"/>
          <w:b w:val="0"/>
          <w:bCs w:val="0"/>
          <w:color w:val="auto"/>
          <w:sz w:val="21"/>
          <w:szCs w:val="21"/>
        </w:rPr>
        <w:t>表</w:t>
      </w:r>
      <w:r>
        <w:rPr>
          <w:rFonts w:hint="default" w:ascii="Times New Roman" w:hAnsi="Times New Roman" w:eastAsia="宋体" w:cs="Times New Roman"/>
          <w:b w:val="0"/>
          <w:bCs w:val="0"/>
          <w:color w:val="auto"/>
          <w:sz w:val="21"/>
          <w:szCs w:val="21"/>
          <w:lang w:val="en-US" w:eastAsia="zh-CN"/>
        </w:rPr>
        <w:t>5</w:t>
      </w:r>
      <w:r>
        <w:rPr>
          <w:rFonts w:hint="default" w:ascii="Times New Roman" w:hAnsi="Times New Roman" w:eastAsia="宋体" w:cs="Times New Roman"/>
          <w:b w:val="0"/>
          <w:bCs w:val="0"/>
          <w:color w:val="auto"/>
          <w:sz w:val="21"/>
          <w:szCs w:val="21"/>
        </w:rPr>
        <w:t>“三线一单”符合性分析</w:t>
      </w:r>
    </w:p>
    <w:tbl>
      <w:tblPr>
        <w:tblStyle w:val="11"/>
        <w:tblW w:w="8789" w:type="dxa"/>
        <w:jc w:val="center"/>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78"/>
        <w:gridCol w:w="372"/>
        <w:gridCol w:w="4559"/>
        <w:gridCol w:w="2780"/>
      </w:tblGrid>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8" w:hRule="atLeast"/>
          <w:jc w:val="center"/>
        </w:trPr>
        <w:tc>
          <w:tcPr>
            <w:tcW w:w="1078" w:type="dxa"/>
            <w:vAlign w:val="center"/>
          </w:tcPr>
          <w:p>
            <w:pPr>
              <w:spacing w:line="240" w:lineRule="auto"/>
              <w:jc w:val="center"/>
              <w:rPr>
                <w:rFonts w:hint="default" w:ascii="Times New Roman" w:hAnsi="Times New Roman" w:cs="Times New Roman"/>
                <w:b w:val="0"/>
                <w:bCs w:val="0"/>
                <w:color w:val="auto"/>
                <w:sz w:val="21"/>
                <w:szCs w:val="21"/>
                <w:lang w:bidi="ar"/>
              </w:rPr>
            </w:pPr>
            <w:r>
              <w:rPr>
                <w:rFonts w:hint="default" w:ascii="Times New Roman" w:hAnsi="Times New Roman" w:cs="Times New Roman"/>
                <w:b w:val="0"/>
                <w:bCs w:val="0"/>
                <w:color w:val="auto"/>
                <w:sz w:val="21"/>
                <w:szCs w:val="21"/>
                <w:lang w:bidi="ar"/>
              </w:rPr>
              <w:t>内容</w:t>
            </w:r>
          </w:p>
        </w:tc>
        <w:tc>
          <w:tcPr>
            <w:tcW w:w="4931" w:type="dxa"/>
            <w:gridSpan w:val="2"/>
            <w:vAlign w:val="center"/>
          </w:tcPr>
          <w:p>
            <w:pPr>
              <w:spacing w:line="240" w:lineRule="auto"/>
              <w:jc w:val="center"/>
              <w:rPr>
                <w:rFonts w:hint="default" w:ascii="Times New Roman" w:hAnsi="Times New Roman" w:cs="Times New Roman"/>
                <w:b w:val="0"/>
                <w:bCs w:val="0"/>
                <w:color w:val="auto"/>
                <w:sz w:val="21"/>
                <w:szCs w:val="21"/>
                <w:lang w:bidi="ar"/>
              </w:rPr>
            </w:pPr>
            <w:r>
              <w:rPr>
                <w:rFonts w:hint="default" w:ascii="Times New Roman" w:hAnsi="Times New Roman" w:cs="Times New Roman"/>
                <w:b w:val="0"/>
                <w:bCs w:val="0"/>
                <w:color w:val="auto"/>
                <w:sz w:val="21"/>
                <w:szCs w:val="21"/>
                <w:lang w:bidi="ar"/>
              </w:rPr>
              <w:t>划定情况</w:t>
            </w:r>
          </w:p>
        </w:tc>
        <w:tc>
          <w:tcPr>
            <w:tcW w:w="2780" w:type="dxa"/>
            <w:vAlign w:val="center"/>
          </w:tcPr>
          <w:p>
            <w:pPr>
              <w:spacing w:line="240" w:lineRule="auto"/>
              <w:jc w:val="center"/>
              <w:rPr>
                <w:rFonts w:hint="default" w:ascii="Times New Roman" w:hAnsi="Times New Roman" w:cs="Times New Roman"/>
                <w:b w:val="0"/>
                <w:bCs w:val="0"/>
                <w:color w:val="auto"/>
                <w:sz w:val="21"/>
                <w:szCs w:val="21"/>
                <w:lang w:bidi="ar"/>
              </w:rPr>
            </w:pPr>
            <w:r>
              <w:rPr>
                <w:rFonts w:hint="default" w:ascii="Times New Roman" w:hAnsi="Times New Roman" w:cs="Times New Roman"/>
                <w:b w:val="0"/>
                <w:bCs w:val="0"/>
                <w:color w:val="auto"/>
                <w:sz w:val="21"/>
                <w:szCs w:val="21"/>
                <w:lang w:bidi="ar"/>
              </w:rPr>
              <w:t>符合性分析</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10" w:hRule="atLeast"/>
          <w:jc w:val="center"/>
        </w:trPr>
        <w:tc>
          <w:tcPr>
            <w:tcW w:w="1078" w:type="dxa"/>
            <w:vAlign w:val="center"/>
          </w:tcPr>
          <w:p>
            <w:pPr>
              <w:spacing w:line="240" w:lineRule="auto"/>
              <w:jc w:val="center"/>
              <w:rPr>
                <w:rFonts w:hint="default" w:ascii="Times New Roman" w:hAnsi="Times New Roman" w:cs="Times New Roman"/>
                <w:color w:val="auto"/>
                <w:sz w:val="21"/>
                <w:szCs w:val="21"/>
                <w:lang w:bidi="ar"/>
              </w:rPr>
            </w:pPr>
            <w:r>
              <w:rPr>
                <w:rFonts w:hint="default" w:ascii="Times New Roman" w:hAnsi="Times New Roman" w:cs="Times New Roman"/>
                <w:color w:val="auto"/>
                <w:sz w:val="21"/>
                <w:szCs w:val="21"/>
                <w:lang w:bidi="ar"/>
              </w:rPr>
              <w:t>生态保护</w:t>
            </w:r>
            <w:r>
              <w:rPr>
                <w:rFonts w:hint="eastAsia" w:ascii="Times New Roman" w:hAnsi="Times New Roman" w:cs="Times New Roman"/>
                <w:color w:val="auto"/>
                <w:sz w:val="21"/>
                <w:szCs w:val="21"/>
                <w:lang w:val="en-US" w:eastAsia="zh-CN" w:bidi="ar"/>
              </w:rPr>
              <w:t>红</w:t>
            </w:r>
            <w:r>
              <w:rPr>
                <w:rFonts w:hint="default" w:ascii="Times New Roman" w:hAnsi="Times New Roman" w:cs="Times New Roman"/>
                <w:color w:val="auto"/>
                <w:sz w:val="21"/>
                <w:szCs w:val="21"/>
                <w:lang w:bidi="ar"/>
              </w:rPr>
              <w:t>线</w:t>
            </w:r>
          </w:p>
        </w:tc>
        <w:tc>
          <w:tcPr>
            <w:tcW w:w="4931" w:type="dxa"/>
            <w:gridSpan w:val="2"/>
            <w:vAlign w:val="center"/>
          </w:tcPr>
          <w:p>
            <w:pPr>
              <w:spacing w:line="240" w:lineRule="auto"/>
              <w:jc w:val="left"/>
              <w:rPr>
                <w:rFonts w:hint="default" w:ascii="Times New Roman" w:hAnsi="Times New Roman" w:cs="Times New Roman"/>
                <w:color w:val="auto"/>
                <w:sz w:val="21"/>
                <w:szCs w:val="21"/>
                <w:lang w:bidi="ar"/>
              </w:rPr>
            </w:pPr>
            <w:r>
              <w:rPr>
                <w:rFonts w:hint="default" w:ascii="Times New Roman" w:hAnsi="Times New Roman" w:cs="Times New Roman"/>
                <w:color w:val="auto"/>
                <w:sz w:val="21"/>
                <w:szCs w:val="21"/>
                <w:lang w:val="en-US" w:eastAsia="zh-CN" w:bidi="ar"/>
              </w:rPr>
              <w:t>根据</w:t>
            </w:r>
            <w:r>
              <w:rPr>
                <w:rFonts w:hint="default" w:ascii="Times New Roman" w:hAnsi="Times New Roman" w:cs="Times New Roman"/>
                <w:color w:val="auto"/>
                <w:sz w:val="21"/>
                <w:szCs w:val="21"/>
                <w:lang w:eastAsia="zh-CN" w:bidi="ar"/>
              </w:rPr>
              <w:t>《</w:t>
            </w:r>
            <w:r>
              <w:rPr>
                <w:rFonts w:hint="default" w:ascii="Times New Roman" w:hAnsi="Times New Roman" w:cs="Times New Roman"/>
                <w:color w:val="auto"/>
                <w:sz w:val="21"/>
                <w:szCs w:val="21"/>
                <w:lang w:bidi="ar"/>
              </w:rPr>
              <w:t>呼图壁工业园区总体规划(2017-2035)</w:t>
            </w:r>
            <w:r>
              <w:rPr>
                <w:rFonts w:hint="default" w:ascii="Times New Roman" w:hAnsi="Times New Roman" w:cs="Times New Roman"/>
                <w:color w:val="auto"/>
                <w:sz w:val="21"/>
                <w:szCs w:val="21"/>
                <w:lang w:eastAsia="zh-CN" w:bidi="ar"/>
              </w:rPr>
              <w:t>》，</w:t>
            </w:r>
            <w:r>
              <w:rPr>
                <w:rFonts w:hint="default" w:ascii="Times New Roman" w:hAnsi="Times New Roman" w:cs="Times New Roman"/>
                <w:color w:val="auto"/>
                <w:sz w:val="21"/>
                <w:szCs w:val="21"/>
                <w:lang w:val="en-US" w:eastAsia="zh-CN" w:bidi="ar"/>
              </w:rPr>
              <w:t>呼图壁工业园区</w:t>
            </w:r>
            <w:r>
              <w:rPr>
                <w:rFonts w:hint="default" w:ascii="Times New Roman" w:hAnsi="Times New Roman" w:cs="Times New Roman"/>
                <w:color w:val="auto"/>
                <w:sz w:val="21"/>
                <w:szCs w:val="21"/>
                <w:lang w:bidi="ar"/>
              </w:rPr>
              <w:t>已划定生态保护红线，</w:t>
            </w:r>
            <w:r>
              <w:rPr>
                <w:rFonts w:hint="default" w:ascii="Times New Roman" w:hAnsi="Times New Roman" w:cs="Times New Roman"/>
                <w:color w:val="auto"/>
                <w:sz w:val="21"/>
                <w:szCs w:val="21"/>
                <w:lang w:val="en-US" w:eastAsia="zh-CN" w:bidi="ar"/>
              </w:rPr>
              <w:t>将园区中</w:t>
            </w:r>
            <w:r>
              <w:rPr>
                <w:rFonts w:hint="default" w:ascii="Times New Roman" w:hAnsi="Times New Roman" w:cs="Times New Roman"/>
                <w:color w:val="auto"/>
                <w:sz w:val="21"/>
                <w:szCs w:val="21"/>
                <w:lang w:bidi="ar"/>
              </w:rPr>
              <w:t>禁建区和限建区作为园区的生态保护红线。</w:t>
            </w:r>
          </w:p>
          <w:p>
            <w:pPr>
              <w:spacing w:line="240" w:lineRule="auto"/>
              <w:jc w:val="left"/>
              <w:rPr>
                <w:rFonts w:hint="default" w:ascii="Times New Roman" w:hAnsi="Times New Roman" w:cs="Times New Roman"/>
                <w:color w:val="auto"/>
                <w:sz w:val="21"/>
                <w:szCs w:val="21"/>
                <w:lang w:bidi="ar"/>
              </w:rPr>
            </w:pPr>
          </w:p>
        </w:tc>
        <w:tc>
          <w:tcPr>
            <w:tcW w:w="2780" w:type="dxa"/>
            <w:vAlign w:val="center"/>
          </w:tcPr>
          <w:p>
            <w:pPr>
              <w:spacing w:line="240" w:lineRule="auto"/>
              <w:jc w:val="left"/>
              <w:rPr>
                <w:rFonts w:hint="default" w:ascii="Times New Roman" w:hAnsi="Times New Roman" w:cs="Times New Roman" w:eastAsiaTheme="minorEastAsia"/>
                <w:color w:val="auto"/>
                <w:sz w:val="21"/>
                <w:szCs w:val="21"/>
                <w:lang w:val="en-US" w:eastAsia="zh-CN" w:bidi="ar"/>
              </w:rPr>
            </w:pPr>
            <w:r>
              <w:rPr>
                <w:rFonts w:hint="default" w:ascii="Times New Roman" w:hAnsi="Times New Roman" w:cs="Times New Roman"/>
                <w:color w:val="auto"/>
                <w:sz w:val="21"/>
                <w:szCs w:val="21"/>
                <w:lang w:bidi="ar"/>
              </w:rPr>
              <w:t>本项目位于</w:t>
            </w:r>
            <w:r>
              <w:rPr>
                <w:rFonts w:hint="default" w:ascii="Times New Roman" w:hAnsi="Times New Roman" w:cs="Times New Roman"/>
                <w:color w:val="auto"/>
                <w:sz w:val="21"/>
                <w:szCs w:val="21"/>
                <w:lang w:val="en-US" w:eastAsia="zh-CN" w:bidi="ar"/>
              </w:rPr>
              <w:t>呼图壁工业园区西区中的已建区，不属于禁建区和限建区，故项目符合生态保护红线控制要求。</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9" w:hRule="atLeast"/>
          <w:jc w:val="center"/>
        </w:trPr>
        <w:tc>
          <w:tcPr>
            <w:tcW w:w="1078" w:type="dxa"/>
            <w:vAlign w:val="center"/>
          </w:tcPr>
          <w:p>
            <w:pPr>
              <w:spacing w:line="240" w:lineRule="auto"/>
              <w:jc w:val="center"/>
              <w:rPr>
                <w:rFonts w:hint="default" w:ascii="Times New Roman" w:hAnsi="Times New Roman" w:cs="Times New Roman"/>
                <w:color w:val="auto"/>
                <w:sz w:val="21"/>
                <w:szCs w:val="21"/>
                <w:lang w:bidi="ar"/>
              </w:rPr>
            </w:pPr>
            <w:r>
              <w:rPr>
                <w:rFonts w:hint="default" w:ascii="Times New Roman" w:hAnsi="Times New Roman" w:cs="Times New Roman"/>
                <w:color w:val="auto"/>
                <w:sz w:val="21"/>
                <w:szCs w:val="21"/>
                <w:lang w:bidi="ar"/>
              </w:rPr>
              <w:t>资源利用上线</w:t>
            </w:r>
          </w:p>
        </w:tc>
        <w:tc>
          <w:tcPr>
            <w:tcW w:w="4931" w:type="dxa"/>
            <w:gridSpan w:val="2"/>
            <w:vAlign w:val="center"/>
          </w:tcPr>
          <w:p>
            <w:pPr>
              <w:spacing w:line="240" w:lineRule="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结合区域资源利用上线，严格入园产业和项目的环境准入。结合区域发展定位、开发布局、生态环境保护目标，坚持实行入园企业环保准入审核，严禁“三高’’项目或不符合产业政策、行业准入条件、国家和自治区环境准入条件的项目进园区。按照“以水定产’’原则，引导生产力要素合理布局。严格控制用水总量、提高中水回用率，工业用水重复利用率不低于90%，严格限制高耗水产业和项目的准入；强化园区工业企业环境管理，严格落实环境保护“三同时’’制度，实现所有工业企业污染物达标排放。</w:t>
            </w:r>
          </w:p>
        </w:tc>
        <w:tc>
          <w:tcPr>
            <w:tcW w:w="2780" w:type="dxa"/>
            <w:vAlign w:val="center"/>
          </w:tcPr>
          <w:p>
            <w:pPr>
              <w:spacing w:line="240" w:lineRule="auto"/>
              <w:jc w:val="left"/>
              <w:rPr>
                <w:rFonts w:hint="default" w:ascii="Times New Roman" w:hAnsi="Times New Roman" w:cs="Times New Roman" w:eastAsiaTheme="minorEastAsia"/>
                <w:color w:val="auto"/>
                <w:sz w:val="21"/>
                <w:szCs w:val="21"/>
                <w:lang w:val="en-US" w:eastAsia="zh-CN" w:bidi="ar"/>
              </w:rPr>
            </w:pPr>
            <w:r>
              <w:rPr>
                <w:rFonts w:hint="default" w:ascii="Times New Roman" w:hAnsi="Times New Roman" w:cs="Times New Roman"/>
                <w:color w:val="auto"/>
                <w:sz w:val="21"/>
                <w:szCs w:val="21"/>
                <w:lang w:val="en-US" w:eastAsia="zh-CN" w:bidi="ar"/>
              </w:rPr>
              <w:t>本项目不属于</w:t>
            </w:r>
            <w:r>
              <w:rPr>
                <w:rFonts w:hint="default" w:ascii="Times New Roman" w:hAnsi="Times New Roman" w:eastAsia="宋体" w:cs="Times New Roman"/>
                <w:color w:val="auto"/>
                <w:sz w:val="21"/>
                <w:szCs w:val="21"/>
                <w:lang w:eastAsia="zh-CN"/>
              </w:rPr>
              <w:t>“三高’’项目或不符合产业政策、行业准入条件、国家和自治区环境准入条件的项目，</w:t>
            </w:r>
            <w:r>
              <w:rPr>
                <w:rFonts w:hint="default" w:ascii="Times New Roman" w:hAnsi="Times New Roman" w:eastAsia="宋体" w:cs="Times New Roman"/>
                <w:color w:val="auto"/>
                <w:sz w:val="21"/>
                <w:szCs w:val="21"/>
                <w:lang w:val="en-US" w:eastAsia="zh-CN"/>
              </w:rPr>
              <w:t>本项目生产工序无需用水，用水仅为员工生活用水，用水由园区供水管网供给，符合资源利用上线要求。</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078" w:type="dxa"/>
            <w:vAlign w:val="center"/>
          </w:tcPr>
          <w:p>
            <w:pPr>
              <w:spacing w:line="240" w:lineRule="auto"/>
              <w:jc w:val="center"/>
              <w:rPr>
                <w:rFonts w:hint="default" w:ascii="Times New Roman" w:hAnsi="Times New Roman" w:cs="Times New Roman"/>
                <w:color w:val="auto"/>
                <w:sz w:val="21"/>
                <w:szCs w:val="21"/>
                <w:lang w:bidi="ar"/>
              </w:rPr>
            </w:pPr>
            <w:r>
              <w:rPr>
                <w:rFonts w:hint="default" w:ascii="Times New Roman" w:hAnsi="Times New Roman" w:cs="Times New Roman"/>
                <w:color w:val="auto"/>
                <w:sz w:val="21"/>
                <w:szCs w:val="21"/>
                <w:lang w:bidi="ar"/>
              </w:rPr>
              <w:t>环境质量底线</w:t>
            </w:r>
          </w:p>
        </w:tc>
        <w:tc>
          <w:tcPr>
            <w:tcW w:w="4931" w:type="dxa"/>
            <w:gridSpan w:val="2"/>
            <w:vAlign w:val="center"/>
          </w:tcPr>
          <w:p>
            <w:pPr>
              <w:spacing w:line="240" w:lineRule="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坚守环境质量底线，严格污染物总量管控。根据规划区域及周边环境质量现状和目标，确定区域污染物排放总量上限。落实园区现有企业环境问题整改，落实园区现有企业煤炭及其他颗粒状物料储运全封闭防尘措施，采取有效措施减少二氧化硫、氮氧化物、挥发性有机物、颗粒物、化学需氧量、氨氮等污染物的排放量，确保实现区域环境质量改善目标。推进工艺技术和污染治理技术改造，各类大气污染物排放须满足国家和自治区最新污染物排放标准要求。根据国家和自治医下达的主要污染物总量控制指标，在确保完成昌吉州地区和呼图壁县总量减排目标任务的前提下，对园区内新建项目核定总量排放指标，实现区域“增产减污”。在呼图壁县PM</w:t>
            </w:r>
            <w:r>
              <w:rPr>
                <w:rFonts w:hint="default" w:ascii="Times New Roman" w:hAnsi="Times New Roman" w:eastAsia="宋体" w:cs="Times New Roman"/>
                <w:color w:val="auto"/>
                <w:sz w:val="21"/>
                <w:szCs w:val="21"/>
                <w:lang w:val="en-US" w:eastAsia="zh-CN"/>
              </w:rPr>
              <w:t>2.5</w:t>
            </w:r>
            <w:r>
              <w:rPr>
                <w:rFonts w:hint="default" w:ascii="Times New Roman" w:hAnsi="Times New Roman" w:eastAsia="宋体" w:cs="Times New Roman"/>
                <w:color w:val="auto"/>
                <w:sz w:val="21"/>
                <w:szCs w:val="21"/>
                <w:lang w:eastAsia="zh-CN"/>
              </w:rPr>
              <w:t>年平均浓度不达标的情况下，园区禁止新（改、扩）建未落实SO</w:t>
            </w:r>
            <w:r>
              <w:rPr>
                <w:rFonts w:hint="default" w:ascii="Times New Roman" w:hAnsi="Times New Roman" w:eastAsia="宋体" w:cs="Times New Roman"/>
                <w:color w:val="auto"/>
                <w:sz w:val="21"/>
                <w:szCs w:val="21"/>
                <w:vertAlign w:val="subscript"/>
                <w:lang w:val="en-US" w:eastAsia="zh-CN"/>
              </w:rPr>
              <w:t>2</w:t>
            </w:r>
            <w:r>
              <w:rPr>
                <w:rFonts w:hint="default" w:ascii="Times New Roman" w:hAnsi="Times New Roman" w:eastAsia="宋体" w:cs="Times New Roman"/>
                <w:color w:val="auto"/>
                <w:sz w:val="21"/>
                <w:szCs w:val="21"/>
                <w:lang w:eastAsia="zh-CN"/>
              </w:rPr>
              <w:t>、NOx、烟粉尘、挥发性有机污染物(VOCs)等四项大气污染物总量指标倍量替代的项目。西区企业优先利用自产余热，供热锅炉采用清洁能源；禁止新建、扩建燃煤锅炉。</w:t>
            </w:r>
          </w:p>
        </w:tc>
        <w:tc>
          <w:tcPr>
            <w:tcW w:w="2780" w:type="dxa"/>
            <w:vAlign w:val="center"/>
          </w:tcPr>
          <w:p>
            <w:pPr>
              <w:spacing w:line="240" w:lineRule="auto"/>
              <w:jc w:val="left"/>
              <w:rPr>
                <w:rFonts w:hint="default" w:ascii="Times New Roman" w:hAnsi="Times New Roman" w:eastAsia="宋体" w:cs="Times New Roman"/>
                <w:color w:val="auto"/>
                <w:sz w:val="21"/>
                <w:szCs w:val="21"/>
                <w:lang w:eastAsia="zh-CN" w:bidi="ar"/>
              </w:rPr>
            </w:pPr>
            <w:r>
              <w:rPr>
                <w:rFonts w:hint="default" w:ascii="Times New Roman" w:hAnsi="Times New Roman" w:cs="Times New Roman"/>
                <w:color w:val="auto"/>
                <w:sz w:val="21"/>
                <w:szCs w:val="21"/>
                <w:lang w:val="en-US" w:eastAsia="zh-CN" w:bidi="ar"/>
              </w:rPr>
              <w:t>本项目不产生</w:t>
            </w:r>
            <w:r>
              <w:rPr>
                <w:rFonts w:hint="default" w:ascii="Times New Roman" w:hAnsi="Times New Roman" w:eastAsia="宋体" w:cs="Times New Roman"/>
                <w:color w:val="auto"/>
                <w:sz w:val="21"/>
                <w:szCs w:val="21"/>
                <w:lang w:eastAsia="zh-CN"/>
              </w:rPr>
              <w:t>SO</w:t>
            </w:r>
            <w:r>
              <w:rPr>
                <w:rFonts w:hint="default" w:ascii="Times New Roman" w:hAnsi="Times New Roman" w:eastAsia="宋体" w:cs="Times New Roman"/>
                <w:color w:val="auto"/>
                <w:sz w:val="21"/>
                <w:szCs w:val="21"/>
                <w:vertAlign w:val="subscript"/>
                <w:lang w:val="en-US" w:eastAsia="zh-CN"/>
              </w:rPr>
              <w:t>2</w:t>
            </w:r>
            <w:r>
              <w:rPr>
                <w:rFonts w:hint="default" w:ascii="Times New Roman" w:hAnsi="Times New Roman" w:eastAsia="宋体" w:cs="Times New Roman"/>
                <w:color w:val="auto"/>
                <w:sz w:val="21"/>
                <w:szCs w:val="21"/>
                <w:lang w:eastAsia="zh-CN"/>
              </w:rPr>
              <w:t>、NOx、烟粉尘、挥发性有机污染物(VOCs)等</w:t>
            </w:r>
            <w:r>
              <w:rPr>
                <w:rFonts w:hint="default" w:ascii="Times New Roman" w:hAnsi="Times New Roman" w:eastAsia="宋体" w:cs="Times New Roman"/>
                <w:color w:val="auto"/>
                <w:sz w:val="21"/>
                <w:szCs w:val="21"/>
                <w:lang w:val="en-US" w:eastAsia="zh-CN"/>
              </w:rPr>
              <w:t>污染物</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不设置总量控制指标</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项目冬季供暖采用电锅炉，属于清洁能源，不新建扩建燃煤锅炉；</w:t>
            </w:r>
            <w:r>
              <w:rPr>
                <w:rFonts w:hint="default" w:ascii="Times New Roman" w:hAnsi="Times New Roman" w:cs="Times New Roman"/>
                <w:color w:val="auto"/>
                <w:sz w:val="21"/>
                <w:szCs w:val="21"/>
                <w:lang w:bidi="ar"/>
              </w:rPr>
              <w:t>项目大气、</w:t>
            </w:r>
            <w:r>
              <w:rPr>
                <w:rFonts w:hint="default" w:ascii="Times New Roman" w:hAnsi="Times New Roman" w:cs="Times New Roman"/>
                <w:color w:val="auto"/>
                <w:sz w:val="21"/>
                <w:szCs w:val="21"/>
                <w:lang w:val="en-US" w:eastAsia="zh-CN" w:bidi="ar"/>
              </w:rPr>
              <w:t>水环境、</w:t>
            </w:r>
            <w:r>
              <w:rPr>
                <w:rFonts w:hint="default" w:ascii="Times New Roman" w:hAnsi="Times New Roman" w:cs="Times New Roman"/>
                <w:color w:val="auto"/>
                <w:sz w:val="21"/>
                <w:szCs w:val="21"/>
                <w:lang w:bidi="ar"/>
              </w:rPr>
              <w:t>声环境质量</w:t>
            </w:r>
            <w:r>
              <w:rPr>
                <w:rFonts w:hint="default" w:ascii="Times New Roman" w:hAnsi="Times New Roman" w:cs="Times New Roman"/>
                <w:color w:val="auto"/>
                <w:sz w:val="21"/>
                <w:szCs w:val="21"/>
                <w:lang w:val="en-US" w:eastAsia="zh-CN" w:bidi="ar"/>
              </w:rPr>
              <w:t>均</w:t>
            </w:r>
            <w:r>
              <w:rPr>
                <w:rFonts w:hint="default" w:ascii="Times New Roman" w:hAnsi="Times New Roman" w:cs="Times New Roman"/>
                <w:color w:val="auto"/>
                <w:sz w:val="21"/>
                <w:szCs w:val="21"/>
                <w:lang w:bidi="ar"/>
              </w:rPr>
              <w:t>能够满足相应的标准要求</w:t>
            </w:r>
            <w:r>
              <w:rPr>
                <w:rFonts w:hint="default" w:ascii="Times New Roman" w:hAnsi="Times New Roman" w:cs="Times New Roman"/>
                <w:color w:val="auto"/>
                <w:sz w:val="21"/>
                <w:szCs w:val="21"/>
                <w:lang w:eastAsia="zh-CN" w:bidi="ar"/>
              </w:rPr>
              <w:t>。</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8" w:hRule="atLeast"/>
          <w:jc w:val="center"/>
        </w:trPr>
        <w:tc>
          <w:tcPr>
            <w:tcW w:w="1078" w:type="dxa"/>
            <w:vMerge w:val="restart"/>
            <w:vAlign w:val="center"/>
          </w:tcPr>
          <w:p>
            <w:pPr>
              <w:spacing w:line="240" w:lineRule="auto"/>
              <w:jc w:val="center"/>
              <w:rPr>
                <w:rFonts w:hint="default" w:ascii="Times New Roman" w:hAnsi="Times New Roman" w:cs="Times New Roman"/>
                <w:color w:val="auto"/>
                <w:sz w:val="21"/>
                <w:szCs w:val="21"/>
                <w:lang w:bidi="ar"/>
              </w:rPr>
            </w:pPr>
            <w:r>
              <w:rPr>
                <w:rFonts w:hint="default" w:ascii="Times New Roman" w:hAnsi="Times New Roman" w:cs="Times New Roman"/>
                <w:color w:val="auto"/>
                <w:sz w:val="21"/>
                <w:szCs w:val="21"/>
                <w:lang w:bidi="ar"/>
              </w:rPr>
              <w:t>负面清单</w:t>
            </w:r>
          </w:p>
        </w:tc>
        <w:tc>
          <w:tcPr>
            <w:tcW w:w="372" w:type="dxa"/>
            <w:tcBorders>
              <w:right w:val="single" w:color="auto" w:sz="4" w:space="0"/>
            </w:tcBorders>
            <w:vAlign w:val="center"/>
          </w:tcPr>
          <w:p>
            <w:pPr>
              <w:spacing w:line="240" w:lineRule="auto"/>
              <w:rPr>
                <w:rFonts w:hint="default" w:ascii="Times New Roman" w:hAnsi="Times New Roman" w:cs="Times New Roman" w:eastAsiaTheme="minorEastAsia"/>
                <w:color w:val="auto"/>
                <w:sz w:val="21"/>
                <w:szCs w:val="21"/>
                <w:lang w:val="en-US" w:eastAsia="zh-CN" w:bidi="ar"/>
              </w:rPr>
            </w:pPr>
            <w:r>
              <w:rPr>
                <w:rFonts w:hint="default" w:ascii="Times New Roman" w:hAnsi="Times New Roman" w:cs="Times New Roman"/>
                <w:color w:val="auto"/>
                <w:sz w:val="21"/>
                <w:szCs w:val="21"/>
                <w:lang w:val="en-US" w:eastAsia="zh-CN" w:bidi="ar"/>
              </w:rPr>
              <w:t>环境准入负面清单</w:t>
            </w:r>
          </w:p>
        </w:tc>
        <w:tc>
          <w:tcPr>
            <w:tcW w:w="4559" w:type="dxa"/>
            <w:tcBorders>
              <w:left w:val="single" w:color="auto" w:sz="4" w:space="0"/>
            </w:tcBorders>
            <w:vAlign w:val="center"/>
          </w:tcPr>
          <w:p>
            <w:pPr>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根据</w:t>
            </w:r>
            <w:r>
              <w:rPr>
                <w:rFonts w:hint="default" w:ascii="Times New Roman" w:hAnsi="Times New Roman" w:cs="Times New Roman"/>
                <w:color w:val="auto"/>
                <w:sz w:val="21"/>
                <w:szCs w:val="21"/>
                <w:lang w:eastAsia="zh-CN" w:bidi="ar"/>
              </w:rPr>
              <w:t>《</w:t>
            </w:r>
            <w:r>
              <w:rPr>
                <w:rFonts w:hint="default" w:ascii="Times New Roman" w:hAnsi="Times New Roman" w:cs="Times New Roman"/>
                <w:color w:val="auto"/>
                <w:sz w:val="21"/>
                <w:szCs w:val="21"/>
                <w:lang w:bidi="ar"/>
              </w:rPr>
              <w:t>呼图壁工业园区总体规划(2017-2035)</w:t>
            </w:r>
            <w:r>
              <w:rPr>
                <w:rFonts w:hint="default" w:ascii="Times New Roman" w:hAnsi="Times New Roman" w:cs="Times New Roman"/>
                <w:color w:val="auto"/>
                <w:sz w:val="21"/>
                <w:szCs w:val="21"/>
                <w:lang w:eastAsia="zh-CN" w:bidi="ar"/>
              </w:rPr>
              <w:t>》，</w:t>
            </w:r>
            <w:r>
              <w:rPr>
                <w:rFonts w:hint="default" w:ascii="Times New Roman" w:hAnsi="Times New Roman" w:cs="Times New Roman"/>
                <w:color w:val="auto"/>
                <w:sz w:val="21"/>
                <w:szCs w:val="21"/>
                <w:lang w:val="en-US" w:eastAsia="zh-CN" w:bidi="ar"/>
              </w:rPr>
              <w:t>已建区负面清单为：</w:t>
            </w:r>
          </w:p>
          <w:p>
            <w:pPr>
              <w:spacing w:line="240" w:lineRule="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——禁止不符合园区产业发展方向的项目扩建产能。</w:t>
            </w:r>
          </w:p>
          <w:p>
            <w:pPr>
              <w:spacing w:line="240" w:lineRule="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——禁止过剩行业扩建产能。</w:t>
            </w:r>
          </w:p>
          <w:p>
            <w:pPr>
              <w:spacing w:line="240" w:lineRule="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——禁止用地类型属于三类工业用地的项目扩建产能。</w:t>
            </w:r>
          </w:p>
          <w:p>
            <w:pPr>
              <w:spacing w:line="240" w:lineRule="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现状煤化工、石油化工、黑色金属铸造等三类工业用地项目近期保留，采取环境整治、环保措施提标改造的措施，逐步减少污染物排放；规划远期逐步实现产业转型或搬迁措施，转变现状企业产业发展方向。具体详见现有企业整治方案。</w:t>
            </w:r>
          </w:p>
          <w:p>
            <w:pPr>
              <w:spacing w:line="240" w:lineRule="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——2018年3月起，立即停止棉纺产业在建项目建设，立即停止棉纺产业所有拟建项目前期工作。后续按自治区新出台政策执行。</w:t>
            </w:r>
          </w:p>
          <w:p>
            <w:pPr>
              <w:spacing w:line="240" w:lineRule="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——现有“三高”项目改造达标或关停退出。</w:t>
            </w:r>
          </w:p>
        </w:tc>
        <w:tc>
          <w:tcPr>
            <w:tcW w:w="2780" w:type="dxa"/>
            <w:vAlign w:val="center"/>
          </w:tcPr>
          <w:p>
            <w:pPr>
              <w:spacing w:line="240" w:lineRule="auto"/>
              <w:jc w:val="center"/>
              <w:rPr>
                <w:rFonts w:hint="default" w:ascii="Times New Roman" w:hAnsi="Times New Roman" w:cs="Times New Roman" w:eastAsiaTheme="minorEastAsia"/>
                <w:color w:val="auto"/>
                <w:sz w:val="21"/>
                <w:szCs w:val="21"/>
                <w:lang w:val="en-US" w:eastAsia="zh-CN" w:bidi="ar"/>
              </w:rPr>
            </w:pPr>
            <w:r>
              <w:rPr>
                <w:rFonts w:hint="default" w:ascii="Times New Roman" w:hAnsi="Times New Roman" w:cs="Times New Roman"/>
                <w:color w:val="auto"/>
                <w:sz w:val="21"/>
                <w:szCs w:val="21"/>
                <w:lang w:bidi="ar"/>
              </w:rPr>
              <w:t>本项目</w:t>
            </w:r>
            <w:r>
              <w:rPr>
                <w:rFonts w:hint="default" w:ascii="Times New Roman" w:hAnsi="Times New Roman" w:cs="Times New Roman"/>
                <w:color w:val="auto"/>
                <w:sz w:val="21"/>
                <w:szCs w:val="21"/>
                <w:lang w:val="en-US" w:eastAsia="zh-CN" w:bidi="ar"/>
              </w:rPr>
              <w:t>属于现有化工物流项目提标改造项目，近期保留，限期内完成技术改造（提标改造）；规划远期内完成园区内搬迁和产业转型，或搬迁出园区。</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2" w:hRule="atLeast"/>
          <w:jc w:val="center"/>
        </w:trPr>
        <w:tc>
          <w:tcPr>
            <w:tcW w:w="1078" w:type="dxa"/>
            <w:vMerge w:val="continue"/>
            <w:vAlign w:val="center"/>
          </w:tcPr>
          <w:p>
            <w:pPr>
              <w:spacing w:line="240" w:lineRule="auto"/>
              <w:jc w:val="center"/>
              <w:rPr>
                <w:rFonts w:hint="default" w:ascii="Times New Roman" w:hAnsi="Times New Roman" w:cs="Times New Roman"/>
                <w:color w:val="auto"/>
                <w:sz w:val="21"/>
                <w:szCs w:val="21"/>
                <w:lang w:bidi="ar"/>
              </w:rPr>
            </w:pPr>
          </w:p>
        </w:tc>
        <w:tc>
          <w:tcPr>
            <w:tcW w:w="372" w:type="dxa"/>
            <w:tcBorders>
              <w:right w:val="single" w:color="auto" w:sz="4" w:space="0"/>
            </w:tcBorders>
            <w:vAlign w:val="center"/>
          </w:tcPr>
          <w:p>
            <w:pPr>
              <w:spacing w:line="240" w:lineRule="auto"/>
              <w:rPr>
                <w:rFonts w:hint="default" w:ascii="Times New Roman" w:hAnsi="Times New Roman" w:eastAsia="宋体" w:cs="Times New Roman"/>
                <w:color w:val="auto"/>
                <w:sz w:val="21"/>
                <w:szCs w:val="21"/>
                <w:lang w:eastAsia="zh-CN"/>
              </w:rPr>
            </w:pPr>
            <w:r>
              <w:rPr>
                <w:rFonts w:hint="default" w:ascii="Times New Roman" w:hAnsi="Times New Roman" w:cs="Times New Roman"/>
                <w:b w:val="0"/>
                <w:bCs/>
                <w:lang w:val="de-DE"/>
              </w:rPr>
              <w:t>主导产业准入负面清单</w:t>
            </w:r>
          </w:p>
        </w:tc>
        <w:tc>
          <w:tcPr>
            <w:tcW w:w="4559" w:type="dxa"/>
            <w:tcBorders>
              <w:left w:val="single" w:color="auto" w:sz="4" w:space="0"/>
            </w:tcBorders>
            <w:vAlign w:val="center"/>
          </w:tcPr>
          <w:p>
            <w:pPr>
              <w:spacing w:line="240" w:lineRule="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金属新材料：</w:t>
            </w:r>
          </w:p>
          <w:p>
            <w:pPr>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——有色金属冶炼（含再生有色金属冶炼）、有色金属合金制造、有色金属铸造（年产10万吨及以上）</w:t>
            </w:r>
          </w:p>
          <w:p>
            <w:pPr>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——有电镀或喷漆工艺且年用油性漆量（含稀释剂）10吨及以上的金属制品加工制造。</w:t>
            </w:r>
          </w:p>
          <w:p>
            <w:pPr>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——有电镀工艺的；使用有机涂层的（喷粉、喷塑和电泳除外）；有钝化工艺的热镀锌的金属制品表面处理及热处理加工。</w:t>
            </w:r>
          </w:p>
          <w:p>
            <w:pPr>
              <w:spacing w:line="240" w:lineRule="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先进高分子材料：</w:t>
            </w:r>
          </w:p>
          <w:p>
            <w:pPr>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——除单纯混合和分装外的化学原料和化学制品制造业。</w:t>
            </w:r>
          </w:p>
          <w:p>
            <w:pPr>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——人造革、发泡胶等涉及有毒原材料的；以再生塑料为原料的；有电镀或喷漆工艺且年用油性漆量 （含稀释剂）10 吨及以上的塑料制品制造。</w:t>
            </w:r>
          </w:p>
          <w:p>
            <w:pPr>
              <w:spacing w:line="240" w:lineRule="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新型建筑材料、节能环保新材料</w:t>
            </w:r>
          </w:p>
          <w:p>
            <w:pPr>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——炼铁、球团、烧结；炼钢；年产10万吨及以上的黑色金属铸造黑色金属年产50万吨及以上的冷轧。</w:t>
            </w:r>
          </w:p>
          <w:p>
            <w:pPr>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——有炼化及硫化工艺的橡胶制造。</w:t>
            </w:r>
          </w:p>
          <w:p>
            <w:pPr>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——除单纯纺丝外的化学纤维制造。</w:t>
            </w:r>
          </w:p>
          <w:p>
            <w:pPr>
              <w:spacing w:line="240" w:lineRule="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——平板玻璃制造。</w:t>
            </w:r>
          </w:p>
          <w:p>
            <w:pPr>
              <w:spacing w:line="240" w:lineRule="auto"/>
              <w:rPr>
                <w:rFonts w:hint="default" w:ascii="Times New Roman" w:hAnsi="Times New Roman" w:cs="Times New Roman"/>
                <w:lang w:eastAsia="zh-CN"/>
              </w:rPr>
            </w:pPr>
            <w:r>
              <w:rPr>
                <w:rFonts w:hint="default" w:ascii="Times New Roman" w:hAnsi="Times New Roman" w:eastAsia="宋体" w:cs="Times New Roman"/>
                <w:color w:val="auto"/>
                <w:sz w:val="21"/>
                <w:szCs w:val="21"/>
                <w:lang w:val="en-US" w:eastAsia="zh-CN"/>
              </w:rPr>
              <w:t>——半导体材料。保新材料</w:t>
            </w:r>
          </w:p>
        </w:tc>
        <w:tc>
          <w:tcPr>
            <w:tcW w:w="2780" w:type="dxa"/>
            <w:vAlign w:val="center"/>
          </w:tcPr>
          <w:p>
            <w:pPr>
              <w:spacing w:line="240" w:lineRule="auto"/>
              <w:jc w:val="center"/>
              <w:rPr>
                <w:rFonts w:hint="default" w:ascii="Times New Roman" w:hAnsi="Times New Roman" w:cs="Times New Roman" w:eastAsiaTheme="minorEastAsia"/>
                <w:color w:val="auto"/>
                <w:sz w:val="21"/>
                <w:szCs w:val="21"/>
                <w:lang w:val="en-US" w:eastAsia="zh-CN" w:bidi="ar"/>
              </w:rPr>
            </w:pPr>
            <w:r>
              <w:rPr>
                <w:rFonts w:hint="default" w:ascii="Times New Roman" w:hAnsi="Times New Roman" w:cs="Times New Roman"/>
                <w:color w:val="auto"/>
                <w:sz w:val="21"/>
                <w:szCs w:val="21"/>
                <w:lang w:val="en-US" w:eastAsia="zh-CN" w:bidi="ar"/>
              </w:rPr>
              <w:t>本项目不属于以上规定范畴项目。</w:t>
            </w:r>
          </w:p>
        </w:tc>
      </w:tr>
    </w:tbl>
    <w:p>
      <w:pPr>
        <w:pStyle w:val="3"/>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left="0" w:leftChars="0" w:firstLine="482" w:firstLineChars="200"/>
        <w:textAlignment w:val="auto"/>
        <w:outlineLvl w:val="0"/>
        <w:rPr>
          <w:rFonts w:hint="default" w:ascii="Times New Roman" w:hAnsi="Times New Roman" w:cs="Times New Roman"/>
          <w:b w:val="0"/>
          <w:bCs/>
          <w:color w:val="auto"/>
          <w:sz w:val="24"/>
          <w:szCs w:val="24"/>
          <w:lang w:val="en-US" w:eastAsia="zh-CN"/>
        </w:rPr>
      </w:pPr>
      <w:r>
        <w:rPr>
          <w:rFonts w:hint="default" w:ascii="Times New Roman" w:hAnsi="Times New Roman" w:cs="Times New Roman"/>
          <w:b/>
          <w:bCs w:val="0"/>
          <w:sz w:val="24"/>
          <w:szCs w:val="24"/>
          <w:lang w:val="en-US" w:eastAsia="zh-CN"/>
        </w:rPr>
        <w:t>2.补充现有工程内容介绍，梳理现有工程环境问题，提出“以新带老”措施和要求。</w:t>
      </w:r>
      <w:r>
        <w:rPr>
          <w:rFonts w:hint="default" w:ascii="Times New Roman" w:hAnsi="Times New Roman" w:cs="Times New Roman"/>
          <w:b/>
          <w:bCs w:val="0"/>
          <w:color w:val="auto"/>
          <w:sz w:val="24"/>
          <w:szCs w:val="24"/>
          <w:lang w:val="en-US" w:eastAsia="zh-CN"/>
        </w:rPr>
        <w:t>核实工程组成表（环境风险防范措施）</w:t>
      </w:r>
      <w:r>
        <w:rPr>
          <w:rFonts w:hint="default" w:ascii="Times New Roman" w:hAnsi="Times New Roman" w:cs="Times New Roman"/>
          <w:b/>
          <w:bCs w:val="0"/>
          <w:sz w:val="24"/>
          <w:szCs w:val="24"/>
          <w:lang w:val="en-US" w:eastAsia="zh-CN"/>
        </w:rPr>
        <w:t>。补充完善环境保护目标调查（专题导则有附表要求的应附表要求格式填写，如大气、环境风险保护目标），给出坐标、保护对象、保护内容、环境功能区、相对位置方位、相对距离等，导则有具体要求，附相关表格。补充说明监测数据的代表性和有效性（大气、水）。</w:t>
      </w:r>
      <w:r>
        <w:rPr>
          <w:rFonts w:hint="default" w:ascii="Times New Roman" w:hAnsi="Times New Roman" w:cs="Times New Roman"/>
          <w:b/>
          <w:bCs w:val="0"/>
          <w:color w:val="auto"/>
          <w:sz w:val="24"/>
          <w:szCs w:val="24"/>
          <w:lang w:val="en-US" w:eastAsia="zh-CN"/>
        </w:rPr>
        <w:t>补充说明拆除设备处理情况，分析环境合理性。</w:t>
      </w:r>
    </w:p>
    <w:p>
      <w:pPr>
        <w:adjustRightInd w:val="0"/>
        <w:snapToGrid w:val="0"/>
        <w:spacing w:line="360" w:lineRule="auto"/>
        <w:ind w:firstLine="480" w:firstLineChars="200"/>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sz w:val="24"/>
          <w:szCs w:val="24"/>
          <w:lang w:val="en-US" w:eastAsia="zh-CN"/>
        </w:rPr>
        <w:t>新疆鲁兴化工有限公司于2011年根据国家和自治区、自治州的发展战略和产业政策以及呼图壁工业园总体规划，位于呼图壁工业园化工区横二路南侧投资</w:t>
      </w:r>
      <w:r>
        <w:rPr>
          <w:rFonts w:hint="default" w:ascii="Times New Roman" w:hAnsi="Times New Roman" w:eastAsia="宋体" w:cs="Times New Roman"/>
          <w:b w:val="0"/>
          <w:bCs w:val="0"/>
          <w:sz w:val="24"/>
          <w:szCs w:val="24"/>
          <w:lang w:val="en-US" w:eastAsia="zh-CN"/>
        </w:rPr>
        <w:t>建设年加工20万吨溶剂分离项目，并取得了立项批复，逐年进行分期建设。</w:t>
      </w:r>
    </w:p>
    <w:p>
      <w:pPr>
        <w:adjustRightInd w:val="0"/>
        <w:snapToGrid w:val="0"/>
        <w:spacing w:line="360" w:lineRule="auto"/>
        <w:ind w:firstLine="480" w:firstLineChars="200"/>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1、原有项目概况</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新疆维吾尔自治区环境保护厅《关于新疆鲁兴化工有限公司年加工20万吨溶剂分离一期工程项目环境影响报告书的批复》（新环评函2012）242号）新疆鲁兴化工有限公司年加工20万吨溶剂分离一期工程位于呼图壁天山工业园煤化工产业区内，项目生产原料为石脑油，年用量为70007吨，通过5个塔系包括再沸器、分馏塔、冷却器、回流罐）组成的连续分馏系统，年产轻烃1400吨、6#溶剂油21000吨、120#溶剂油24500吨、200#溶剂油21000吨、260#溶剂油1400吨。项目配套工程：循环冷却系统、供配电系统、供排水管网、导热油循环系统等，项目总投资5000万元，其中环保投资424万元。</w:t>
      </w:r>
    </w:p>
    <w:p>
      <w:pPr>
        <w:numPr>
          <w:ilvl w:val="0"/>
          <w:numId w:val="1"/>
        </w:num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环评报告原有污染情况及其环保措施</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（1）废气</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加强运行管理，做好各类废气治理工作。热媒炉废气须经陶瓷多管除尘及双碱法脱硫处理，满足《锅炉大气污染物排放标准》（CB13271-2001）中二类区Ⅱ时段标准后通过45m高烟囱排放。</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精馏塔顶不凝气导入热媒炉进行焚烧处理，采用内浮顶罐储存原料油及产品，减少大小呼吸；油品卸装采用全自动装车鹤管，带有密封帽和回收管，并设静电接地报警器和溢车报警器，保证装车时的安全、避免无组织废气散逸。采用封闭煤场储煤，并配套洒水装置，减少无组织煤尘产生。项目须设置150米卫生防护距离。</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（2）废水</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厂区排水系统须“清污分流”，生产设备、地坪清洗排污水与生话污水一同排入一体化污水处理设施，经处理达到《污水综合排放标准》（GB8978-1996）中二级标准后用于厂区绿化；待园区污水处理厂建成后排入园区下水管网。冷却系统排水，余热锅炉供暖系统排水经沉淀池处理后，用于煤场降尘。</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做好厂区地面硬化及生产车间、围堰、事故池等防渗工作；项目建设的所有罐区须做防渗处理，并建设围堰，防止生产事故引发环境污染。</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（3）固废</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项目产生的废弃物应按有关标准和分析方法检测检定，属危险废物的须专人管理，按有关控制标准贮存和运输，定期交有危险废物处置资质的机构安全处置，不得擅自处理。更换下来的导热油经精馏塔重新加工后继续使用。设置有防尘、防渗等污染防治措施的专用贮存场地堆存一般工业固体废物，定期外售或送市政生活垃圾填埋场处置。</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（4）噪声</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确保厂界噪声满足《工业企业厂界环境噪声排放标准( CB12348-2008)中3类要求。</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（5）环境风险防范措施</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加强项目环境风险防范、制定事故状态下环境风险应急预案和污染防治措施，避免生产事故引发环境污染．建立与地方政府突发环境事故应急预案对接及联动具体实施方案，确保风险事故得到有效控制，避免发生污染事件。</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（6）总量控制指标</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经测算，本项目主要污染物排放总量分别为：二氧化硫40.09吨/年、氮氧化物：56. 79吨/年，分别从呼图壁县新华夏煤焦化有限公司减排项目和新疆艾斯米尔焦煤有限公司减排项目腾出的污染物排放总量控制指标中解决。</w:t>
      </w:r>
    </w:p>
    <w:p>
      <w:pPr>
        <w:numPr>
          <w:ilvl w:val="0"/>
          <w:numId w:val="1"/>
        </w:numPr>
        <w:adjustRightInd w:val="0"/>
        <w:snapToGrid w:val="0"/>
        <w:spacing w:line="360" w:lineRule="auto"/>
        <w:ind w:left="0" w:leftChars="0"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原有项目主要环境问题</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2014 年项目一期7万吨/年溶剂油分离项目建设完成，并达到试生产条件，各项措施达到国家相关法律法规要求，同年8月份对项目进行安全验收。</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本项目为</w:t>
      </w:r>
      <w:r>
        <w:rPr>
          <w:rFonts w:hint="default" w:ascii="Times New Roman" w:hAnsi="Times New Roman" w:eastAsia="宋体" w:cs="Times New Roman"/>
          <w:sz w:val="24"/>
          <w:szCs w:val="24"/>
          <w:lang w:eastAsia="zh-CN"/>
        </w:rPr>
        <w:t>改建</w:t>
      </w:r>
      <w:r>
        <w:rPr>
          <w:rFonts w:hint="default" w:ascii="Times New Roman" w:hAnsi="Times New Roman" w:eastAsia="宋体" w:cs="Times New Roman"/>
          <w:sz w:val="24"/>
          <w:szCs w:val="24"/>
        </w:rPr>
        <w:t>项目，</w:t>
      </w:r>
      <w:r>
        <w:rPr>
          <w:rFonts w:hint="default" w:ascii="Times New Roman" w:hAnsi="Times New Roman" w:eastAsia="宋体" w:cs="Times New Roman"/>
          <w:sz w:val="24"/>
          <w:szCs w:val="24"/>
          <w:lang w:val="en-US" w:eastAsia="zh-CN"/>
        </w:rPr>
        <w:t>由于企业内部人员、资金结构调整等原因，原有项目自建成后停运至今，故不存在原有环境污染情况及环境问题。</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已补充完善环境保护目标调查（专题导则有附表要求的应附表要求格式填写，如大气、环境风险保护目标），给出坐标、保护对象、保护内容、环境功能区、相对位置方位、相对距离等，导则有具体要求，附相关表格。具体见P2</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表1</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环境保护目标一览表。</w:t>
      </w:r>
    </w:p>
    <w:p>
      <w:pPr>
        <w:pStyle w:val="7"/>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default" w:ascii="Times New Roman" w:hAnsi="Times New Roman" w:cs="Times New Roman"/>
          <w:b/>
          <w:bCs/>
          <w:color w:val="auto"/>
          <w:sz w:val="21"/>
          <w:szCs w:val="21"/>
        </w:rPr>
      </w:pPr>
      <w:r>
        <w:rPr>
          <w:rFonts w:hint="default" w:ascii="Times New Roman" w:hAnsi="Times New Roman" w:eastAsia="宋体" w:cs="Times New Roman"/>
          <w:b/>
          <w:bCs/>
          <w:color w:val="auto"/>
          <w:sz w:val="21"/>
          <w:szCs w:val="21"/>
        </w:rPr>
        <w:t>表</w:t>
      </w:r>
      <w:r>
        <w:rPr>
          <w:rFonts w:hint="default" w:ascii="Times New Roman" w:hAnsi="Times New Roman" w:eastAsia="宋体" w:cs="Times New Roman"/>
          <w:b/>
          <w:bCs/>
          <w:color w:val="auto"/>
          <w:sz w:val="21"/>
          <w:szCs w:val="21"/>
          <w:lang w:val="en-US" w:eastAsia="zh-CN"/>
        </w:rPr>
        <w:t>1</w:t>
      </w:r>
      <w:r>
        <w:rPr>
          <w:rFonts w:hint="eastAsia" w:ascii="Times New Roman" w:hAnsi="Times New Roman" w:eastAsia="宋体" w:cs="Times New Roman"/>
          <w:b/>
          <w:bCs/>
          <w:color w:val="auto"/>
          <w:sz w:val="21"/>
          <w:szCs w:val="21"/>
          <w:lang w:val="en-US" w:eastAsia="zh-CN"/>
        </w:rPr>
        <w:t>3</w:t>
      </w:r>
      <w:r>
        <w:rPr>
          <w:rFonts w:hint="default" w:ascii="Times New Roman" w:hAnsi="Times New Roman" w:eastAsia="宋体" w:cs="Times New Roman"/>
          <w:b/>
          <w:bCs/>
          <w:color w:val="auto"/>
          <w:sz w:val="21"/>
          <w:szCs w:val="21"/>
        </w:rPr>
        <w:t xml:space="preserve"> 项目周边环境保护目标一览表</w:t>
      </w:r>
    </w:p>
    <w:tbl>
      <w:tblPr>
        <w:tblStyle w:val="11"/>
        <w:tblW w:w="8504" w:type="dxa"/>
        <w:jc w:val="center"/>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13"/>
        <w:gridCol w:w="1271"/>
        <w:gridCol w:w="765"/>
        <w:gridCol w:w="754"/>
        <w:gridCol w:w="1276"/>
        <w:gridCol w:w="820"/>
        <w:gridCol w:w="973"/>
        <w:gridCol w:w="758"/>
        <w:gridCol w:w="974"/>
      </w:tblGrid>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913" w:type="dxa"/>
            <w:vMerge w:val="restart"/>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保护内容</w:t>
            </w:r>
          </w:p>
        </w:tc>
        <w:tc>
          <w:tcPr>
            <w:tcW w:w="1271" w:type="dxa"/>
            <w:vMerge w:val="restart"/>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b/>
                <w:bCs/>
                <w:color w:val="auto"/>
                <w:spacing w:val="-2"/>
                <w:kern w:val="10"/>
                <w:lang w:bidi="he-IL"/>
              </w:rPr>
            </w:pPr>
            <w:r>
              <w:rPr>
                <w:rFonts w:hint="default" w:ascii="Times New Roman" w:hAnsi="Times New Roman" w:cs="Times New Roman"/>
                <w:b/>
                <w:bCs/>
                <w:color w:val="auto"/>
                <w:spacing w:val="-2"/>
                <w:kern w:val="10"/>
                <w:lang w:bidi="he-IL"/>
              </w:rPr>
              <w:t>名称</w:t>
            </w:r>
          </w:p>
        </w:tc>
        <w:tc>
          <w:tcPr>
            <w:tcW w:w="1519" w:type="dxa"/>
            <w:gridSpan w:val="2"/>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坐标</w:t>
            </w:r>
          </w:p>
        </w:tc>
        <w:tc>
          <w:tcPr>
            <w:tcW w:w="1276" w:type="dxa"/>
            <w:vMerge w:val="restart"/>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保护对象</w:t>
            </w:r>
          </w:p>
        </w:tc>
        <w:tc>
          <w:tcPr>
            <w:tcW w:w="82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相对厂址方位</w:t>
            </w:r>
          </w:p>
        </w:tc>
        <w:tc>
          <w:tcPr>
            <w:tcW w:w="973"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相对厂界距离/m</w:t>
            </w:r>
          </w:p>
        </w:tc>
        <w:tc>
          <w:tcPr>
            <w:tcW w:w="758"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人口</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/人</w:t>
            </w:r>
          </w:p>
        </w:tc>
        <w:tc>
          <w:tcPr>
            <w:tcW w:w="974" w:type="dxa"/>
            <w:vMerge w:val="restart"/>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宋体" w:cs="Times New Roman"/>
                <w:color w:val="auto"/>
                <w:lang w:eastAsia="zh-CN"/>
              </w:rPr>
            </w:pPr>
            <w:r>
              <w:rPr>
                <w:rFonts w:hint="default" w:ascii="Times New Roman" w:hAnsi="Times New Roman" w:cs="Times New Roman"/>
                <w:color w:val="auto"/>
                <w:lang w:eastAsia="zh-CN"/>
              </w:rPr>
              <w:t>保护级别</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3" w:hRule="atLeast"/>
          <w:jc w:val="center"/>
        </w:trPr>
        <w:tc>
          <w:tcPr>
            <w:tcW w:w="913" w:type="dxa"/>
            <w:vMerge w:val="continue"/>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p>
        </w:tc>
        <w:tc>
          <w:tcPr>
            <w:tcW w:w="1271" w:type="dxa"/>
            <w:vMerge w:val="continue"/>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p>
        </w:tc>
        <w:tc>
          <w:tcPr>
            <w:tcW w:w="765"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宋体" w:cs="Times New Roman"/>
                <w:color w:val="auto"/>
                <w:lang w:eastAsia="zh-CN"/>
              </w:rPr>
            </w:pPr>
            <w:r>
              <w:rPr>
                <w:rFonts w:hint="default" w:ascii="Times New Roman" w:hAnsi="Times New Roman" w:cs="Times New Roman"/>
                <w:color w:val="auto"/>
                <w:lang w:val="en-US" w:eastAsia="zh-CN"/>
              </w:rPr>
              <w:t>E</w:t>
            </w:r>
          </w:p>
        </w:tc>
        <w:tc>
          <w:tcPr>
            <w:tcW w:w="754"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宋体" w:cs="Times New Roman"/>
                <w:color w:val="auto"/>
                <w:lang w:eastAsia="zh-CN"/>
              </w:rPr>
            </w:pPr>
            <w:r>
              <w:rPr>
                <w:rFonts w:hint="default" w:ascii="Times New Roman" w:hAnsi="Times New Roman" w:cs="Times New Roman"/>
                <w:color w:val="auto"/>
                <w:lang w:val="en-US" w:eastAsia="zh-CN"/>
              </w:rPr>
              <w:t>N</w:t>
            </w:r>
          </w:p>
        </w:tc>
        <w:tc>
          <w:tcPr>
            <w:tcW w:w="1276" w:type="dxa"/>
            <w:vMerge w:val="continue"/>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p>
        </w:tc>
        <w:tc>
          <w:tcPr>
            <w:tcW w:w="820" w:type="dxa"/>
            <w:vMerge w:val="continue"/>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p>
        </w:tc>
        <w:tc>
          <w:tcPr>
            <w:tcW w:w="973" w:type="dxa"/>
            <w:vMerge w:val="continue"/>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p>
        </w:tc>
        <w:tc>
          <w:tcPr>
            <w:tcW w:w="758" w:type="dxa"/>
            <w:vMerge w:val="continue"/>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p>
        </w:tc>
        <w:tc>
          <w:tcPr>
            <w:tcW w:w="974" w:type="dxa"/>
            <w:vMerge w:val="continue"/>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913" w:type="dxa"/>
            <w:vMerge w:val="restart"/>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环境</w:t>
            </w:r>
          </w:p>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空气、</w:t>
            </w:r>
          </w:p>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环境风险</w:t>
            </w:r>
          </w:p>
        </w:tc>
        <w:tc>
          <w:tcPr>
            <w:tcW w:w="1271"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十八户村四组</w:t>
            </w:r>
          </w:p>
        </w:tc>
        <w:tc>
          <w:tcPr>
            <w:tcW w:w="765"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86.555110</w:t>
            </w:r>
          </w:p>
        </w:tc>
        <w:tc>
          <w:tcPr>
            <w:tcW w:w="754"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44.268741</w:t>
            </w:r>
          </w:p>
        </w:tc>
        <w:tc>
          <w:tcPr>
            <w:tcW w:w="1276"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居民</w:t>
            </w:r>
          </w:p>
        </w:tc>
        <w:tc>
          <w:tcPr>
            <w:tcW w:w="820"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W</w:t>
            </w:r>
          </w:p>
        </w:tc>
        <w:tc>
          <w:tcPr>
            <w:tcW w:w="973"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2200</w:t>
            </w:r>
          </w:p>
        </w:tc>
        <w:tc>
          <w:tcPr>
            <w:tcW w:w="758"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25</w:t>
            </w:r>
          </w:p>
        </w:tc>
        <w:tc>
          <w:tcPr>
            <w:tcW w:w="974" w:type="dxa"/>
            <w:vMerge w:val="restart"/>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《环境空气质量标准》</w:t>
            </w:r>
          </w:p>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lang w:eastAsia="zh-CN"/>
              </w:rPr>
              <w:t>（</w:t>
            </w:r>
            <w:r>
              <w:rPr>
                <w:rFonts w:hint="default" w:ascii="Times New Roman" w:hAnsi="Times New Roman" w:cs="Times New Roman"/>
                <w:color w:val="auto"/>
              </w:rPr>
              <w:t>GB3095-2012</w:t>
            </w:r>
            <w:r>
              <w:rPr>
                <w:rFonts w:hint="default" w:ascii="Times New Roman" w:hAnsi="Times New Roman" w:cs="Times New Roman"/>
                <w:color w:val="auto"/>
                <w:lang w:eastAsia="zh-CN"/>
              </w:rPr>
              <w:t>）</w:t>
            </w:r>
            <w:r>
              <w:rPr>
                <w:rFonts w:hint="default" w:ascii="Times New Roman" w:hAnsi="Times New Roman" w:cs="Times New Roman"/>
                <w:color w:val="auto"/>
              </w:rPr>
              <w:t xml:space="preserve"> 二级</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3" w:hRule="atLeast"/>
          <w:jc w:val="center"/>
        </w:trPr>
        <w:tc>
          <w:tcPr>
            <w:tcW w:w="913" w:type="dxa"/>
            <w:vMerge w:val="continue"/>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p>
        </w:tc>
        <w:tc>
          <w:tcPr>
            <w:tcW w:w="1271"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永丰四队</w:t>
            </w:r>
          </w:p>
        </w:tc>
        <w:tc>
          <w:tcPr>
            <w:tcW w:w="765"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86.554538</w:t>
            </w:r>
          </w:p>
        </w:tc>
        <w:tc>
          <w:tcPr>
            <w:tcW w:w="754"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44.267177</w:t>
            </w:r>
          </w:p>
        </w:tc>
        <w:tc>
          <w:tcPr>
            <w:tcW w:w="1276"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居民</w:t>
            </w:r>
          </w:p>
        </w:tc>
        <w:tc>
          <w:tcPr>
            <w:tcW w:w="820"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宋体" w:cs="Times New Roman"/>
                <w:color w:val="auto"/>
                <w:lang w:eastAsia="zh-CN"/>
              </w:rPr>
            </w:pPr>
            <w:r>
              <w:rPr>
                <w:rFonts w:hint="default" w:ascii="Times New Roman" w:hAnsi="Times New Roman" w:cs="Times New Roman"/>
                <w:color w:val="auto"/>
              </w:rPr>
              <w:t>W</w:t>
            </w:r>
            <w:r>
              <w:rPr>
                <w:rFonts w:hint="default" w:ascii="Times New Roman" w:hAnsi="Times New Roman" w:cs="Times New Roman"/>
                <w:color w:val="auto"/>
                <w:lang w:val="en-US" w:eastAsia="zh-CN"/>
              </w:rPr>
              <w:t>S</w:t>
            </w:r>
          </w:p>
        </w:tc>
        <w:tc>
          <w:tcPr>
            <w:tcW w:w="973"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2310</w:t>
            </w:r>
          </w:p>
        </w:tc>
        <w:tc>
          <w:tcPr>
            <w:tcW w:w="758" w:type="dxa"/>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30</w:t>
            </w:r>
          </w:p>
        </w:tc>
        <w:tc>
          <w:tcPr>
            <w:tcW w:w="974" w:type="dxa"/>
            <w:vMerge w:val="continue"/>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913"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地下水</w:t>
            </w:r>
          </w:p>
        </w:tc>
        <w:tc>
          <w:tcPr>
            <w:tcW w:w="2790" w:type="dxa"/>
            <w:gridSpan w:val="3"/>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项目地下水环境</w:t>
            </w:r>
          </w:p>
        </w:tc>
        <w:tc>
          <w:tcPr>
            <w:tcW w:w="1276"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评价范围内浅层地下水</w:t>
            </w:r>
          </w:p>
        </w:tc>
        <w:tc>
          <w:tcPr>
            <w:tcW w:w="820"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w:t>
            </w:r>
          </w:p>
        </w:tc>
        <w:tc>
          <w:tcPr>
            <w:tcW w:w="973"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w:t>
            </w:r>
          </w:p>
        </w:tc>
        <w:tc>
          <w:tcPr>
            <w:tcW w:w="758"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w:t>
            </w:r>
          </w:p>
        </w:tc>
        <w:tc>
          <w:tcPr>
            <w:tcW w:w="974"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Ⅲ类</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13"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声环境</w:t>
            </w:r>
          </w:p>
        </w:tc>
        <w:tc>
          <w:tcPr>
            <w:tcW w:w="2790" w:type="dxa"/>
            <w:gridSpan w:val="3"/>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项目声环境</w:t>
            </w:r>
          </w:p>
        </w:tc>
        <w:tc>
          <w:tcPr>
            <w:tcW w:w="1276"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973"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758"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sz w:val="21"/>
                <w:szCs w:val="21"/>
              </w:rPr>
            </w:pPr>
            <w:r>
              <w:rPr>
                <w:rFonts w:hint="default" w:ascii="Times New Roman" w:hAnsi="Times New Roman" w:cs="Times New Roman"/>
                <w:color w:val="auto"/>
              </w:rPr>
              <w:t>/</w:t>
            </w:r>
          </w:p>
        </w:tc>
        <w:tc>
          <w:tcPr>
            <w:tcW w:w="974"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3</w:t>
            </w:r>
            <w:r>
              <w:rPr>
                <w:rFonts w:hint="default" w:ascii="Times New Roman" w:hAnsi="Times New Roman" w:cs="Times New Roman"/>
                <w:color w:val="auto"/>
              </w:rPr>
              <w:t>类</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913"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生态</w:t>
            </w:r>
          </w:p>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环境</w:t>
            </w:r>
          </w:p>
        </w:tc>
        <w:tc>
          <w:tcPr>
            <w:tcW w:w="2790" w:type="dxa"/>
            <w:gridSpan w:val="3"/>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rPr>
              <w:t>区域生态环境包括区域</w:t>
            </w:r>
            <w:r>
              <w:rPr>
                <w:rFonts w:hint="default" w:ascii="Times New Roman" w:hAnsi="Times New Roman" w:cs="Times New Roman"/>
                <w:color w:val="auto"/>
                <w:lang w:eastAsia="zh-CN"/>
              </w:rPr>
              <w:t>土壤环境、</w:t>
            </w:r>
            <w:r>
              <w:rPr>
                <w:rFonts w:hint="default" w:ascii="Times New Roman" w:hAnsi="Times New Roman" w:cs="Times New Roman"/>
                <w:color w:val="auto"/>
              </w:rPr>
              <w:t>动植物生境等</w:t>
            </w:r>
          </w:p>
        </w:tc>
        <w:tc>
          <w:tcPr>
            <w:tcW w:w="1276"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rPr>
            </w:pPr>
            <w:r>
              <w:rPr>
                <w:rFonts w:hint="default" w:ascii="Times New Roman" w:hAnsi="Times New Roman" w:cs="Times New Roman"/>
                <w:color w:val="auto"/>
                <w:lang w:eastAsia="zh-CN"/>
              </w:rPr>
              <w:t>土壤、</w:t>
            </w:r>
            <w:r>
              <w:rPr>
                <w:rFonts w:hint="default" w:ascii="Times New Roman" w:hAnsi="Times New Roman" w:cs="Times New Roman"/>
                <w:color w:val="auto"/>
              </w:rPr>
              <w:t>动植物生境等</w:t>
            </w:r>
          </w:p>
        </w:tc>
        <w:tc>
          <w:tcPr>
            <w:tcW w:w="82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973"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758" w:type="dxa"/>
            <w:shd w:val="clear" w:color="auto" w:fill="auto"/>
            <w:vAlign w:val="center"/>
          </w:tcPr>
          <w:p>
            <w:pPr>
              <w:pStyle w:val="18"/>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color w:val="auto"/>
                <w:sz w:val="21"/>
                <w:szCs w:val="21"/>
              </w:rPr>
            </w:pPr>
            <w:r>
              <w:rPr>
                <w:rFonts w:hint="default" w:ascii="Times New Roman" w:hAnsi="Times New Roman" w:cs="Times New Roman"/>
                <w:color w:val="auto"/>
              </w:rPr>
              <w:t>/</w:t>
            </w:r>
          </w:p>
        </w:tc>
        <w:tc>
          <w:tcPr>
            <w:tcW w:w="974"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r>
    </w:tbl>
    <w:p>
      <w:pPr>
        <w:keepNext w:val="0"/>
        <w:keepLines w:val="0"/>
        <w:pageBreakBefore w:val="0"/>
        <w:widowControl w:val="0"/>
        <w:kinsoku/>
        <w:wordWrap/>
        <w:overflowPunct/>
        <w:topLinePunct w:val="0"/>
        <w:autoSpaceDE/>
        <w:autoSpaceDN/>
        <w:bidi w:val="0"/>
        <w:adjustRightInd w:val="0"/>
        <w:snapToGrid w:val="0"/>
        <w:spacing w:before="313" w:beforeLines="100"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已补充说明监测数据的代表性和有效性（大气、水）。</w:t>
      </w:r>
    </w:p>
    <w:p>
      <w:pPr>
        <w:spacing w:line="360" w:lineRule="auto"/>
        <w:ind w:firstLine="480"/>
        <w:rPr>
          <w:rFonts w:hint="default" w:ascii="Times New Roman" w:hAnsi="Times New Roman" w:cs="Times New Roman"/>
          <w:color w:val="000000"/>
          <w:sz w:val="24"/>
        </w:rPr>
      </w:pPr>
      <w:r>
        <w:rPr>
          <w:rFonts w:hint="default" w:ascii="Times New Roman" w:hAnsi="Times New Roman" w:cs="Times New Roman"/>
          <w:color w:val="000000"/>
          <w:sz w:val="24"/>
          <w:lang w:val="en-US" w:eastAsia="zh-CN"/>
        </w:rPr>
        <w:t>大气：</w:t>
      </w:r>
      <w:r>
        <w:rPr>
          <w:rFonts w:hint="default" w:ascii="Times New Roman" w:hAnsi="Times New Roman" w:cs="Times New Roman"/>
          <w:color w:val="000000"/>
          <w:sz w:val="24"/>
        </w:rPr>
        <w:t>根据《环境影响评价技术导则 大气环境（HJ2.2-2018）》，</w:t>
      </w:r>
      <w:r>
        <w:rPr>
          <w:rFonts w:hint="default" w:ascii="Times New Roman" w:hAnsi="Times New Roman" w:cs="Times New Roman"/>
          <w:color w:val="000000"/>
          <w:sz w:val="24"/>
          <w:lang w:val="en-US" w:eastAsia="zh-CN"/>
        </w:rPr>
        <w:t>本项目位于呼图壁县呼图壁工业园区，</w:t>
      </w:r>
      <w:r>
        <w:rPr>
          <w:rFonts w:hint="default" w:ascii="Times New Roman" w:hAnsi="Times New Roman" w:cs="Times New Roman"/>
          <w:color w:val="auto"/>
          <w:sz w:val="24"/>
        </w:rPr>
        <w:t>本次大气评价引用新疆维吾尔自治区生态环境厅中“乌-昌-石”、“奎-独-乌”区域各县（市 区）环境空气质量状况及排名的</w:t>
      </w:r>
      <w:r>
        <w:rPr>
          <w:rFonts w:hint="default" w:ascii="Times New Roman" w:hAnsi="Times New Roman" w:cs="Times New Roman"/>
          <w:color w:val="auto"/>
          <w:sz w:val="24"/>
          <w:lang w:val="en-US" w:eastAsia="zh-CN"/>
        </w:rPr>
        <w:t>2019</w:t>
      </w:r>
      <w:r>
        <w:rPr>
          <w:rFonts w:hint="default" w:ascii="Times New Roman" w:hAnsi="Times New Roman" w:cs="Times New Roman"/>
          <w:color w:val="auto"/>
          <w:sz w:val="24"/>
        </w:rPr>
        <w:t>年</w:t>
      </w:r>
      <w:r>
        <w:rPr>
          <w:rFonts w:hint="default" w:ascii="Times New Roman" w:hAnsi="Times New Roman" w:cs="Times New Roman"/>
          <w:color w:val="auto"/>
          <w:sz w:val="24"/>
          <w:lang w:eastAsia="zh-CN"/>
        </w:rPr>
        <w:t>呼图壁县</w:t>
      </w:r>
      <w:r>
        <w:rPr>
          <w:rFonts w:hint="default" w:ascii="Times New Roman" w:hAnsi="Times New Roman" w:cs="Times New Roman"/>
          <w:color w:val="auto"/>
          <w:sz w:val="24"/>
        </w:rPr>
        <w:t>的监测数据判定项</w:t>
      </w:r>
      <w:r>
        <w:rPr>
          <w:rFonts w:hint="default" w:ascii="Times New Roman" w:hAnsi="Times New Roman" w:cs="Times New Roman"/>
          <w:color w:val="000000"/>
          <w:sz w:val="24"/>
        </w:rPr>
        <w:t>目所在区</w:t>
      </w:r>
      <w:r>
        <w:rPr>
          <w:rFonts w:hint="default" w:ascii="Times New Roman" w:hAnsi="Times New Roman" w:cs="Times New Roman"/>
          <w:color w:val="000000"/>
          <w:sz w:val="24"/>
          <w:lang w:val="en-US" w:eastAsia="zh-CN"/>
        </w:rPr>
        <w:t>呼图壁县</w:t>
      </w:r>
      <w:r>
        <w:rPr>
          <w:rFonts w:hint="default" w:ascii="Times New Roman" w:hAnsi="Times New Roman" w:cs="Times New Roman"/>
          <w:color w:val="000000"/>
          <w:sz w:val="24"/>
        </w:rPr>
        <w:t>环境质量达标情况。作为本项目环境空气现状评价基本污染物SO</w:t>
      </w:r>
      <w:r>
        <w:rPr>
          <w:rFonts w:hint="default" w:ascii="Times New Roman" w:hAnsi="Times New Roman" w:cs="Times New Roman"/>
          <w:color w:val="000000"/>
          <w:sz w:val="24"/>
          <w:vertAlign w:val="subscript"/>
        </w:rPr>
        <w:t>2</w:t>
      </w:r>
      <w:r>
        <w:rPr>
          <w:rFonts w:hint="default" w:ascii="Times New Roman" w:hAnsi="Times New Roman" w:cs="Times New Roman"/>
          <w:color w:val="000000"/>
          <w:sz w:val="24"/>
        </w:rPr>
        <w:t>、NO</w:t>
      </w:r>
      <w:r>
        <w:rPr>
          <w:rFonts w:hint="default" w:ascii="Times New Roman" w:hAnsi="Times New Roman" w:cs="Times New Roman"/>
          <w:color w:val="000000"/>
          <w:sz w:val="24"/>
          <w:vertAlign w:val="subscript"/>
        </w:rPr>
        <w:t>2</w:t>
      </w:r>
      <w:r>
        <w:rPr>
          <w:rFonts w:hint="default" w:ascii="Times New Roman" w:hAnsi="Times New Roman" w:cs="Times New Roman"/>
          <w:color w:val="000000"/>
          <w:sz w:val="24"/>
        </w:rPr>
        <w:t>、PM</w:t>
      </w:r>
      <w:r>
        <w:rPr>
          <w:rFonts w:hint="default" w:ascii="Times New Roman" w:hAnsi="Times New Roman" w:cs="Times New Roman"/>
          <w:color w:val="000000"/>
          <w:sz w:val="24"/>
          <w:vertAlign w:val="subscript"/>
        </w:rPr>
        <w:t>10</w:t>
      </w:r>
      <w:r>
        <w:rPr>
          <w:rFonts w:hint="default" w:ascii="Times New Roman" w:hAnsi="Times New Roman" w:cs="Times New Roman"/>
          <w:color w:val="000000"/>
          <w:sz w:val="24"/>
        </w:rPr>
        <w:t>、PM</w:t>
      </w:r>
      <w:r>
        <w:rPr>
          <w:rFonts w:hint="default" w:ascii="Times New Roman" w:hAnsi="Times New Roman" w:cs="Times New Roman"/>
          <w:color w:val="000000"/>
          <w:sz w:val="24"/>
          <w:vertAlign w:val="subscript"/>
        </w:rPr>
        <w:t>2.5</w:t>
      </w:r>
      <w:r>
        <w:rPr>
          <w:rFonts w:hint="default" w:ascii="Times New Roman" w:hAnsi="Times New Roman" w:cs="Times New Roman"/>
          <w:color w:val="000000"/>
          <w:sz w:val="24"/>
        </w:rPr>
        <w:t>、CO和O</w:t>
      </w:r>
      <w:r>
        <w:rPr>
          <w:rFonts w:hint="default" w:ascii="Times New Roman" w:hAnsi="Times New Roman" w:cs="Times New Roman"/>
          <w:color w:val="000000"/>
          <w:sz w:val="24"/>
          <w:vertAlign w:val="subscript"/>
        </w:rPr>
        <w:t>3</w:t>
      </w:r>
      <w:r>
        <w:rPr>
          <w:rFonts w:hint="default" w:ascii="Times New Roman" w:hAnsi="Times New Roman" w:cs="Times New Roman"/>
          <w:color w:val="000000"/>
          <w:sz w:val="24"/>
        </w:rPr>
        <w:t>的数据来源。</w:t>
      </w:r>
    </w:p>
    <w:p>
      <w:pPr>
        <w:spacing w:line="360" w:lineRule="auto"/>
        <w:ind w:firstLine="480"/>
        <w:rPr>
          <w:rFonts w:hint="default" w:ascii="Times New Roman" w:hAnsi="Times New Roman" w:eastAsia="宋体" w:cs="Times New Roman"/>
          <w:sz w:val="24"/>
          <w:szCs w:val="24"/>
        </w:rPr>
      </w:pPr>
      <w:r>
        <w:rPr>
          <w:rFonts w:hint="default" w:ascii="Times New Roman" w:hAnsi="Times New Roman" w:cs="Times New Roman"/>
          <w:color w:val="000000"/>
          <w:sz w:val="24"/>
        </w:rPr>
        <w:t>已补充评价范围内有效的三个监测点位的地下水环境监测数据，详见P19—P21的2.2地下水。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default" w:ascii="Times New Roman" w:hAnsi="Times New Roman" w:eastAsia="宋体" w:cs="Times New Roman"/>
          <w:b/>
          <w:bCs/>
          <w:sz w:val="24"/>
          <w:szCs w:val="24"/>
          <w:lang w:val="zh-CN"/>
        </w:rPr>
      </w:pPr>
      <w:r>
        <w:rPr>
          <w:rFonts w:hint="default" w:ascii="Times New Roman" w:hAnsi="Times New Roman" w:eastAsia="宋体" w:cs="Times New Roman"/>
          <w:b/>
          <w:bCs/>
          <w:sz w:val="24"/>
          <w:szCs w:val="24"/>
          <w:lang w:val="zh-CN"/>
        </w:rPr>
        <w:t>3.按导则要求补充修订大气评价内容。补充环境空气现状调查，现状调查时应明确项目所在区域达标区和非达标区判别。</w:t>
      </w:r>
      <w:r>
        <w:rPr>
          <w:rFonts w:hint="default" w:ascii="Times New Roman" w:hAnsi="Times New Roman" w:eastAsia="宋体" w:cs="Times New Roman"/>
          <w:b/>
          <w:bCs/>
          <w:color w:val="auto"/>
          <w:sz w:val="24"/>
          <w:szCs w:val="24"/>
          <w:lang w:val="zh-CN"/>
        </w:rPr>
        <w:t>补充大气特征污染物现状调查，补充特征污染物环境影响评价内容。补充《挥发性有机物无组织排放控制标准（GB 37822—2019）》作为控制标准，完善厂内无组织挥发性有机物控制相关评价内容。总量控制指标应核算特征污染物排放量。补充“三本账”核算。</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根据《环境影响评价技术导则 大气环境（HJ2.2-2018）》，本次大气评价引用新疆维吾尔自治区生态环境厅中“乌-昌-石”、“奎-独-乌”区域各县（市 区）环境空气质量状况及排名的2019年的监测数据判定项目所在区呼图壁县环境质量达标情况。作为本项目环境空气现状评价基本污染物SO</w:t>
      </w:r>
      <w:r>
        <w:rPr>
          <w:rFonts w:hint="default" w:ascii="Times New Roman" w:hAnsi="Times New Roman" w:cs="Times New Roman"/>
          <w:sz w:val="24"/>
          <w:szCs w:val="24"/>
          <w:vertAlign w:val="subscript"/>
          <w:lang w:val="en-US" w:eastAsia="zh-CN"/>
        </w:rPr>
        <w:t>2</w:t>
      </w:r>
      <w:r>
        <w:rPr>
          <w:rFonts w:hint="default" w:ascii="Times New Roman" w:hAnsi="Times New Roman" w:cs="Times New Roman"/>
          <w:sz w:val="24"/>
          <w:szCs w:val="24"/>
          <w:lang w:val="en-US" w:eastAsia="zh-CN"/>
        </w:rPr>
        <w:t>、NO</w:t>
      </w:r>
      <w:r>
        <w:rPr>
          <w:rFonts w:hint="default" w:ascii="Times New Roman" w:hAnsi="Times New Roman" w:cs="Times New Roman"/>
          <w:sz w:val="24"/>
          <w:szCs w:val="24"/>
          <w:vertAlign w:val="subscript"/>
          <w:lang w:val="en-US" w:eastAsia="zh-CN"/>
        </w:rPr>
        <w:t>2</w:t>
      </w:r>
      <w:r>
        <w:rPr>
          <w:rFonts w:hint="default" w:ascii="Times New Roman" w:hAnsi="Times New Roman" w:cs="Times New Roman"/>
          <w:sz w:val="24"/>
          <w:szCs w:val="24"/>
          <w:lang w:val="en-US" w:eastAsia="zh-CN"/>
        </w:rPr>
        <w:t>、PM</w:t>
      </w:r>
      <w:r>
        <w:rPr>
          <w:rFonts w:hint="default" w:ascii="Times New Roman" w:hAnsi="Times New Roman" w:cs="Times New Roman"/>
          <w:sz w:val="24"/>
          <w:szCs w:val="24"/>
          <w:vertAlign w:val="subscript"/>
          <w:lang w:val="en-US" w:eastAsia="zh-CN"/>
        </w:rPr>
        <w:t>10</w:t>
      </w:r>
      <w:r>
        <w:rPr>
          <w:rFonts w:hint="default" w:ascii="Times New Roman" w:hAnsi="Times New Roman" w:cs="Times New Roman"/>
          <w:sz w:val="24"/>
          <w:szCs w:val="24"/>
          <w:lang w:val="en-US" w:eastAsia="zh-CN"/>
        </w:rPr>
        <w:t>、PM</w:t>
      </w:r>
      <w:r>
        <w:rPr>
          <w:rFonts w:hint="default" w:ascii="Times New Roman" w:hAnsi="Times New Roman" w:cs="Times New Roman"/>
          <w:sz w:val="24"/>
          <w:szCs w:val="24"/>
          <w:vertAlign w:val="subscript"/>
          <w:lang w:val="en-US" w:eastAsia="zh-CN"/>
        </w:rPr>
        <w:t>2.5</w:t>
      </w:r>
      <w:r>
        <w:rPr>
          <w:rFonts w:hint="default" w:ascii="Times New Roman" w:hAnsi="Times New Roman" w:cs="Times New Roman"/>
          <w:sz w:val="24"/>
          <w:szCs w:val="24"/>
          <w:lang w:val="en-US" w:eastAsia="zh-CN"/>
        </w:rPr>
        <w:t>、CO和O</w:t>
      </w:r>
      <w:r>
        <w:rPr>
          <w:rFonts w:hint="default" w:ascii="Times New Roman" w:hAnsi="Times New Roman" w:cs="Times New Roman"/>
          <w:sz w:val="24"/>
          <w:szCs w:val="24"/>
          <w:vertAlign w:val="subscript"/>
          <w:lang w:val="en-US" w:eastAsia="zh-CN"/>
        </w:rPr>
        <w:t>3</w:t>
      </w:r>
      <w:r>
        <w:rPr>
          <w:rFonts w:hint="default" w:ascii="Times New Roman" w:hAnsi="Times New Roman" w:cs="Times New Roman"/>
          <w:sz w:val="24"/>
          <w:szCs w:val="24"/>
          <w:lang w:val="en-US" w:eastAsia="zh-CN"/>
        </w:rPr>
        <w:t>的数据来源。厂内无组织挥发性有机物控制相关评价内容详见P33—P36的1．大气环境影响分析。总量控制指标详见P2</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lang w:val="en-US" w:eastAsia="zh-CN"/>
        </w:rPr>
        <w:t>的总量控制指标。</w:t>
      </w:r>
      <w:r>
        <w:rPr>
          <w:rFonts w:hint="default" w:ascii="Times New Roman" w:hAnsi="Times New Roman" w:cs="Times New Roman"/>
          <w:sz w:val="24"/>
          <w:szCs w:val="24"/>
          <w:lang w:val="zh-CN" w:eastAsia="zh-CN"/>
        </w:rPr>
        <w:t>“三本账”核算详见</w:t>
      </w:r>
      <w:r>
        <w:rPr>
          <w:rFonts w:hint="default" w:ascii="Times New Roman" w:hAnsi="Times New Roman" w:cs="Times New Roman"/>
          <w:sz w:val="24"/>
          <w:szCs w:val="24"/>
          <w:lang w:val="en-US" w:eastAsia="zh-CN"/>
        </w:rPr>
        <w:t>P3</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val="en-US" w:eastAsia="zh-CN"/>
        </w:rPr>
        <w:t>的表20“三本账”排放情况统计表。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default" w:ascii="Times New Roman" w:hAnsi="Times New Roman" w:eastAsia="仿宋_GB2312" w:cs="Times New Roman"/>
          <w:b/>
          <w:bCs/>
          <w:sz w:val="24"/>
          <w:szCs w:val="24"/>
          <w:lang w:val="zh-CN"/>
        </w:rPr>
      </w:pPr>
      <w:r>
        <w:rPr>
          <w:rFonts w:hint="default"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lang w:val="zh-CN"/>
        </w:rPr>
        <w:t>按土壤导则要求，补充土壤评价内容，补充土壤评价自查表。补充分析本项目固体废物去向及环境合理性。补充项目区生态环境现状调查。核实项目区周围农田分布。核实污水排放污染物指标。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cs="Times New Roman"/>
          <w:sz w:val="24"/>
          <w:szCs w:val="24"/>
          <w:lang w:val="en-US" w:eastAsia="zh-CN"/>
        </w:rPr>
        <w:t>已补充土壤评价内容，详见P4</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lang w:val="en-US" w:eastAsia="zh-CN"/>
        </w:rPr>
        <w:t>—P4</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lang w:val="en-US" w:eastAsia="zh-CN"/>
        </w:rPr>
        <w:t>的4．土壤环境影响分析，土壤自查表详见P4</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lang w:val="en-US" w:eastAsia="zh-CN"/>
        </w:rPr>
        <w:t>的表36建设项目土壤环境影响评价自查表。本项目固体废物去向及环境合理性，详见P3</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页。经与建设单位核实，以及参考《泉州盈泰特种油品有限公司20万吨/年白油项目环境影响报告书》（2017年12月）及《山东齐旺达石油化工有限公司10万吨/年MCC产品精制技改项目环境影响报告书》（2020年7月），在粗白油储罐区不产生油泥。故本项目运行过程中不产生固废。</w:t>
      </w:r>
      <w:r>
        <w:rPr>
          <w:rFonts w:hint="default" w:ascii="Times New Roman" w:hAnsi="Times New Roman" w:eastAsia="宋体" w:cs="Times New Roman"/>
          <w:b w:val="0"/>
          <w:bCs w:val="0"/>
          <w:sz w:val="24"/>
          <w:szCs w:val="24"/>
          <w:lang w:val="zh-CN"/>
        </w:rPr>
        <w:t>项目区生态环境现状调查</w:t>
      </w:r>
      <w:r>
        <w:rPr>
          <w:rFonts w:hint="default" w:ascii="Times New Roman" w:hAnsi="Times New Roman" w:eastAsia="宋体" w:cs="Times New Roman"/>
          <w:b w:val="0"/>
          <w:bCs w:val="0"/>
          <w:sz w:val="24"/>
          <w:szCs w:val="24"/>
          <w:lang w:val="en-US" w:eastAsia="zh-CN"/>
        </w:rPr>
        <w:t>详见P2</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的5.生态环境现状调查。经核实，项目区周边无农田分布。本项目不生产粗白油，仅对粗白油产品进行储存，经与建设单位核实，以及参考《泉州盈泰特种油品有限公司20万吨/年白油项目环境影响报告书》（2017年12月）及《山东齐旺达石油化工有限公司10万吨/年MCC产品精制技改项目环境影响报告书》（2020年7月），在粗白油储罐区不产生生产废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default" w:ascii="Times New Roman" w:hAnsi="Times New Roman" w:eastAsia="宋体" w:cs="Times New Roman"/>
          <w:b/>
          <w:bCs/>
          <w:sz w:val="24"/>
          <w:szCs w:val="24"/>
          <w:lang w:val="zh-CN"/>
        </w:rPr>
      </w:pPr>
      <w:r>
        <w:rPr>
          <w:rFonts w:hint="default" w:ascii="Times New Roman" w:hAnsi="Times New Roman" w:eastAsia="宋体" w:cs="Times New Roman"/>
          <w:b/>
          <w:bCs/>
          <w:color w:val="auto"/>
          <w:sz w:val="24"/>
          <w:szCs w:val="24"/>
          <w:lang w:val="zh-CN"/>
        </w:rPr>
        <w:t>5.核实修订环境风险评价内容，建议补充环境风险评价专章，</w:t>
      </w:r>
      <w:r>
        <w:rPr>
          <w:rFonts w:hint="default" w:ascii="Times New Roman" w:hAnsi="Times New Roman" w:eastAsia="宋体" w:cs="Times New Roman"/>
          <w:b/>
          <w:bCs/>
          <w:sz w:val="24"/>
          <w:szCs w:val="24"/>
          <w:lang w:val="zh-CN"/>
        </w:rPr>
        <w:t>参照《关于进一步加强环境影响评价管理防范环境风险的通知》（环发[2012]77号）、《关于切实加强风险防范严格环境影响评价管理的通知》（环发[2012]98号）、《国务院办公厅关于推进城镇人口密集区危险化学品生产企业搬迁改造的指导意见》（国办发[2017]77号）、《国务院安委会办公室关于进一步加强危险化学品安全生产工作的指导意见》（安委办〔2018〕26号）、《危险化学品生产装置和储存设施风险基准》（GB36894-2018）、《危险化学品生产装置和储存设施外部安全防护距离确定方法》（GB/T37243-2019）、《危险化学品经营企业安全技术基本要求》（GB8265-2019）、《关于全面加强危险化学品安全生产工作的意见》等文件，补充完善平面布置环境合理性分析内容（对照标准规范，分析平面布置合理性，详细补充距离防控要求）。补充完善环境风险防范措施、管控和应急预案要求，补充环境风险应急事故池、储罐区围堰等内容，并纳入环保投资和验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风险分析中重点分析了泄露、火灾和爆炸风险分析 。罐体泄漏环境风险对地下水的影响详见P</w:t>
      </w:r>
      <w:r>
        <w:rPr>
          <w:rFonts w:hint="eastAsia" w:ascii="Times New Roman" w:hAnsi="Times New Roman" w:cs="Times New Roman"/>
          <w:sz w:val="24"/>
          <w:szCs w:val="24"/>
          <w:lang w:val="en-US" w:eastAsia="zh-CN"/>
        </w:rPr>
        <w:t>40</w:t>
      </w:r>
      <w:r>
        <w:rPr>
          <w:rFonts w:hint="default" w:ascii="Times New Roman" w:hAnsi="Times New Roman" w:cs="Times New Roman"/>
          <w:sz w:val="24"/>
          <w:szCs w:val="24"/>
          <w:lang w:val="en-US" w:eastAsia="zh-CN"/>
        </w:rPr>
        <w:t>-P4</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的（2）地下水环境影响预测与评价，防渗措施详见依据《石油化工工程防渗技术规范》（GB/T50934-2013）和《环境影响评价技术导则—地下水环境》（HJ610-2016）要求，详见P43的2）分区防治措施 。火灾和爆炸风险分析5</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-P5</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lang w:val="en-US" w:eastAsia="zh-CN"/>
        </w:rPr>
        <w:t>的5.6风险预测分析与评价。环境风险防范措施、管控和应急预案要求详见P5</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lang w:val="en-US" w:eastAsia="zh-CN"/>
        </w:rPr>
        <w:t>-P5</w:t>
      </w:r>
      <w:r>
        <w:rPr>
          <w:rFonts w:hint="eastAsia" w:ascii="Times New Roman" w:hAnsi="Times New Roman" w:cs="Times New Roman"/>
          <w:sz w:val="24"/>
          <w:szCs w:val="24"/>
          <w:lang w:val="en-US" w:eastAsia="zh-CN"/>
        </w:rPr>
        <w:t>9</w:t>
      </w:r>
      <w:r>
        <w:rPr>
          <w:rFonts w:hint="default" w:ascii="Times New Roman" w:hAnsi="Times New Roman" w:cs="Times New Roman"/>
          <w:sz w:val="24"/>
          <w:szCs w:val="24"/>
          <w:lang w:val="en-US" w:eastAsia="zh-CN"/>
        </w:rPr>
        <w:t>的5.4环境风险防范措施与应急预案；环境风险应急事故池和储罐区围堰已有，故未纳入环保投资，但纳入验收内容，详见详见P6</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的表54环境保护“三同时”竣工验收一览表。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default" w:ascii="Times New Roman" w:hAnsi="Times New Roman" w:eastAsia="宋体" w:cs="Times New Roman"/>
          <w:b/>
          <w:bCs/>
          <w:sz w:val="24"/>
          <w:szCs w:val="24"/>
          <w:lang w:val="zh-CN"/>
        </w:rPr>
      </w:pPr>
      <w:r>
        <w:rPr>
          <w:rFonts w:hint="default" w:ascii="Times New Roman" w:hAnsi="Times New Roman" w:eastAsia="宋体" w:cs="Times New Roman"/>
          <w:b/>
          <w:bCs/>
          <w:sz w:val="24"/>
          <w:szCs w:val="24"/>
          <w:lang w:val="zh-CN"/>
        </w:rPr>
        <w:t>6.补充完善环保投资和验收内容（如环境风险等）。补充完善厂区平面布置图（明确项目排污位置、环保措施等）。补充相关附件（如园区规划环评审查意见、现有工程环评、验收文件、安全评价及验收文件等）。修订审批基础信息表。补充评价范围图、环境敏感目标分布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环保投资估算详见P6</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val="en-US" w:eastAsia="zh-CN"/>
        </w:rPr>
        <w:t>的表53环保投资估算，验收内容详见P6</w:t>
      </w:r>
      <w:r>
        <w:rPr>
          <w:rFonts w:hint="eastAsia" w:ascii="Times New Roman" w:hAnsi="Times New Roman" w:cs="Times New Roman"/>
          <w:sz w:val="24"/>
          <w:szCs w:val="24"/>
          <w:lang w:val="en-US" w:eastAsia="zh-CN"/>
        </w:rPr>
        <w:t>3</w:t>
      </w:r>
      <w:bookmarkStart w:id="0" w:name="_GoBack"/>
      <w:bookmarkEnd w:id="0"/>
      <w:r>
        <w:rPr>
          <w:rFonts w:hint="default" w:ascii="Times New Roman" w:hAnsi="Times New Roman" w:cs="Times New Roman"/>
          <w:sz w:val="24"/>
          <w:szCs w:val="24"/>
          <w:lang w:val="en-US" w:eastAsia="zh-CN"/>
        </w:rPr>
        <w:t>的表54环境保护“三同时”竣工验收一览表。 已补充完善厂区平面布置图；已补充相关附件；已补充厂区平面布置图；已修订审批基础信息表；已补充</w:t>
      </w:r>
      <w:r>
        <w:rPr>
          <w:rFonts w:hint="default" w:ascii="Times New Roman" w:hAnsi="Times New Roman" w:cs="Times New Roman"/>
          <w:sz w:val="24"/>
          <w:szCs w:val="24"/>
          <w:lang w:val="zh-CN" w:eastAsia="zh-CN"/>
        </w:rPr>
        <w:t>评价范围图、环境敏感目标分布图，详见图</w:t>
      </w:r>
      <w:r>
        <w:rPr>
          <w:rFonts w:hint="default" w:ascii="Times New Roman" w:hAnsi="Times New Roman" w:cs="Times New Roman"/>
          <w:sz w:val="24"/>
          <w:szCs w:val="24"/>
          <w:lang w:val="en-US" w:eastAsia="zh-CN"/>
        </w:rPr>
        <w:t>8</w:t>
      </w:r>
      <w:r>
        <w:rPr>
          <w:rFonts w:hint="default" w:ascii="Times New Roman" w:hAnsi="Times New Roman" w:cs="Times New Roman"/>
          <w:sz w:val="24"/>
          <w:szCs w:val="24"/>
          <w:lang w:val="zh-CN"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34263F"/>
    <w:multiLevelType w:val="singleLevel"/>
    <w:tmpl w:val="DA34263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C52D8"/>
    <w:rsid w:val="0003736E"/>
    <w:rsid w:val="00083D6B"/>
    <w:rsid w:val="000956AC"/>
    <w:rsid w:val="000A7E84"/>
    <w:rsid w:val="000B038C"/>
    <w:rsid w:val="000D535C"/>
    <w:rsid w:val="000F33AF"/>
    <w:rsid w:val="001273E1"/>
    <w:rsid w:val="00161107"/>
    <w:rsid w:val="001713A8"/>
    <w:rsid w:val="00174C78"/>
    <w:rsid w:val="0018175F"/>
    <w:rsid w:val="002028DC"/>
    <w:rsid w:val="002B6097"/>
    <w:rsid w:val="00386D92"/>
    <w:rsid w:val="00393C00"/>
    <w:rsid w:val="00431FB9"/>
    <w:rsid w:val="00434996"/>
    <w:rsid w:val="0044007C"/>
    <w:rsid w:val="00470717"/>
    <w:rsid w:val="00472B09"/>
    <w:rsid w:val="004845B8"/>
    <w:rsid w:val="004D37A0"/>
    <w:rsid w:val="004E1200"/>
    <w:rsid w:val="004E1E2A"/>
    <w:rsid w:val="004F07E9"/>
    <w:rsid w:val="004F2EA9"/>
    <w:rsid w:val="00523243"/>
    <w:rsid w:val="00533460"/>
    <w:rsid w:val="005640C0"/>
    <w:rsid w:val="005862B7"/>
    <w:rsid w:val="005C52D8"/>
    <w:rsid w:val="00614840"/>
    <w:rsid w:val="006936E3"/>
    <w:rsid w:val="006B385A"/>
    <w:rsid w:val="00712DAE"/>
    <w:rsid w:val="00783DBF"/>
    <w:rsid w:val="007E30F2"/>
    <w:rsid w:val="007F6F7E"/>
    <w:rsid w:val="00875423"/>
    <w:rsid w:val="00893735"/>
    <w:rsid w:val="008B092B"/>
    <w:rsid w:val="008B3085"/>
    <w:rsid w:val="008F644B"/>
    <w:rsid w:val="009044A1"/>
    <w:rsid w:val="00940D96"/>
    <w:rsid w:val="00956EF6"/>
    <w:rsid w:val="009837A1"/>
    <w:rsid w:val="009C2F85"/>
    <w:rsid w:val="00A011BE"/>
    <w:rsid w:val="00A017EB"/>
    <w:rsid w:val="00A1134F"/>
    <w:rsid w:val="00A1507E"/>
    <w:rsid w:val="00A82FCE"/>
    <w:rsid w:val="00AD4505"/>
    <w:rsid w:val="00B16498"/>
    <w:rsid w:val="00B239BE"/>
    <w:rsid w:val="00B5251D"/>
    <w:rsid w:val="00BD2AD8"/>
    <w:rsid w:val="00C304F2"/>
    <w:rsid w:val="00C469D2"/>
    <w:rsid w:val="00C613FD"/>
    <w:rsid w:val="00C809AE"/>
    <w:rsid w:val="00C95154"/>
    <w:rsid w:val="00D3185F"/>
    <w:rsid w:val="00D36AAC"/>
    <w:rsid w:val="00D64FE5"/>
    <w:rsid w:val="00DB3C11"/>
    <w:rsid w:val="00DB76FA"/>
    <w:rsid w:val="00DC22EA"/>
    <w:rsid w:val="00DE720C"/>
    <w:rsid w:val="00E017C0"/>
    <w:rsid w:val="00E406C6"/>
    <w:rsid w:val="00EC4584"/>
    <w:rsid w:val="00EC462E"/>
    <w:rsid w:val="00F14C6E"/>
    <w:rsid w:val="00F565F1"/>
    <w:rsid w:val="00F64CBE"/>
    <w:rsid w:val="00F7649F"/>
    <w:rsid w:val="00F90D94"/>
    <w:rsid w:val="00FA723C"/>
    <w:rsid w:val="00FB3A13"/>
    <w:rsid w:val="048E2189"/>
    <w:rsid w:val="04E12464"/>
    <w:rsid w:val="06293AF8"/>
    <w:rsid w:val="06A94CD1"/>
    <w:rsid w:val="08523C39"/>
    <w:rsid w:val="087E215C"/>
    <w:rsid w:val="091B24C7"/>
    <w:rsid w:val="09A75A66"/>
    <w:rsid w:val="0C2D265C"/>
    <w:rsid w:val="0C493209"/>
    <w:rsid w:val="0D6556AC"/>
    <w:rsid w:val="0E565BD4"/>
    <w:rsid w:val="0EB01EFA"/>
    <w:rsid w:val="12AA6590"/>
    <w:rsid w:val="137377C1"/>
    <w:rsid w:val="141174D9"/>
    <w:rsid w:val="15725769"/>
    <w:rsid w:val="18722947"/>
    <w:rsid w:val="1A525CB3"/>
    <w:rsid w:val="1B202942"/>
    <w:rsid w:val="1CF4248F"/>
    <w:rsid w:val="1D9F4BCC"/>
    <w:rsid w:val="1E4320AB"/>
    <w:rsid w:val="1EE57940"/>
    <w:rsid w:val="1FDC4FC4"/>
    <w:rsid w:val="24CA347A"/>
    <w:rsid w:val="2709421A"/>
    <w:rsid w:val="2A7C6173"/>
    <w:rsid w:val="2B9D318C"/>
    <w:rsid w:val="2DCE1761"/>
    <w:rsid w:val="309A55BE"/>
    <w:rsid w:val="315D75A6"/>
    <w:rsid w:val="32632621"/>
    <w:rsid w:val="364A2C90"/>
    <w:rsid w:val="36630317"/>
    <w:rsid w:val="370827F3"/>
    <w:rsid w:val="38A56ADD"/>
    <w:rsid w:val="3963740E"/>
    <w:rsid w:val="3AB1406C"/>
    <w:rsid w:val="3ABD1D11"/>
    <w:rsid w:val="3CB929FE"/>
    <w:rsid w:val="3DED74BA"/>
    <w:rsid w:val="3E4C18F9"/>
    <w:rsid w:val="42405FFA"/>
    <w:rsid w:val="43A328D4"/>
    <w:rsid w:val="478B7C40"/>
    <w:rsid w:val="496833F3"/>
    <w:rsid w:val="4ABB2E86"/>
    <w:rsid w:val="4AF8222F"/>
    <w:rsid w:val="4BE45A9C"/>
    <w:rsid w:val="4C9B0CC2"/>
    <w:rsid w:val="4DC21185"/>
    <w:rsid w:val="4F937A83"/>
    <w:rsid w:val="51074467"/>
    <w:rsid w:val="530B34BC"/>
    <w:rsid w:val="541C65F1"/>
    <w:rsid w:val="5427483A"/>
    <w:rsid w:val="54900759"/>
    <w:rsid w:val="550A4035"/>
    <w:rsid w:val="57281ADD"/>
    <w:rsid w:val="59473B14"/>
    <w:rsid w:val="594E0383"/>
    <w:rsid w:val="59BC4039"/>
    <w:rsid w:val="5BB80AA0"/>
    <w:rsid w:val="5D3F208E"/>
    <w:rsid w:val="5D6E3BF1"/>
    <w:rsid w:val="5DDD6DAB"/>
    <w:rsid w:val="5EB13766"/>
    <w:rsid w:val="643F00C7"/>
    <w:rsid w:val="64D24097"/>
    <w:rsid w:val="65081FC0"/>
    <w:rsid w:val="69D96A03"/>
    <w:rsid w:val="6AC8103C"/>
    <w:rsid w:val="6C6A3414"/>
    <w:rsid w:val="6DB64DB4"/>
    <w:rsid w:val="6EBA354D"/>
    <w:rsid w:val="715F7672"/>
    <w:rsid w:val="74FE1DCB"/>
    <w:rsid w:val="75605CB7"/>
    <w:rsid w:val="79C644D0"/>
    <w:rsid w:val="7A7059AC"/>
    <w:rsid w:val="7A7E6D76"/>
    <w:rsid w:val="7A892E01"/>
    <w:rsid w:val="7AB34825"/>
    <w:rsid w:val="7B212DFC"/>
    <w:rsid w:val="7C387813"/>
    <w:rsid w:val="7DE94EC3"/>
    <w:rsid w:val="7FFD2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Body Text Indent"/>
    <w:basedOn w:val="1"/>
    <w:next w:val="5"/>
    <w:qFormat/>
    <w:uiPriority w:val="0"/>
    <w:pPr>
      <w:spacing w:after="120"/>
      <w:ind w:left="420" w:leftChars="200"/>
    </w:pPr>
  </w:style>
  <w:style w:type="paragraph" w:styleId="5">
    <w:name w:val="header"/>
    <w:basedOn w:val="1"/>
    <w:next w:val="6"/>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样式5"/>
    <w:basedOn w:val="1"/>
    <w:qFormat/>
    <w:uiPriority w:val="0"/>
    <w:pPr>
      <w:snapToGrid w:val="0"/>
      <w:spacing w:line="360" w:lineRule="auto"/>
      <w:ind w:firstLine="510"/>
    </w:pPr>
    <w:rPr>
      <w:sz w:val="24"/>
    </w:rPr>
  </w:style>
  <w:style w:type="paragraph" w:styleId="7">
    <w:name w:val="Body Text Indent 2"/>
    <w:basedOn w:val="1"/>
    <w:next w:val="1"/>
    <w:qFormat/>
    <w:uiPriority w:val="0"/>
    <w:pPr>
      <w:spacing w:after="120" w:afterLines="0" w:line="480" w:lineRule="auto"/>
      <w:ind w:left="420" w:leftChars="200"/>
    </w:pPr>
  </w:style>
  <w:style w:type="paragraph" w:styleId="8">
    <w:name w:val="footer"/>
    <w:basedOn w:val="1"/>
    <w:link w:val="14"/>
    <w:semiHidden/>
    <w:unhideWhenUsed/>
    <w:qFormat/>
    <w:uiPriority w:val="99"/>
    <w:pPr>
      <w:tabs>
        <w:tab w:val="center" w:pos="4153"/>
        <w:tab w:val="right" w:pos="8306"/>
      </w:tabs>
      <w:snapToGrid w:val="0"/>
      <w:jc w:val="left"/>
    </w:pPr>
    <w:rPr>
      <w:sz w:val="18"/>
      <w:szCs w:val="18"/>
    </w:rPr>
  </w:style>
  <w:style w:type="paragraph" w:styleId="9">
    <w:name w:val="Body Text First Indent"/>
    <w:basedOn w:val="1"/>
    <w:qFormat/>
    <w:uiPriority w:val="0"/>
    <w:pPr>
      <w:snapToGrid w:val="0"/>
      <w:spacing w:line="360" w:lineRule="auto"/>
      <w:ind w:firstLine="1044" w:firstLineChars="200"/>
    </w:pPr>
    <w:rPr>
      <w:rFonts w:ascii="Times New Roman" w:hAnsi="Times New Roman"/>
    </w:rPr>
  </w:style>
  <w:style w:type="paragraph" w:styleId="10">
    <w:name w:val="Body Text First Indent 2"/>
    <w:basedOn w:val="4"/>
    <w:next w:val="1"/>
    <w:qFormat/>
    <w:uiPriority w:val="0"/>
    <w:pPr>
      <w:spacing w:after="120" w:line="240" w:lineRule="auto"/>
      <w:ind w:left="420" w:leftChars="200" w:firstLine="420" w:firstLineChars="200"/>
    </w:pPr>
    <w:rPr>
      <w:rFonts w:eastAsia="宋体"/>
      <w:sz w:val="21"/>
      <w:szCs w:val="24"/>
    </w:rPr>
  </w:style>
  <w:style w:type="character" w:customStyle="1" w:styleId="13">
    <w:name w:val="页眉 Char"/>
    <w:basedOn w:val="12"/>
    <w:link w:val="5"/>
    <w:semiHidden/>
    <w:qFormat/>
    <w:uiPriority w:val="99"/>
    <w:rPr>
      <w:sz w:val="18"/>
      <w:szCs w:val="18"/>
    </w:rPr>
  </w:style>
  <w:style w:type="character" w:customStyle="1" w:styleId="14">
    <w:name w:val="页脚 Char"/>
    <w:basedOn w:val="12"/>
    <w:link w:val="8"/>
    <w:semiHidden/>
    <w:qFormat/>
    <w:uiPriority w:val="99"/>
    <w:rPr>
      <w:sz w:val="18"/>
      <w:szCs w:val="18"/>
    </w:rPr>
  </w:style>
  <w:style w:type="paragraph" w:styleId="15">
    <w:name w:val="List Paragraph"/>
    <w:basedOn w:val="1"/>
    <w:qFormat/>
    <w:uiPriority w:val="34"/>
    <w:pPr>
      <w:ind w:firstLine="420" w:firstLineChars="200"/>
    </w:pPr>
  </w:style>
  <w:style w:type="paragraph" w:customStyle="1" w:styleId="16">
    <w:name w:val="文本"/>
    <w:basedOn w:val="1"/>
    <w:qFormat/>
    <w:uiPriority w:val="0"/>
    <w:pPr>
      <w:adjustRightInd w:val="0"/>
      <w:ind w:firstLine="480" w:firstLineChars="200"/>
      <w:jc w:val="left"/>
    </w:pPr>
  </w:style>
  <w:style w:type="paragraph" w:customStyle="1" w:styleId="17">
    <w:name w:val="0正文"/>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18">
    <w:name w:val="a-表内"/>
    <w:qFormat/>
    <w:uiPriority w:val="0"/>
    <w:pPr>
      <w:adjustRightInd w:val="0"/>
      <w:snapToGrid w:val="0"/>
      <w:jc w:val="center"/>
    </w:pPr>
    <w:rPr>
      <w:rFonts w:ascii="Times New Roman" w:hAnsi="Times New Roman" w:eastAsia="宋体" w:cs="Times New Roman"/>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389</Words>
  <Characters>2221</Characters>
  <Lines>18</Lines>
  <Paragraphs>5</Paragraphs>
  <TotalTime>6</TotalTime>
  <ScaleCrop>false</ScaleCrop>
  <LinksUpToDate>false</LinksUpToDate>
  <CharactersWithSpaces>2605</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2019-05-07T03:24:00Z</dcterms:created>
  <dc:creator>Windows 用户</dc:creator>
  <cp:lastModifiedBy>you</cp:lastModifiedBy>
  <dcterms:modified xsi:type="dcterms:W3CDTF">2020-09-23T03:17:15Z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