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164"/>
        <w:gridCol w:w="1472"/>
        <w:gridCol w:w="1361"/>
        <w:gridCol w:w="141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项目名称</w:t>
            </w:r>
          </w:p>
        </w:tc>
        <w:tc>
          <w:tcPr>
            <w:tcW w:w="6495" w:type="dxa"/>
            <w:gridSpan w:val="5"/>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 w:name="_GoBack"/>
            <w:r>
              <w:rPr>
                <w:rFonts w:hint="default" w:ascii="Times New Roman" w:hAnsi="Times New Roman" w:eastAsia="宋体" w:cs="Times New Roman"/>
                <w:color w:val="000000" w:themeColor="text1"/>
                <w:sz w:val="24"/>
                <w:szCs w:val="24"/>
                <w:highlight w:val="none"/>
                <w14:textFill>
                  <w14:solidFill>
                    <w14:schemeClr w14:val="tx1"/>
                  </w14:solidFill>
                </w14:textFill>
              </w:rPr>
              <w:t>新疆海克新能源科技有限公司危废暂存间建设项目</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建设单位</w:t>
            </w:r>
          </w:p>
        </w:tc>
        <w:tc>
          <w:tcPr>
            <w:tcW w:w="6495" w:type="dxa"/>
            <w:gridSpan w:val="5"/>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新疆海克新能源科技有限公司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法人代表</w:t>
            </w:r>
          </w:p>
        </w:tc>
        <w:tc>
          <w:tcPr>
            <w:tcW w:w="2636" w:type="dxa"/>
            <w:gridSpan w:val="2"/>
            <w:vAlign w:val="center"/>
          </w:tcPr>
          <w:p>
            <w:pPr>
              <w:spacing w:line="240" w:lineRule="auto"/>
              <w:jc w:val="center"/>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施全红</w:t>
            </w:r>
          </w:p>
        </w:tc>
        <w:tc>
          <w:tcPr>
            <w:tcW w:w="1361" w:type="dxa"/>
            <w:vAlign w:val="center"/>
          </w:tcPr>
          <w:p>
            <w:pPr>
              <w:spacing w:line="240" w:lineRule="auto"/>
              <w:jc w:val="center"/>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联系人</w:t>
            </w:r>
          </w:p>
        </w:tc>
        <w:tc>
          <w:tcPr>
            <w:tcW w:w="2498" w:type="dxa"/>
            <w:gridSpan w:val="2"/>
            <w:vAlign w:val="center"/>
          </w:tcPr>
          <w:p>
            <w:pPr>
              <w:spacing w:line="240" w:lineRule="auto"/>
              <w:jc w:val="center"/>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陈雪琦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通讯地址</w:t>
            </w:r>
          </w:p>
        </w:tc>
        <w:tc>
          <w:tcPr>
            <w:tcW w:w="6495" w:type="dxa"/>
            <w:gridSpan w:val="5"/>
            <w:vAlign w:val="center"/>
          </w:tcPr>
          <w:p>
            <w:pPr>
              <w:spacing w:line="240" w:lineRule="auto"/>
              <w:jc w:val="cente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新疆昌吉州呼图壁县工业园区纵1路西侧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通讯电话</w:t>
            </w:r>
          </w:p>
        </w:tc>
        <w:tc>
          <w:tcPr>
            <w:tcW w:w="3997" w:type="dxa"/>
            <w:gridSpan w:val="3"/>
            <w:vAlign w:val="center"/>
          </w:tcPr>
          <w:p>
            <w:pPr>
              <w:spacing w:line="240" w:lineRule="auto"/>
              <w:jc w:val="center"/>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18699453538</w:t>
            </w:r>
          </w:p>
        </w:tc>
        <w:tc>
          <w:tcPr>
            <w:tcW w:w="1414" w:type="dxa"/>
            <w:vAlign w:val="center"/>
          </w:tcPr>
          <w:p>
            <w:pPr>
              <w:spacing w:line="240" w:lineRule="auto"/>
              <w:jc w:val="center"/>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邮政编码</w:t>
            </w:r>
          </w:p>
        </w:tc>
        <w:tc>
          <w:tcPr>
            <w:tcW w:w="1084" w:type="dxa"/>
            <w:vAlign w:val="center"/>
          </w:tcPr>
          <w:p>
            <w:pPr>
              <w:spacing w:line="240" w:lineRule="auto"/>
              <w:jc w:val="center"/>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833005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建设地点</w:t>
            </w:r>
          </w:p>
        </w:tc>
        <w:tc>
          <w:tcPr>
            <w:tcW w:w="6495" w:type="dxa"/>
            <w:gridSpan w:val="5"/>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新疆昌吉州呼图壁县工业园区纵1路西侧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立案审批部门</w:t>
            </w:r>
          </w:p>
        </w:tc>
        <w:tc>
          <w:tcPr>
            <w:tcW w:w="2636" w:type="dxa"/>
            <w:gridSpan w:val="2"/>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361"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批准文号</w:t>
            </w:r>
          </w:p>
        </w:tc>
        <w:tc>
          <w:tcPr>
            <w:tcW w:w="2498" w:type="dxa"/>
            <w:gridSpan w:val="2"/>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占地面积</w:t>
            </w:r>
          </w:p>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（m</w:t>
            </w:r>
            <w:r>
              <w:rPr>
                <w:rFonts w:hint="default" w:ascii="Times New Roman" w:hAnsi="Times New Roman" w:eastAsia="宋体" w:cs="Times New Roman"/>
                <w:color w:val="000000" w:themeColor="text1"/>
                <w:kern w:val="2"/>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w:t>
            </w:r>
          </w:p>
        </w:tc>
        <w:tc>
          <w:tcPr>
            <w:tcW w:w="2636" w:type="dxa"/>
            <w:gridSpan w:val="2"/>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143</w:t>
            </w:r>
          </w:p>
        </w:tc>
        <w:tc>
          <w:tcPr>
            <w:tcW w:w="1361"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绿化面积（m</w:t>
            </w:r>
            <w:r>
              <w:rPr>
                <w:rFonts w:hint="default" w:ascii="Times New Roman" w:hAnsi="Times New Roman" w:eastAsia="宋体" w:cs="Times New Roman"/>
                <w:color w:val="000000" w:themeColor="text1"/>
                <w:kern w:val="2"/>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w:t>
            </w:r>
          </w:p>
        </w:tc>
        <w:tc>
          <w:tcPr>
            <w:tcW w:w="2498" w:type="dxa"/>
            <w:gridSpan w:val="2"/>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建设性质</w:t>
            </w:r>
          </w:p>
        </w:tc>
        <w:tc>
          <w:tcPr>
            <w:tcW w:w="2636" w:type="dxa"/>
            <w:gridSpan w:val="2"/>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sym w:font="Wingdings" w:char="00A8"/>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新建</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sym w:font="Wingdings" w:char="00FE"/>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改扩建</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sym w:font="Wingdings" w:char="00A8"/>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技改</w:t>
            </w:r>
          </w:p>
        </w:tc>
        <w:tc>
          <w:tcPr>
            <w:tcW w:w="1361"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行业类别及代码</w:t>
            </w:r>
          </w:p>
        </w:tc>
        <w:tc>
          <w:tcPr>
            <w:tcW w:w="2498" w:type="dxa"/>
            <w:gridSpan w:val="2"/>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G5990其他仓储业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总投资</w:t>
            </w:r>
          </w:p>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（万元）</w:t>
            </w:r>
          </w:p>
        </w:tc>
        <w:tc>
          <w:tcPr>
            <w:tcW w:w="1164" w:type="dxa"/>
            <w:vAlign w:val="center"/>
          </w:tcPr>
          <w:p>
            <w:pPr>
              <w:spacing w:line="24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30</w:t>
            </w:r>
          </w:p>
        </w:tc>
        <w:tc>
          <w:tcPr>
            <w:tcW w:w="1472"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其中，环保投资（万元）</w:t>
            </w:r>
          </w:p>
        </w:tc>
        <w:tc>
          <w:tcPr>
            <w:tcW w:w="1361" w:type="dxa"/>
            <w:vAlign w:val="center"/>
          </w:tcPr>
          <w:p>
            <w:pPr>
              <w:spacing w:line="24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20</w:t>
            </w:r>
          </w:p>
        </w:tc>
        <w:tc>
          <w:tcPr>
            <w:tcW w:w="1414"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占总投资比例%</w:t>
            </w:r>
          </w:p>
        </w:tc>
        <w:tc>
          <w:tcPr>
            <w:tcW w:w="1084" w:type="dxa"/>
            <w:vAlign w:val="center"/>
          </w:tcPr>
          <w:p>
            <w:pPr>
              <w:spacing w:line="24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7" w:type="dxa"/>
            <w:vAlign w:val="center"/>
          </w:tcPr>
          <w:p>
            <w:pPr>
              <w:spacing w:line="240" w:lineRule="auto"/>
              <w:jc w:val="center"/>
              <w:rPr>
                <w:rFonts w:hint="default" w:ascii="Times New Roman" w:hAnsi="Times New Roman" w:eastAsia="宋体" w:cs="Times New Roman"/>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评价经费</w:t>
            </w:r>
          </w:p>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（万元）</w:t>
            </w:r>
          </w:p>
        </w:tc>
        <w:tc>
          <w:tcPr>
            <w:tcW w:w="1164" w:type="dxa"/>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2833" w:type="dxa"/>
            <w:gridSpan w:val="2"/>
            <w:vAlign w:val="center"/>
          </w:tcPr>
          <w:p>
            <w:pPr>
              <w:spacing w:line="240" w:lineRule="auto"/>
              <w:jc w:val="center"/>
              <w:rPr>
                <w:rFonts w:hint="default" w:ascii="Times New Roman" w:hAnsi="Times New Roman" w:eastAsia="宋体" w:cs="Times New Roman"/>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预期投产日期</w:t>
            </w:r>
          </w:p>
        </w:tc>
        <w:tc>
          <w:tcPr>
            <w:tcW w:w="2498" w:type="dxa"/>
            <w:gridSpan w:val="2"/>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2020年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gridSpan w:val="6"/>
            <w:vAlign w:val="center"/>
          </w:tcPr>
          <w:p>
            <w:pPr>
              <w:adjustRightInd/>
              <w:snapToGrid/>
              <w:rPr>
                <w:rFonts w:hint="default" w:ascii="Times New Roman" w:hAnsi="Times New Roman" w:eastAsia="宋体" w:cs="Times New Roman"/>
                <w:b/>
                <w:bCs/>
                <w:color w:val="000000" w:themeColor="text1"/>
                <w:sz w:val="30"/>
                <w:szCs w:val="30"/>
                <w:highlight w:val="none"/>
                <w14:textFill>
                  <w14:solidFill>
                    <w14:schemeClr w14:val="tx1"/>
                  </w14:solidFill>
                </w14:textFill>
              </w:rPr>
            </w:pPr>
            <w:r>
              <w:rPr>
                <w:rFonts w:hint="default" w:ascii="Times New Roman" w:hAnsi="Times New Roman" w:eastAsia="宋体" w:cs="Times New Roman"/>
                <w:b/>
                <w:bCs/>
                <w:color w:val="000000" w:themeColor="text1"/>
                <w:sz w:val="30"/>
                <w:szCs w:val="30"/>
                <w:highlight w:val="none"/>
                <w14:textFill>
                  <w14:solidFill>
                    <w14:schemeClr w14:val="tx1"/>
                  </w14:solidFill>
                </w14:textFill>
              </w:rPr>
              <w:t>项目建设目的及意义</w:t>
            </w:r>
          </w:p>
          <w:p>
            <w:pPr>
              <w:adjustRightInd/>
              <w:snapToGrid/>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1  项目建设背景</w:t>
            </w:r>
          </w:p>
          <w:p>
            <w:pPr>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废矿物油是由多种物质组成的复杂混合物，主要成分有烷烃、多环芳烃、烯烃、苯系物、酚类等。对人体有一定的毒性和危害作用。进入外环境，将造成严重的环境污染，破坏生物的正常生活环境，具有造成生物机能障碍的物理作用。在油脂精制工艺中，通常使用占油重2%~3%的活性白土，脱色以后的白土失去了活性即成为废白土。废白土主要成分为白土、胶质、沥青质、稠环芳烃和约30%的油等，废白土若不能得到较好地回收再利用,将会造成环境污染和资源浪费。</w:t>
            </w:r>
          </w:p>
          <w:p>
            <w:pPr>
              <w:ind w:firstLine="560" w:firstLineChars="200"/>
              <w:rPr>
                <w:rFonts w:hint="default" w:ascii="Times New Roman" w:hAnsi="Times New Roman" w:eastAsia="宋体" w:cs="Times New Roman"/>
                <w:color w:val="000000" w:themeColor="text1"/>
                <w:szCs w:val="28"/>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新疆海克新能源科技有限公司为危险废物经营单位，于2016年5月获得《危险废物经营许可证》（证书编号：6523231041），经营方式为收集、贮存、利用、处置。危险类别</w:t>
            </w:r>
            <w:r>
              <w:rPr>
                <w:rFonts w:hint="default" w:ascii="Times New Roman" w:hAnsi="Times New Roman" w:eastAsia="宋体" w:cs="Times New Roman"/>
                <w:color w:val="000000" w:themeColor="text1"/>
                <w:szCs w:val="28"/>
                <w:highlight w:val="none"/>
                <w14:textFill>
                  <w14:solidFill>
                    <w14:schemeClr w14:val="tx1"/>
                  </w14:solidFill>
                </w14:textFill>
              </w:rPr>
              <w:t>HW08废矿物油，种类为900-202-08、900-214-08、900-217-08、900-249-08。企业运营过程中</w:t>
            </w:r>
            <w:r>
              <w:rPr>
                <w:rFonts w:hint="default" w:ascii="Times New Roman" w:hAnsi="Times New Roman" w:eastAsia="宋体" w:cs="Times New Roman"/>
                <w:color w:val="000000" w:themeColor="text1"/>
                <w:highlight w:val="none"/>
                <w14:textFill>
                  <w14:solidFill>
                    <w14:schemeClr w14:val="tx1"/>
                  </w14:solidFill>
                </w14:textFill>
              </w:rPr>
              <w:t>会存在废矿物油、废白土</w:t>
            </w:r>
            <w:r>
              <w:rPr>
                <w:rFonts w:hint="default" w:ascii="Times New Roman" w:hAnsi="Times New Roman" w:eastAsia="宋体" w:cs="Times New Roman"/>
                <w:color w:val="000000" w:themeColor="text1"/>
                <w:highlight w:val="none"/>
                <w:lang w:eastAsia="zh-CN"/>
                <w14:textFill>
                  <w14:solidFill>
                    <w14:schemeClr w14:val="tx1"/>
                  </w14:solidFill>
                </w14:textFill>
              </w:rPr>
              <w:t>及油泥</w:t>
            </w:r>
            <w:r>
              <w:rPr>
                <w:rFonts w:hint="default" w:ascii="Times New Roman" w:hAnsi="Times New Roman" w:eastAsia="宋体" w:cs="Times New Roman"/>
                <w:color w:val="000000" w:themeColor="text1"/>
                <w:highlight w:val="none"/>
                <w14:textFill>
                  <w14:solidFill>
                    <w14:schemeClr w14:val="tx1"/>
                  </w14:solidFill>
                </w14:textFill>
              </w:rPr>
              <w:t>。根据《国家危险废物名录》（2016年本），废矿物油属于危险废物（HW08），应按照《危险废物贮存污染</w:t>
            </w:r>
            <w:r>
              <w:rPr>
                <w:rFonts w:hint="default" w:ascii="Times New Roman" w:hAnsi="Times New Roman" w:eastAsia="宋体" w:cs="Times New Roman"/>
                <w:color w:val="000000" w:themeColor="text1"/>
                <w:szCs w:val="28"/>
                <w:highlight w:val="none"/>
                <w14:textFill>
                  <w14:solidFill>
                    <w14:schemeClr w14:val="tx1"/>
                  </w14:solidFill>
                </w14:textFill>
              </w:rPr>
              <w:t>控制标准》（GB18597-2001）（2013年修改）设置危废暂存间，为规范本公司废矿物油</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（本公司原料）、</w:t>
            </w:r>
            <w:r>
              <w:rPr>
                <w:rFonts w:hint="default" w:ascii="Times New Roman" w:hAnsi="Times New Roman" w:eastAsia="宋体" w:cs="Times New Roman"/>
                <w:color w:val="000000" w:themeColor="text1"/>
                <w:szCs w:val="28"/>
                <w:highlight w:val="none"/>
                <w14:textFill>
                  <w14:solidFill>
                    <w14:schemeClr w14:val="tx1"/>
                  </w14:solidFill>
                </w14:textFill>
              </w:rPr>
              <w:t>废白土</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及油泥</w:t>
            </w:r>
            <w:r>
              <w:rPr>
                <w:rFonts w:hint="default" w:ascii="Times New Roman" w:hAnsi="Times New Roman" w:eastAsia="宋体" w:cs="Times New Roman"/>
                <w:color w:val="000000" w:themeColor="text1"/>
                <w:szCs w:val="28"/>
                <w:highlight w:val="none"/>
                <w14:textFill>
                  <w14:solidFill>
                    <w14:schemeClr w14:val="tx1"/>
                  </w14:solidFill>
                </w14:textFill>
              </w:rPr>
              <w:t>的管理，对新疆海克新能源科技有限公司原有废矿物油</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储存</w:t>
            </w:r>
            <w:r>
              <w:rPr>
                <w:rFonts w:hint="default" w:ascii="Times New Roman" w:hAnsi="Times New Roman" w:eastAsia="宋体" w:cs="Times New Roman"/>
                <w:color w:val="000000" w:themeColor="text1"/>
                <w:szCs w:val="28"/>
                <w:highlight w:val="none"/>
                <w14:textFill>
                  <w14:solidFill>
                    <w14:schemeClr w14:val="tx1"/>
                  </w14:solidFill>
                </w14:textFill>
              </w:rPr>
              <w:t>库房进行改造，</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完善</w:t>
            </w:r>
            <w:r>
              <w:rPr>
                <w:rFonts w:hint="default" w:ascii="Times New Roman" w:hAnsi="Times New Roman" w:eastAsia="宋体" w:cs="Times New Roman"/>
                <w:color w:val="000000" w:themeColor="text1"/>
                <w:szCs w:val="28"/>
                <w:highlight w:val="none"/>
                <w14:textFill>
                  <w14:solidFill>
                    <w14:schemeClr w14:val="tx1"/>
                  </w14:solidFill>
                </w14:textFill>
              </w:rPr>
              <w:t>防渗、防腐等措施</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；新建废白土暂存间，用于存放废白土及油泥。</w:t>
            </w:r>
          </w:p>
          <w:p>
            <w:pPr>
              <w:snapToGrid/>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根据《中华人民共和国环境保护法》、《中华人民共和国环境影响评价法》和《建设项目环境保护管理条例》等有关条款规定，本项目需要进行环境影响评价。依据原环境保护部令第44号《建设项目环境影响评价分类管理名录》所列第四十九项“交通运输业、管道运输业和仓储业”中“180、仓储（不含油库、气库、煤炭储存）”中“有毒、有害及危险品的仓储、物流配送项目”的相关规定，本项目应编制环境影响报告表。接受项目建设方委托，环评单位承担该项目环境影响评价工作。项目组人员立即赴现场进行实地踏勘，对评价区范围的自然环境、社会环境、周边环境概况进行了调查，收集了当地水文、地质、气象以及环境现状等资料。项目组在设计资料分析基础上，遵循有关环评规定，编制完成新疆海克新能源科技有限公司危废暂存间建设项目的环境影响评价报告表，报生态环境主管部门审批后可作为本项目环境保护工作和环境管理的依据。</w:t>
            </w:r>
          </w:p>
          <w:p>
            <w:pPr>
              <w:snapToGrid/>
              <w:jc w:val="left"/>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2  原有项目概况</w:t>
            </w:r>
          </w:p>
          <w:p>
            <w:pPr>
              <w:tabs>
                <w:tab w:val="center" w:pos="4153"/>
              </w:tabs>
              <w:adjustRightInd/>
              <w:snapToGrid/>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2012年新疆海克新能源科技有限公司投资建设年加工3万吨润滑油再生利用项目，占地面积30946m</w:t>
            </w:r>
            <w:r>
              <w:rPr>
                <w:rFonts w:hint="default" w:ascii="Times New Roman" w:hAnsi="Times New Roman" w:eastAsia="宋体" w:cs="Times New Roman"/>
                <w:color w:val="000000" w:themeColor="text1"/>
                <w:szCs w:val="28"/>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Cs w:val="28"/>
                <w:highlight w:val="none"/>
                <w14:textFill>
                  <w14:solidFill>
                    <w14:schemeClr w14:val="tx1"/>
                  </w14:solidFill>
                </w14:textFill>
              </w:rPr>
              <w:t>，项目建设地位于位于呼图壁工业园区西区西南侧。</w:t>
            </w:r>
          </w:p>
          <w:p>
            <w:pPr>
              <w:tabs>
                <w:tab w:val="center" w:pos="4153"/>
              </w:tabs>
              <w:adjustRightInd/>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2013年建设单位委托由中国人民解放军环境科学研究中心编写《新疆海克新能源科技有限公司年加工3万吨润滑油再生利用项目环境影响报告书》，同年6月自治区环保厅出具了该项目的批复（新环评价函〔2013〕492号），同意其开工建设。企业于2013年开始建设，2015年建设完成。2015年4月，昌吉州环境监测站对本项目进行了</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项目</w:t>
            </w:r>
            <w:r>
              <w:rPr>
                <w:rFonts w:hint="default" w:ascii="Times New Roman" w:hAnsi="Times New Roman" w:eastAsia="宋体" w:cs="Times New Roman"/>
                <w:color w:val="000000" w:themeColor="text1"/>
                <w:szCs w:val="28"/>
                <w:highlight w:val="none"/>
                <w14:textFill>
                  <w14:solidFill>
                    <w14:schemeClr w14:val="tx1"/>
                  </w14:solidFill>
                </w14:textFill>
              </w:rPr>
              <w:t>环保验收，同年8月，昌吉州环境保护局出具了该项目的竣工环境保护验收意见（昌州环函〔2015〕289号），同意该项目通过竣工环境保护验收。</w:t>
            </w:r>
          </w:p>
          <w:p>
            <w:pPr>
              <w:adjustRightInd/>
              <w:snapToGrid/>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3  建设项目情况</w:t>
            </w:r>
          </w:p>
          <w:p>
            <w:pPr>
              <w:adjustRightInd/>
              <w:snapToGrid/>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3.1  项目概况</w:t>
            </w:r>
          </w:p>
          <w:p>
            <w:pPr>
              <w:adjustRightInd/>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项目名称：</w:t>
            </w:r>
            <w:r>
              <w:rPr>
                <w:rFonts w:hint="default" w:ascii="Times New Roman" w:hAnsi="Times New Roman" w:eastAsia="宋体" w:cs="Times New Roman"/>
                <w:color w:val="000000" w:themeColor="text1"/>
                <w:szCs w:val="28"/>
                <w:highlight w:val="none"/>
                <w14:textFill>
                  <w14:solidFill>
                    <w14:schemeClr w14:val="tx1"/>
                  </w14:solidFill>
                </w14:textFill>
              </w:rPr>
              <w:t>新疆海克新能源科技有限公司</w:t>
            </w:r>
            <w:r>
              <w:rPr>
                <w:rFonts w:hint="default" w:ascii="Times New Roman" w:hAnsi="Times New Roman" w:eastAsia="宋体" w:cs="Times New Roman"/>
                <w:color w:val="000000" w:themeColor="text1"/>
                <w:highlight w:val="none"/>
                <w14:textFill>
                  <w14:solidFill>
                    <w14:schemeClr w14:val="tx1"/>
                  </w14:solidFill>
                </w14:textFill>
              </w:rPr>
              <w:t>危废暂存间建设项目；</w:t>
            </w:r>
          </w:p>
          <w:p>
            <w:pPr>
              <w:adjustRightInd/>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建设单位：</w:t>
            </w:r>
            <w:r>
              <w:rPr>
                <w:rFonts w:hint="default" w:ascii="Times New Roman" w:hAnsi="Times New Roman" w:eastAsia="宋体" w:cs="Times New Roman"/>
                <w:color w:val="000000" w:themeColor="text1"/>
                <w:szCs w:val="28"/>
                <w:highlight w:val="none"/>
                <w14:textFill>
                  <w14:solidFill>
                    <w14:schemeClr w14:val="tx1"/>
                  </w14:solidFill>
                </w14:textFill>
              </w:rPr>
              <w:t>新疆海克新能源科技有限公司</w:t>
            </w:r>
            <w:r>
              <w:rPr>
                <w:rFonts w:hint="default" w:ascii="Times New Roman" w:hAnsi="Times New Roman" w:eastAsia="宋体" w:cs="Times New Roman"/>
                <w:color w:val="000000" w:themeColor="text1"/>
                <w:highlight w:val="none"/>
                <w14:textFill>
                  <w14:solidFill>
                    <w14:schemeClr w14:val="tx1"/>
                  </w14:solidFill>
                </w14:textFill>
              </w:rPr>
              <w:t>；</w:t>
            </w:r>
          </w:p>
          <w:p>
            <w:pPr>
              <w:adjustRightInd/>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建设性质：</w:t>
            </w:r>
            <w:r>
              <w:rPr>
                <w:rFonts w:hint="default" w:ascii="Times New Roman" w:hAnsi="Times New Roman" w:eastAsia="宋体" w:cs="Times New Roman"/>
                <w:color w:val="000000" w:themeColor="text1"/>
                <w:highlight w:val="none"/>
                <w:lang w:eastAsia="zh-CN"/>
                <w14:textFill>
                  <w14:solidFill>
                    <w14:schemeClr w14:val="tx1"/>
                  </w14:solidFill>
                </w14:textFill>
              </w:rPr>
              <w:t>改扩建</w:t>
            </w:r>
            <w:r>
              <w:rPr>
                <w:rFonts w:hint="default" w:ascii="Times New Roman" w:hAnsi="Times New Roman" w:eastAsia="宋体" w:cs="Times New Roman"/>
                <w:color w:val="000000" w:themeColor="text1"/>
                <w:highlight w:val="none"/>
                <w14:textFill>
                  <w14:solidFill>
                    <w14:schemeClr w14:val="tx1"/>
                  </w14:solidFill>
                </w14:textFill>
              </w:rPr>
              <w:t>；</w:t>
            </w:r>
          </w:p>
          <w:p>
            <w:pPr>
              <w:adjustRightInd/>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项目总投资：</w:t>
            </w:r>
            <w:r>
              <w:rPr>
                <w:rFonts w:hint="eastAsia" w:cs="Times New Roman"/>
                <w:color w:val="000000" w:themeColor="text1"/>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highlight w:val="none"/>
                <w14:textFill>
                  <w14:solidFill>
                    <w14:schemeClr w14:val="tx1"/>
                  </w14:solidFill>
                </w14:textFill>
              </w:rPr>
              <w:t>万元；</w:t>
            </w:r>
          </w:p>
          <w:p>
            <w:pPr>
              <w:adjustRightInd/>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占地面积：143m</w:t>
            </w:r>
            <w:r>
              <w:rPr>
                <w:rFonts w:hint="default" w:ascii="Times New Roman" w:hAnsi="Times New Roman" w:eastAsia="宋体" w:cs="Times New Roman"/>
                <w:color w:val="000000" w:themeColor="text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t>；</w:t>
            </w:r>
          </w:p>
          <w:p>
            <w:pPr>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建设地点：项目建设地位于呼图壁县工业园区西区</w:t>
            </w:r>
            <w:r>
              <w:rPr>
                <w:rFonts w:hint="default" w:ascii="Times New Roman" w:hAnsi="Times New Roman" w:eastAsia="宋体" w:cs="Times New Roman"/>
                <w:color w:val="000000" w:themeColor="text1"/>
                <w:szCs w:val="28"/>
                <w:highlight w:val="none"/>
                <w14:textFill>
                  <w14:solidFill>
                    <w14:schemeClr w14:val="tx1"/>
                  </w14:solidFill>
                </w14:textFill>
              </w:rPr>
              <w:t>新疆海克新能源科技有限公司</w:t>
            </w:r>
            <w:r>
              <w:rPr>
                <w:rFonts w:hint="default" w:ascii="Times New Roman" w:hAnsi="Times New Roman" w:eastAsia="宋体" w:cs="Times New Roman"/>
                <w:color w:val="000000" w:themeColor="text1"/>
                <w:highlight w:val="none"/>
                <w14:textFill>
                  <w14:solidFill>
                    <w14:schemeClr w14:val="tx1"/>
                  </w14:solidFill>
                </w14:textFill>
              </w:rPr>
              <w:t>厂区内。项目建设包括</w:t>
            </w:r>
            <w:r>
              <w:rPr>
                <w:rFonts w:hint="default" w:ascii="Times New Roman" w:hAnsi="Times New Roman" w:eastAsia="宋体" w:cs="Times New Roman"/>
                <w:color w:val="000000" w:themeColor="text1"/>
                <w:highlight w:val="none"/>
                <w:lang w:eastAsia="zh-CN"/>
                <w14:textFill>
                  <w14:solidFill>
                    <w14:schemeClr w14:val="tx1"/>
                  </w14:solidFill>
                </w14:textFill>
              </w:rPr>
              <w:t>改造原有</w:t>
            </w:r>
            <w:r>
              <w:rPr>
                <w:rFonts w:hint="default" w:ascii="Times New Roman" w:hAnsi="Times New Roman" w:eastAsia="宋体" w:cs="Times New Roman"/>
                <w:color w:val="000000" w:themeColor="text1"/>
                <w:highlight w:val="none"/>
                <w14:textFill>
                  <w14:solidFill>
                    <w14:schemeClr w14:val="tx1"/>
                  </w14:solidFill>
                </w14:textFill>
              </w:rPr>
              <w:t>98m</w:t>
            </w:r>
            <w:r>
              <w:rPr>
                <w:rFonts w:hint="default" w:ascii="Times New Roman" w:hAnsi="Times New Roman" w:eastAsia="宋体" w:cs="Times New Roman"/>
                <w:color w:val="000000" w:themeColor="text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t>废矿物油</w:t>
            </w:r>
            <w:r>
              <w:rPr>
                <w:rFonts w:hint="default" w:ascii="Times New Roman" w:hAnsi="Times New Roman" w:eastAsia="宋体" w:cs="Times New Roman"/>
                <w:color w:val="000000" w:themeColor="text1"/>
                <w:highlight w:val="none"/>
                <w:lang w:eastAsia="zh-CN"/>
                <w14:textFill>
                  <w14:solidFill>
                    <w14:schemeClr w14:val="tx1"/>
                  </w14:solidFill>
                </w14:textFill>
              </w:rPr>
              <w:t>原料储存间，新建</w:t>
            </w:r>
            <w:r>
              <w:rPr>
                <w:rFonts w:hint="default" w:ascii="Times New Roman" w:hAnsi="Times New Roman" w:eastAsia="宋体" w:cs="Times New Roman"/>
                <w:color w:val="000000" w:themeColor="text1"/>
                <w:highlight w:val="none"/>
                <w14:textFill>
                  <w14:solidFill>
                    <w14:schemeClr w14:val="tx1"/>
                  </w14:solidFill>
                </w14:textFill>
              </w:rPr>
              <w:t>1</w:t>
            </w:r>
            <w:r>
              <w:rPr>
                <w:rFonts w:hint="default" w:ascii="Times New Roman" w:hAnsi="Times New Roman" w:eastAsia="宋体" w:cs="Times New Roman"/>
                <w:color w:val="000000" w:themeColor="text1"/>
                <w:highlight w:val="none"/>
                <w:lang w:eastAsia="zh-CN"/>
                <w14:textFill>
                  <w14:solidFill>
                    <w14:schemeClr w14:val="tx1"/>
                  </w14:solidFill>
                </w14:textFill>
              </w:rPr>
              <w:t>间</w:t>
            </w:r>
            <w:r>
              <w:rPr>
                <w:rFonts w:hint="default" w:ascii="Times New Roman" w:hAnsi="Times New Roman" w:eastAsia="宋体" w:cs="Times New Roman"/>
                <w:color w:val="000000" w:themeColor="text1"/>
                <w:highlight w:val="none"/>
                <w14:textFill>
                  <w14:solidFill>
                    <w14:schemeClr w14:val="tx1"/>
                  </w14:solidFill>
                </w14:textFill>
              </w:rPr>
              <w:t>45m</w:t>
            </w:r>
            <w:r>
              <w:rPr>
                <w:rFonts w:hint="default" w:ascii="Times New Roman" w:hAnsi="Times New Roman" w:eastAsia="宋体" w:cs="Times New Roman"/>
                <w:color w:val="000000" w:themeColor="text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t>废白土暂存间。废矿物油</w:t>
            </w:r>
            <w:r>
              <w:rPr>
                <w:rFonts w:hint="default" w:ascii="Times New Roman" w:hAnsi="Times New Roman" w:eastAsia="宋体" w:cs="Times New Roman"/>
                <w:color w:val="000000" w:themeColor="text1"/>
                <w:highlight w:val="none"/>
                <w:lang w:eastAsia="zh-CN"/>
                <w14:textFill>
                  <w14:solidFill>
                    <w14:schemeClr w14:val="tx1"/>
                  </w14:solidFill>
                </w14:textFill>
              </w:rPr>
              <w:t>原料储存间</w:t>
            </w:r>
            <w:r>
              <w:rPr>
                <w:rFonts w:hint="default" w:ascii="Times New Roman" w:hAnsi="Times New Roman" w:eastAsia="宋体" w:cs="Times New Roman"/>
                <w:color w:val="000000" w:themeColor="text1"/>
                <w:highlight w:val="none"/>
                <w14:textFill>
                  <w14:solidFill>
                    <w14:schemeClr w14:val="tx1"/>
                  </w14:solidFill>
                </w14:textFill>
              </w:rPr>
              <w:t>东面为厂区东界，西面为一期罐区，南面为厂区装卸区，北面为厂区北界。废白土暂存间东面为一期罐区，西面为精制车间，南面为钢材临时堆场，北面为精制车间一部。项目地理位置图见图1，周边关系图见图2。项目区总平面布置图见图3。项目区中心地理坐标为</w:t>
            </w:r>
            <w:bookmarkStart w:id="0" w:name="OLE_LINK35"/>
            <w:r>
              <w:rPr>
                <w:rFonts w:hint="default" w:ascii="Times New Roman" w:hAnsi="Times New Roman" w:eastAsia="宋体" w:cs="Times New Roman"/>
                <w:color w:val="000000" w:themeColor="text1"/>
                <w:highlight w:val="none"/>
                <w14:textFill>
                  <w14:solidFill>
                    <w14:schemeClr w14:val="tx1"/>
                  </w14:solidFill>
                </w14:textFill>
              </w:rPr>
              <w:t>：</w:t>
            </w:r>
            <w:bookmarkEnd w:id="0"/>
            <w:r>
              <w:rPr>
                <w:rFonts w:hint="default" w:ascii="Times New Roman" w:hAnsi="Times New Roman" w:eastAsia="宋体" w:cs="Times New Roman"/>
                <w:color w:val="000000" w:themeColor="text1"/>
                <w:highlight w:val="none"/>
                <w14:textFill>
                  <w14:solidFill>
                    <w14:schemeClr w14:val="tx1"/>
                  </w14:solidFill>
                </w14:textFill>
              </w:rPr>
              <w:t>86°35'26.22"E，44°15'46.41"N。</w:t>
            </w:r>
          </w:p>
          <w:p>
            <w:pPr>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3.2  建设内容及规模</w:t>
            </w:r>
          </w:p>
          <w:p>
            <w:pPr>
              <w:tabs>
                <w:tab w:val="center" w:pos="4153"/>
              </w:tabs>
              <w:adjustRightInd/>
              <w:snapToGrid/>
              <w:ind w:firstLine="56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建设内容：</w:t>
            </w:r>
            <w:r>
              <w:rPr>
                <w:rFonts w:hint="default" w:ascii="Times New Roman" w:hAnsi="Times New Roman" w:eastAsia="宋体" w:cs="Times New Roman"/>
                <w:color w:val="000000" w:themeColor="text1"/>
                <w:highlight w:val="none"/>
                <w:lang w:eastAsia="zh-CN"/>
                <w14:textFill>
                  <w14:solidFill>
                    <w14:schemeClr w14:val="tx1"/>
                  </w14:solidFill>
                </w14:textFill>
              </w:rPr>
              <w:t>改造原有</w:t>
            </w:r>
            <w:r>
              <w:rPr>
                <w:rFonts w:hint="default" w:ascii="Times New Roman" w:hAnsi="Times New Roman" w:eastAsia="宋体" w:cs="Times New Roman"/>
                <w:color w:val="000000" w:themeColor="text1"/>
                <w:highlight w:val="none"/>
                <w14:textFill>
                  <w14:solidFill>
                    <w14:schemeClr w14:val="tx1"/>
                  </w14:solidFill>
                </w14:textFill>
              </w:rPr>
              <w:t>98m</w:t>
            </w:r>
            <w:r>
              <w:rPr>
                <w:rFonts w:hint="default" w:ascii="Times New Roman" w:hAnsi="Times New Roman" w:eastAsia="宋体" w:cs="Times New Roman"/>
                <w:color w:val="000000" w:themeColor="text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t>废矿物油</w:t>
            </w:r>
            <w:r>
              <w:rPr>
                <w:rFonts w:hint="default" w:ascii="Times New Roman" w:hAnsi="Times New Roman" w:eastAsia="宋体" w:cs="Times New Roman"/>
                <w:color w:val="000000" w:themeColor="text1"/>
                <w:highlight w:val="none"/>
                <w:lang w:eastAsia="zh-CN"/>
                <w14:textFill>
                  <w14:solidFill>
                    <w14:schemeClr w14:val="tx1"/>
                  </w14:solidFill>
                </w14:textFill>
              </w:rPr>
              <w:t>原料储存间，单次临时储存量为</w:t>
            </w:r>
            <w:r>
              <w:rPr>
                <w:rFonts w:hint="default" w:ascii="Times New Roman" w:hAnsi="Times New Roman" w:eastAsia="宋体" w:cs="Times New Roman"/>
                <w:color w:val="000000" w:themeColor="text1"/>
                <w:highlight w:val="none"/>
                <w:lang w:val="en-US" w:eastAsia="zh-CN"/>
                <w14:textFill>
                  <w14:solidFill>
                    <w14:schemeClr w14:val="tx1"/>
                  </w14:solidFill>
                </w14:textFill>
              </w:rPr>
              <w:t>20吨。</w:t>
            </w:r>
          </w:p>
          <w:p>
            <w:pPr>
              <w:tabs>
                <w:tab w:val="center" w:pos="4153"/>
              </w:tabs>
              <w:adjustRightInd/>
              <w:snapToGrid/>
              <w:ind w:firstLine="56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新建</w:t>
            </w:r>
            <w:r>
              <w:rPr>
                <w:rFonts w:hint="default" w:ascii="Times New Roman" w:hAnsi="Times New Roman" w:eastAsia="宋体" w:cs="Times New Roman"/>
                <w:color w:val="000000" w:themeColor="text1"/>
                <w:highlight w:val="none"/>
                <w14:textFill>
                  <w14:solidFill>
                    <w14:schemeClr w14:val="tx1"/>
                  </w14:solidFill>
                </w14:textFill>
              </w:rPr>
              <w:t>1</w:t>
            </w:r>
            <w:r>
              <w:rPr>
                <w:rFonts w:hint="default" w:ascii="Times New Roman" w:hAnsi="Times New Roman" w:eastAsia="宋体" w:cs="Times New Roman"/>
                <w:color w:val="000000" w:themeColor="text1"/>
                <w:highlight w:val="none"/>
                <w:lang w:eastAsia="zh-CN"/>
                <w14:textFill>
                  <w14:solidFill>
                    <w14:schemeClr w14:val="tx1"/>
                  </w14:solidFill>
                </w14:textFill>
              </w:rPr>
              <w:t>间</w:t>
            </w:r>
            <w:r>
              <w:rPr>
                <w:rFonts w:hint="default" w:ascii="Times New Roman" w:hAnsi="Times New Roman" w:eastAsia="宋体" w:cs="Times New Roman"/>
                <w:color w:val="000000" w:themeColor="text1"/>
                <w:highlight w:val="none"/>
                <w14:textFill>
                  <w14:solidFill>
                    <w14:schemeClr w14:val="tx1"/>
                  </w14:solidFill>
                </w14:textFill>
              </w:rPr>
              <w:t>45m</w:t>
            </w:r>
            <w:r>
              <w:rPr>
                <w:rFonts w:hint="default" w:ascii="Times New Roman" w:hAnsi="Times New Roman" w:eastAsia="宋体" w:cs="Times New Roman"/>
                <w:color w:val="000000" w:themeColor="text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t>废白土暂存间</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用于贮存废白土</w:t>
            </w:r>
            <w:r>
              <w:rPr>
                <w:rFonts w:hint="default" w:ascii="Times New Roman" w:hAnsi="Times New Roman" w:eastAsia="宋体" w:cs="Times New Roman"/>
                <w:color w:val="000000" w:themeColor="text1"/>
                <w:highlight w:val="none"/>
                <w:lang w:eastAsia="zh-CN"/>
                <w14:textFill>
                  <w14:solidFill>
                    <w14:schemeClr w14:val="tx1"/>
                  </w14:solidFill>
                </w14:textFill>
              </w:rPr>
              <w:t>及油泥</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highlight w:val="none"/>
                <w:lang w:eastAsia="zh-CN"/>
                <w14:textFill>
                  <w14:solidFill>
                    <w14:schemeClr w14:val="tx1"/>
                  </w14:solidFill>
                </w14:textFill>
              </w:rPr>
              <w:t>废白土</w:t>
            </w:r>
            <w:r>
              <w:rPr>
                <w:rFonts w:hint="default" w:ascii="Times New Roman" w:hAnsi="Times New Roman" w:eastAsia="宋体" w:cs="Times New Roman"/>
                <w:color w:val="000000" w:themeColor="text1"/>
                <w:highlight w:val="none"/>
                <w14:textFill>
                  <w14:solidFill>
                    <w14:schemeClr w14:val="tx1"/>
                  </w14:solidFill>
                </w14:textFill>
              </w:rPr>
              <w:t>年</w:t>
            </w:r>
            <w:r>
              <w:rPr>
                <w:rFonts w:hint="default" w:ascii="Times New Roman" w:hAnsi="Times New Roman" w:eastAsia="宋体" w:cs="Times New Roman"/>
                <w:color w:val="000000" w:themeColor="text1"/>
                <w:highlight w:val="none"/>
                <w:lang w:eastAsia="zh-CN"/>
                <w14:textFill>
                  <w14:solidFill>
                    <w14:schemeClr w14:val="tx1"/>
                  </w14:solidFill>
                </w14:textFill>
              </w:rPr>
              <w:t>累计</w:t>
            </w:r>
            <w:r>
              <w:rPr>
                <w:rFonts w:hint="default" w:ascii="Times New Roman" w:hAnsi="Times New Roman" w:eastAsia="宋体" w:cs="Times New Roman"/>
                <w:color w:val="000000" w:themeColor="text1"/>
                <w:highlight w:val="none"/>
                <w14:textFill>
                  <w14:solidFill>
                    <w14:schemeClr w14:val="tx1"/>
                  </w14:solidFill>
                </w14:textFill>
              </w:rPr>
              <w:t>储存量为200t</w:t>
            </w:r>
            <w:r>
              <w:rPr>
                <w:rFonts w:hint="default" w:ascii="Times New Roman" w:hAnsi="Times New Roman" w:eastAsia="宋体" w:cs="Times New Roman"/>
                <w:color w:val="000000" w:themeColor="text1"/>
                <w:highlight w:val="none"/>
                <w:lang w:eastAsia="zh-CN"/>
                <w14:textFill>
                  <w14:solidFill>
                    <w14:schemeClr w14:val="tx1"/>
                  </w14:solidFill>
                </w14:textFill>
              </w:rPr>
              <w:t>，油泥年累计储存量为</w:t>
            </w:r>
            <w:r>
              <w:rPr>
                <w:rFonts w:hint="default" w:ascii="Times New Roman" w:hAnsi="Times New Roman" w:eastAsia="宋体" w:cs="Times New Roman"/>
                <w:color w:val="000000" w:themeColor="text1"/>
                <w:highlight w:val="none"/>
                <w:lang w:val="en-US" w:eastAsia="zh-CN"/>
                <w14:textFill>
                  <w14:solidFill>
                    <w14:schemeClr w14:val="tx1"/>
                  </w14:solidFill>
                </w14:textFill>
              </w:rPr>
              <w:t>1t</w:t>
            </w:r>
            <w:r>
              <w:rPr>
                <w:rFonts w:hint="default" w:ascii="Times New Roman" w:hAnsi="Times New Roman" w:eastAsia="宋体" w:cs="Times New Roman"/>
                <w:color w:val="000000" w:themeColor="text1"/>
                <w:highlight w:val="none"/>
                <w14:textFill>
                  <w14:solidFill>
                    <w14:schemeClr w14:val="tx1"/>
                  </w14:solidFill>
                </w14:textFill>
              </w:rPr>
              <w:t>。</w:t>
            </w:r>
          </w:p>
          <w:p>
            <w:pPr>
              <w:snapToGrid/>
              <w:ind w:firstLine="480"/>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主要</w:t>
            </w:r>
            <w:r>
              <w:rPr>
                <w:rFonts w:hint="default" w:ascii="Times New Roman" w:hAnsi="Times New Roman" w:eastAsia="宋体" w:cs="Times New Roman"/>
                <w:color w:val="000000" w:themeColor="text1"/>
                <w:highlight w:val="none"/>
                <w:lang w:eastAsia="zh-CN"/>
                <w14:textFill>
                  <w14:solidFill>
                    <w14:schemeClr w14:val="tx1"/>
                  </w14:solidFill>
                </w14:textFill>
              </w:rPr>
              <w:t>改造内容</w:t>
            </w:r>
            <w:r>
              <w:rPr>
                <w:rFonts w:hint="default" w:ascii="Times New Roman" w:hAnsi="Times New Roman" w:eastAsia="宋体" w:cs="Times New Roman"/>
                <w:color w:val="000000" w:themeColor="text1"/>
                <w:szCs w:val="28"/>
                <w:highlight w:val="none"/>
                <w14:textFill>
                  <w14:solidFill>
                    <w14:schemeClr w14:val="tx1"/>
                  </w14:solidFill>
                </w14:textFill>
              </w:rPr>
              <w:t>包括配备地面防渗系统、</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围堰、</w:t>
            </w:r>
            <w:r>
              <w:rPr>
                <w:rFonts w:hint="default" w:ascii="Times New Roman" w:hAnsi="Times New Roman" w:eastAsia="宋体" w:cs="Times New Roman"/>
                <w:color w:val="000000" w:themeColor="text1"/>
                <w:szCs w:val="28"/>
                <w:highlight w:val="none"/>
                <w14:textFill>
                  <w14:solidFill>
                    <w14:schemeClr w14:val="tx1"/>
                  </w14:solidFill>
                </w14:textFill>
              </w:rPr>
              <w:t>导流槽、收集槽及供电、消防等设备。</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新建内容包括基础设施及</w:t>
            </w:r>
            <w:r>
              <w:rPr>
                <w:rFonts w:hint="default" w:ascii="Times New Roman" w:hAnsi="Times New Roman" w:eastAsia="宋体" w:cs="Times New Roman"/>
                <w:color w:val="000000" w:themeColor="text1"/>
                <w:szCs w:val="28"/>
                <w:highlight w:val="none"/>
                <w14:textFill>
                  <w14:solidFill>
                    <w14:schemeClr w14:val="tx1"/>
                  </w14:solidFill>
                </w14:textFill>
              </w:rPr>
              <w:t>防渗系统、</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围堰、</w:t>
            </w:r>
            <w:r>
              <w:rPr>
                <w:rFonts w:hint="default" w:ascii="Times New Roman" w:hAnsi="Times New Roman" w:eastAsia="宋体" w:cs="Times New Roman"/>
                <w:color w:val="000000" w:themeColor="text1"/>
                <w:szCs w:val="28"/>
                <w:highlight w:val="none"/>
                <w14:textFill>
                  <w14:solidFill>
                    <w14:schemeClr w14:val="tx1"/>
                  </w14:solidFill>
                </w14:textFill>
              </w:rPr>
              <w:t>导流槽、收集槽及供电、消防等设备</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 xml:space="preserve"> </w:t>
            </w:r>
          </w:p>
          <w:p>
            <w:pPr>
              <w:snapToGrid/>
              <w:ind w:firstLine="48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本项目主要建筑物一览表见表1。</w:t>
            </w:r>
          </w:p>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表1   新建项目建设内容</w:t>
            </w:r>
          </w:p>
          <w:tbl>
            <w:tblPr>
              <w:tblStyle w:val="7"/>
              <w:tblW w:w="844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257"/>
              <w:gridCol w:w="2715"/>
              <w:gridCol w:w="11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283" w:type="dxa"/>
                  <w:tcBorders>
                    <w:bottom w:val="single" w:color="auto" w:sz="8" w:space="0"/>
                  </w:tcBorders>
                  <w:vAlign w:val="center"/>
                </w:tcPr>
                <w:p>
                  <w:pPr>
                    <w:pStyle w:val="4"/>
                    <w:rPr>
                      <w:rFonts w:hint="default" w:ascii="Times New Roman" w:hAnsi="Times New Roman" w:eastAsia="宋体" w:cs="Times New Roman"/>
                      <w:b/>
                      <w:bCs/>
                      <w:color w:val="000000" w:themeColor="text1"/>
                      <w:szCs w:val="21"/>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工程组成</w:t>
                  </w:r>
                </w:p>
              </w:tc>
              <w:tc>
                <w:tcPr>
                  <w:tcW w:w="3257" w:type="dxa"/>
                  <w:tcBorders>
                    <w:bottom w:val="single" w:color="auto" w:sz="8" w:space="0"/>
                  </w:tcBorders>
                  <w:vAlign w:val="center"/>
                </w:tcPr>
                <w:p>
                  <w:pPr>
                    <w:pStyle w:val="4"/>
                    <w:rPr>
                      <w:rFonts w:hint="default" w:ascii="Times New Roman" w:hAnsi="Times New Roman" w:eastAsia="宋体" w:cs="Times New Roman"/>
                      <w:b/>
                      <w:bCs/>
                      <w:color w:val="000000" w:themeColor="text1"/>
                      <w:szCs w:val="21"/>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设施</w:t>
                  </w:r>
                </w:p>
              </w:tc>
              <w:tc>
                <w:tcPr>
                  <w:tcW w:w="2715" w:type="dxa"/>
                  <w:tcBorders>
                    <w:bottom w:val="single" w:color="auto" w:sz="8" w:space="0"/>
                  </w:tcBorders>
                  <w:vAlign w:val="center"/>
                </w:tcPr>
                <w:p>
                  <w:pPr>
                    <w:pStyle w:val="4"/>
                    <w:rPr>
                      <w:rFonts w:hint="default" w:ascii="Times New Roman" w:hAnsi="Times New Roman" w:eastAsia="宋体" w:cs="Times New Roman"/>
                      <w:b/>
                      <w:bCs/>
                      <w:color w:val="000000" w:themeColor="text1"/>
                      <w:szCs w:val="21"/>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工程内容</w:t>
                  </w:r>
                </w:p>
              </w:tc>
              <w:tc>
                <w:tcPr>
                  <w:tcW w:w="1192" w:type="dxa"/>
                  <w:tcBorders>
                    <w:bottom w:val="single" w:color="auto" w:sz="8" w:space="0"/>
                  </w:tcBorders>
                  <w:vAlign w:val="center"/>
                </w:tcPr>
                <w:p>
                  <w:pPr>
                    <w:pStyle w:val="4"/>
                    <w:rPr>
                      <w:rFonts w:hint="default" w:ascii="Times New Roman" w:hAnsi="Times New Roman" w:eastAsia="宋体" w:cs="Times New Roman"/>
                      <w:b/>
                      <w:bCs/>
                      <w:color w:val="000000" w:themeColor="text1"/>
                      <w:szCs w:val="21"/>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83" w:type="dxa"/>
                  <w:vMerge w:val="restart"/>
                  <w:tcBorders>
                    <w:top w:val="single" w:color="auto" w:sz="8" w:space="0"/>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主体工程</w:t>
                  </w:r>
                </w:p>
              </w:tc>
              <w:tc>
                <w:tcPr>
                  <w:tcW w:w="3257" w:type="dxa"/>
                  <w:tcBorders>
                    <w:top w:val="single" w:color="auto" w:sz="8" w:space="0"/>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废矿物油</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原料</w:t>
                  </w:r>
                  <w:r>
                    <w:rPr>
                      <w:rFonts w:hint="default" w:ascii="Times New Roman" w:hAnsi="Times New Roman" w:eastAsia="宋体" w:cs="Times New Roman"/>
                      <w:color w:val="000000" w:themeColor="text1"/>
                      <w:szCs w:val="21"/>
                      <w:highlight w:val="none"/>
                      <w14:textFill>
                        <w14:solidFill>
                          <w14:schemeClr w14:val="tx1"/>
                        </w14:solidFill>
                      </w14:textFill>
                    </w:rPr>
                    <w:t>暂存间</w:t>
                  </w:r>
                </w:p>
              </w:tc>
              <w:tc>
                <w:tcPr>
                  <w:tcW w:w="2715" w:type="dxa"/>
                  <w:tcBorders>
                    <w:top w:val="single" w:color="auto" w:sz="8" w:space="0"/>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98m</w:t>
                  </w:r>
                  <w:r>
                    <w:rPr>
                      <w:rFonts w:hint="default" w:ascii="Times New Roman" w:hAnsi="Times New Roman" w:eastAsia="宋体" w:cs="Times New Roman"/>
                      <w:color w:val="000000" w:themeColor="text1"/>
                      <w:szCs w:val="21"/>
                      <w:highlight w:val="none"/>
                      <w:vertAlign w:val="superscript"/>
                      <w14:textFill>
                        <w14:solidFill>
                          <w14:schemeClr w14:val="tx1"/>
                        </w14:solidFill>
                      </w14:textFill>
                    </w:rPr>
                    <w:t>2</w:t>
                  </w:r>
                </w:p>
              </w:tc>
              <w:tc>
                <w:tcPr>
                  <w:tcW w:w="1192" w:type="dxa"/>
                  <w:tcBorders>
                    <w:top w:val="single" w:color="auto" w:sz="8" w:space="0"/>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83" w:type="dxa"/>
                  <w:vMerge w:val="continue"/>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p>
              </w:tc>
              <w:tc>
                <w:tcPr>
                  <w:tcW w:w="3257"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废白土暂存间</w:t>
                  </w:r>
                </w:p>
              </w:tc>
              <w:tc>
                <w:tcPr>
                  <w:tcW w:w="2715"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45m</w:t>
                  </w:r>
                  <w:r>
                    <w:rPr>
                      <w:rFonts w:hint="default" w:ascii="Times New Roman" w:hAnsi="Times New Roman" w:eastAsia="宋体" w:cs="Times New Roman"/>
                      <w:color w:val="000000" w:themeColor="text1"/>
                      <w:szCs w:val="21"/>
                      <w:highlight w:val="none"/>
                      <w:vertAlign w:val="superscript"/>
                      <w14:textFill>
                        <w14:solidFill>
                          <w14:schemeClr w14:val="tx1"/>
                        </w14:solidFill>
                      </w14:textFill>
                    </w:rPr>
                    <w:t>2</w:t>
                  </w:r>
                </w:p>
              </w:tc>
              <w:tc>
                <w:tcPr>
                  <w:tcW w:w="1192"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83" w:type="dxa"/>
                  <w:vMerge w:val="restart"/>
                  <w:tcBorders>
                    <w:tl2br w:val="nil"/>
                    <w:tr2bl w:val="nil"/>
                  </w:tcBorders>
                  <w:vAlign w:val="center"/>
                </w:tcPr>
                <w:p>
                  <w:pPr>
                    <w:pStyle w:val="4"/>
                    <w:tabs>
                      <w:tab w:val="left" w:pos="436"/>
                    </w:tabs>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辅助工程</w:t>
                  </w:r>
                </w:p>
              </w:tc>
              <w:tc>
                <w:tcPr>
                  <w:tcW w:w="3257"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废白土收集袋</w:t>
                  </w:r>
                </w:p>
              </w:tc>
              <w:tc>
                <w:tcPr>
                  <w:tcW w:w="2715"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200个</w:t>
                  </w:r>
                </w:p>
              </w:tc>
              <w:tc>
                <w:tcPr>
                  <w:tcW w:w="1192"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83" w:type="dxa"/>
                  <w:vMerge w:val="continue"/>
                  <w:tcBorders>
                    <w:tl2br w:val="nil"/>
                    <w:tr2bl w:val="nil"/>
                  </w:tcBorders>
                  <w:vAlign w:val="center"/>
                </w:tcPr>
                <w:p>
                  <w:pPr>
                    <w:pStyle w:val="4"/>
                    <w:tabs>
                      <w:tab w:val="left" w:pos="436"/>
                    </w:tabs>
                    <w:rPr>
                      <w:rFonts w:hint="default" w:ascii="Times New Roman" w:hAnsi="Times New Roman" w:eastAsia="宋体" w:cs="Times New Roman"/>
                      <w:color w:val="000000" w:themeColor="text1"/>
                      <w:szCs w:val="21"/>
                      <w:highlight w:val="none"/>
                      <w14:textFill>
                        <w14:solidFill>
                          <w14:schemeClr w14:val="tx1"/>
                        </w14:solidFill>
                      </w14:textFill>
                    </w:rPr>
                  </w:pPr>
                </w:p>
              </w:tc>
              <w:tc>
                <w:tcPr>
                  <w:tcW w:w="3257"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油泥收集袋（防水）</w:t>
                  </w:r>
                </w:p>
              </w:tc>
              <w:tc>
                <w:tcPr>
                  <w:tcW w:w="2715"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若干</w:t>
                  </w:r>
                </w:p>
              </w:tc>
              <w:tc>
                <w:tcPr>
                  <w:tcW w:w="1192" w:type="dxa"/>
                  <w:tcBorders>
                    <w:tl2br w:val="nil"/>
                    <w:tr2bl w:val="nil"/>
                  </w:tcBorders>
                  <w:vAlign w:val="center"/>
                </w:tcPr>
                <w:p>
                  <w:pPr>
                    <w:pStyle w:val="4"/>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83"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环保工程</w:t>
                  </w:r>
                </w:p>
              </w:tc>
              <w:tc>
                <w:tcPr>
                  <w:tcW w:w="3257"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地面防渗系统、</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围堰、</w:t>
                  </w:r>
                  <w:r>
                    <w:rPr>
                      <w:rFonts w:hint="default" w:ascii="Times New Roman" w:hAnsi="Times New Roman" w:eastAsia="宋体" w:cs="Times New Roman"/>
                      <w:color w:val="000000" w:themeColor="text1"/>
                      <w:sz w:val="21"/>
                      <w:szCs w:val="21"/>
                      <w:highlight w:val="none"/>
                      <w14:textFill>
                        <w14:solidFill>
                          <w14:schemeClr w14:val="tx1"/>
                        </w14:solidFill>
                      </w14:textFill>
                    </w:rPr>
                    <w:t>导流槽、收集槽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、隔栏</w:t>
                  </w:r>
                </w:p>
              </w:tc>
              <w:tc>
                <w:tcPr>
                  <w:tcW w:w="2715"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192"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改造及新建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83" w:type="dxa"/>
                  <w:vMerge w:val="restart"/>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公用工程</w:t>
                  </w:r>
                </w:p>
              </w:tc>
              <w:tc>
                <w:tcPr>
                  <w:tcW w:w="3257"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供电工程</w:t>
                  </w:r>
                </w:p>
              </w:tc>
              <w:tc>
                <w:tcPr>
                  <w:tcW w:w="2715"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由厂区电网接入</w:t>
                  </w:r>
                </w:p>
              </w:tc>
              <w:tc>
                <w:tcPr>
                  <w:tcW w:w="1192"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83" w:type="dxa"/>
                  <w:vMerge w:val="continue"/>
                  <w:tcBorders>
                    <w:tl2br w:val="nil"/>
                    <w:tr2bl w:val="nil"/>
                  </w:tcBorders>
                  <w:vAlign w:val="center"/>
                </w:tcPr>
                <w:p>
                  <w:pPr>
                    <w:pStyle w:val="4"/>
                    <w:rPr>
                      <w:rFonts w:hint="default" w:ascii="Times New Roman" w:hAnsi="Times New Roman" w:eastAsia="宋体" w:cs="Times New Roman"/>
                      <w:color w:val="000000" w:themeColor="text1"/>
                      <w:szCs w:val="21"/>
                      <w:highlight w:val="none"/>
                      <w14:textFill>
                        <w14:solidFill>
                          <w14:schemeClr w14:val="tx1"/>
                        </w14:solidFill>
                      </w14:textFill>
                    </w:rPr>
                  </w:pPr>
                </w:p>
              </w:tc>
              <w:tc>
                <w:tcPr>
                  <w:tcW w:w="3257"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消防系统</w:t>
                  </w:r>
                </w:p>
              </w:tc>
              <w:tc>
                <w:tcPr>
                  <w:tcW w:w="2715"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消防水池</w:t>
                  </w:r>
                </w:p>
              </w:tc>
              <w:tc>
                <w:tcPr>
                  <w:tcW w:w="1192"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依托</w:t>
                  </w:r>
                </w:p>
              </w:tc>
            </w:tr>
          </w:tbl>
          <w:p>
            <w:pPr>
              <w:snapToGrid/>
              <w:rPr>
                <w:rFonts w:hint="default" w:ascii="Times New Roman" w:hAnsi="Times New Roman" w:eastAsia="宋体" w:cs="Times New Roman"/>
                <w:b/>
                <w:bCs/>
                <w:color w:val="000000" w:themeColor="text1"/>
                <w:szCs w:val="28"/>
                <w:highlight w:val="none"/>
                <w14:textFill>
                  <w14:solidFill>
                    <w14:schemeClr w14:val="tx1"/>
                  </w14:solidFill>
                </w14:textFill>
              </w:rPr>
            </w:pPr>
            <w:r>
              <w:rPr>
                <w:rFonts w:hint="default" w:ascii="Times New Roman" w:hAnsi="Times New Roman" w:eastAsia="宋体" w:cs="Times New Roman"/>
                <w:b/>
                <w:bCs/>
                <w:color w:val="000000" w:themeColor="text1"/>
                <w:szCs w:val="28"/>
                <w:highlight w:val="none"/>
                <w14:textFill>
                  <w14:solidFill>
                    <w14:schemeClr w14:val="tx1"/>
                  </w14:solidFill>
                </w14:textFill>
              </w:rPr>
              <w:t>3.3  贮存及周转方式</w:t>
            </w:r>
          </w:p>
          <w:p>
            <w:pPr>
              <w:widowControl w:val="0"/>
              <w:adjustRightInd/>
              <w:ind w:firstLine="48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本项目用于收集暂存新疆海克新能源科技有限公司</w:t>
            </w:r>
            <w:r>
              <w:rPr>
                <w:rFonts w:hint="default" w:ascii="Times New Roman" w:hAnsi="Times New Roman" w:eastAsia="宋体" w:cs="Times New Roman"/>
                <w:bCs/>
                <w:color w:val="000000" w:themeColor="text1"/>
                <w:szCs w:val="28"/>
                <w:highlight w:val="none"/>
                <w14:textFill>
                  <w14:solidFill>
                    <w14:schemeClr w14:val="tx1"/>
                  </w14:solidFill>
                </w14:textFill>
              </w:rPr>
              <w:t>收集运输回厂区中部分不能及时投入生产中的废矿物油</w:t>
            </w:r>
            <w:r>
              <w:rPr>
                <w:rFonts w:hint="default" w:ascii="Times New Roman" w:hAnsi="Times New Roman" w:eastAsia="宋体" w:cs="Times New Roman"/>
                <w:bCs/>
                <w:color w:val="000000" w:themeColor="text1"/>
                <w:szCs w:val="28"/>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8"/>
                <w:highlight w:val="none"/>
                <w14:textFill>
                  <w14:solidFill>
                    <w14:schemeClr w14:val="tx1"/>
                  </w14:solidFill>
                </w14:textFill>
              </w:rPr>
              <w:t>废矿物油再生处理中产生的废白土</w:t>
            </w:r>
            <w:r>
              <w:rPr>
                <w:rFonts w:hint="default" w:ascii="Times New Roman" w:hAnsi="Times New Roman" w:eastAsia="宋体" w:cs="Times New Roman"/>
                <w:bCs/>
                <w:color w:val="000000" w:themeColor="text1"/>
                <w:szCs w:val="28"/>
                <w:highlight w:val="none"/>
                <w:lang w:eastAsia="zh-CN"/>
                <w14:textFill>
                  <w14:solidFill>
                    <w14:schemeClr w14:val="tx1"/>
                  </w14:solidFill>
                </w14:textFill>
              </w:rPr>
              <w:t>以及企业废水处理过程中产生的油泥</w:t>
            </w:r>
            <w:r>
              <w:rPr>
                <w:rFonts w:hint="default" w:ascii="Times New Roman" w:hAnsi="Times New Roman" w:eastAsia="宋体" w:cs="Times New Roman"/>
                <w:bCs/>
                <w:color w:val="000000" w:themeColor="text1"/>
                <w:szCs w:val="28"/>
                <w:highlight w:val="none"/>
                <w14:textFill>
                  <w14:solidFill>
                    <w14:schemeClr w14:val="tx1"/>
                  </w14:solidFill>
                </w14:textFill>
              </w:rPr>
              <w:t>。</w:t>
            </w:r>
          </w:p>
          <w:p>
            <w:pPr>
              <w:pStyle w:val="9"/>
              <w:snapToGrid/>
              <w:ind w:firstLine="560" w:firstLineChars="200"/>
              <w:jc w:val="both"/>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废矿物油以废润滑油为主，危废类别为HW08，种类包括900-202-08、900-214-08、900-217-08、900-249-08。贮存方式为油桶密封盛装，</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原料暂存间</w:t>
            </w:r>
            <w:r>
              <w:rPr>
                <w:rFonts w:hint="default" w:ascii="Times New Roman" w:hAnsi="Times New Roman" w:eastAsia="宋体" w:cs="Times New Roman"/>
                <w:color w:val="000000" w:themeColor="text1"/>
                <w:szCs w:val="28"/>
                <w:highlight w:val="none"/>
                <w14:textFill>
                  <w14:solidFill>
                    <w14:schemeClr w14:val="tx1"/>
                  </w14:solidFill>
                </w14:textFill>
              </w:rPr>
              <w:t>暂存的废矿物油</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单次</w:t>
            </w:r>
            <w:r>
              <w:rPr>
                <w:rFonts w:hint="default" w:ascii="Times New Roman" w:hAnsi="Times New Roman" w:eastAsia="宋体" w:cs="Times New Roman"/>
                <w:color w:val="000000" w:themeColor="text1"/>
                <w:szCs w:val="28"/>
                <w:highlight w:val="none"/>
                <w14:textFill>
                  <w14:solidFill>
                    <w14:schemeClr w14:val="tx1"/>
                  </w14:solidFill>
                </w14:textFill>
              </w:rPr>
              <w:t>最大量为20吨，每年转运14次，用于企业生产。</w:t>
            </w:r>
          </w:p>
          <w:p>
            <w:pPr>
              <w:widowControl w:val="0"/>
              <w:adjustRightInd/>
              <w:ind w:firstLine="48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废白土危废类别为HW08，种类包括900-213-08。贮存方式为袋装，收集至一定量后由新疆海克新能源科技有限公司委托有资质单位运输，交由资质单位处置，危废暂存间暂存的废白土最大量为25吨，每年转运8次。</w:t>
            </w:r>
          </w:p>
          <w:p>
            <w:pPr>
              <w:widowControl w:val="0"/>
              <w:adjustRightInd/>
              <w:ind w:firstLine="480"/>
              <w:rPr>
                <w:rFonts w:hint="default" w:ascii="Times New Roman" w:hAnsi="Times New Roman" w:eastAsia="宋体" w:cs="Times New Roman"/>
                <w:b/>
                <w:bCs/>
                <w:color w:val="000000" w:themeColor="text1"/>
                <w:szCs w:val="28"/>
                <w:highlight w:val="none"/>
                <w:lang w:eastAsia="zh-CN"/>
                <w14:textFill>
                  <w14:solidFill>
                    <w14:schemeClr w14:val="tx1"/>
                  </w14:solidFill>
                </w14:textFill>
              </w:rPr>
            </w:pPr>
            <w:r>
              <w:rPr>
                <w:rFonts w:hint="default" w:ascii="Times New Roman" w:hAnsi="Times New Roman" w:eastAsia="宋体" w:cs="Times New Roman"/>
                <w:color w:val="000000" w:themeColor="text1"/>
                <w:szCs w:val="28"/>
                <w:highlight w:val="none"/>
                <w:lang w:eastAsia="zh-CN"/>
                <w14:textFill>
                  <w14:solidFill>
                    <w14:schemeClr w14:val="tx1"/>
                  </w14:solidFill>
                </w14:textFill>
              </w:rPr>
              <w:t>油泥</w:t>
            </w:r>
            <w:r>
              <w:rPr>
                <w:rFonts w:hint="default" w:ascii="Times New Roman" w:hAnsi="Times New Roman" w:eastAsia="宋体" w:cs="Times New Roman"/>
                <w:color w:val="000000" w:themeColor="text1"/>
                <w:szCs w:val="28"/>
                <w:highlight w:val="none"/>
                <w14:textFill>
                  <w14:solidFill>
                    <w14:schemeClr w14:val="tx1"/>
                  </w14:solidFill>
                </w14:textFill>
              </w:rPr>
              <w:t>危废类别为HW08，种类包括900-21</w:t>
            </w:r>
            <w:r>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Cs w:val="28"/>
                <w:highlight w:val="none"/>
                <w14:textFill>
                  <w14:solidFill>
                    <w14:schemeClr w14:val="tx1"/>
                  </w14:solidFill>
                </w14:textFill>
              </w:rPr>
              <w:t>-08。贮存方式为</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袋装</w:t>
            </w:r>
            <w:r>
              <w:rPr>
                <w:rFonts w:hint="default" w:ascii="Times New Roman" w:hAnsi="Times New Roman" w:eastAsia="宋体" w:cs="Times New Roman"/>
                <w:color w:val="000000" w:themeColor="text1"/>
                <w:szCs w:val="28"/>
                <w:highlight w:val="none"/>
                <w14:textFill>
                  <w14:solidFill>
                    <w14:schemeClr w14:val="tx1"/>
                  </w14:solidFill>
                </w14:textFill>
              </w:rPr>
              <w:t>，收集至一定量后由新疆海克新能源科技有限公司委托有资质单位运输，交由资质单位处置，</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油泥单次贮存</w:t>
            </w:r>
            <w:r>
              <w:rPr>
                <w:rFonts w:hint="default" w:ascii="Times New Roman" w:hAnsi="Times New Roman" w:eastAsia="宋体" w:cs="Times New Roman"/>
                <w:color w:val="000000" w:themeColor="text1"/>
                <w:szCs w:val="28"/>
                <w:highlight w:val="none"/>
                <w14:textFill>
                  <w14:solidFill>
                    <w14:schemeClr w14:val="tx1"/>
                  </w14:solidFill>
                </w14:textFill>
              </w:rPr>
              <w:t>最大量为</w:t>
            </w:r>
            <w:r>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Cs w:val="28"/>
                <w:highlight w:val="none"/>
                <w14:textFill>
                  <w14:solidFill>
                    <w14:schemeClr w14:val="tx1"/>
                  </w14:solidFill>
                </w14:textFill>
              </w:rPr>
              <w:t>吨，每年转运</w:t>
            </w:r>
            <w:r>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Cs w:val="28"/>
                <w:highlight w:val="none"/>
                <w14:textFill>
                  <w14:solidFill>
                    <w14:schemeClr w14:val="tx1"/>
                  </w14:solidFill>
                </w14:textFill>
              </w:rPr>
              <w:t>次。</w:t>
            </w:r>
          </w:p>
          <w:p>
            <w:pPr>
              <w:rPr>
                <w:rFonts w:hint="default" w:ascii="Times New Roman" w:hAnsi="Times New Roman" w:eastAsia="宋体" w:cs="Times New Roman"/>
                <w:b/>
                <w:bCs/>
                <w:color w:val="000000" w:themeColor="text1"/>
                <w:szCs w:val="28"/>
                <w:highlight w:val="none"/>
                <w14:textFill>
                  <w14:solidFill>
                    <w14:schemeClr w14:val="tx1"/>
                  </w14:solidFill>
                </w14:textFill>
              </w:rPr>
            </w:pPr>
            <w:r>
              <w:rPr>
                <w:rFonts w:hint="default" w:ascii="Times New Roman" w:hAnsi="Times New Roman" w:eastAsia="宋体" w:cs="Times New Roman"/>
                <w:b/>
                <w:bCs/>
                <w:color w:val="000000" w:themeColor="text1"/>
                <w:szCs w:val="28"/>
                <w:highlight w:val="none"/>
                <w14:textFill>
                  <w14:solidFill>
                    <w14:schemeClr w14:val="tx1"/>
                  </w14:solidFill>
                </w14:textFill>
              </w:rPr>
              <w:t>4  劳动定员及工作制度</w:t>
            </w:r>
          </w:p>
          <w:p>
            <w:pPr>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本项目工作人员为3人，均从新疆海克新能源科技有限公司现有员工中抽调。根据企业要求和运营特点，危废暂存间管理采用一班工作制，日工作8小时，年工作日365天，另设置1人24小时值班。</w:t>
            </w:r>
          </w:p>
          <w:p>
            <w:pPr>
              <w:adjustRightInd/>
              <w:snapToGrid/>
              <w:rPr>
                <w:rFonts w:hint="default" w:ascii="Times New Roman" w:hAnsi="Times New Roman" w:eastAsia="宋体" w:cs="Times New Roman"/>
                <w:b/>
                <w:bCs/>
                <w:color w:val="000000" w:themeColor="text1"/>
                <w:szCs w:val="28"/>
                <w:highlight w:val="none"/>
                <w14:textFill>
                  <w14:solidFill>
                    <w14:schemeClr w14:val="tx1"/>
                  </w14:solidFill>
                </w14:textFill>
              </w:rPr>
            </w:pPr>
            <w:r>
              <w:rPr>
                <w:rFonts w:hint="default" w:ascii="Times New Roman" w:hAnsi="Times New Roman" w:eastAsia="宋体" w:cs="Times New Roman"/>
                <w:b/>
                <w:bCs/>
                <w:color w:val="000000" w:themeColor="text1"/>
                <w:szCs w:val="28"/>
                <w:highlight w:val="none"/>
                <w14:textFill>
                  <w14:solidFill>
                    <w14:schemeClr w14:val="tx1"/>
                  </w14:solidFill>
                </w14:textFill>
              </w:rPr>
              <w:t>5  公用工程</w:t>
            </w:r>
          </w:p>
          <w:p>
            <w:pPr>
              <w:adjustRightInd/>
              <w:snapToGrid/>
              <w:rPr>
                <w:rFonts w:hint="default" w:ascii="Times New Roman" w:hAnsi="Times New Roman" w:eastAsia="宋体" w:cs="Times New Roman"/>
                <w:b/>
                <w:bCs/>
                <w:color w:val="000000" w:themeColor="text1"/>
                <w:szCs w:val="28"/>
                <w:highlight w:val="none"/>
                <w14:textFill>
                  <w14:solidFill>
                    <w14:schemeClr w14:val="tx1"/>
                  </w14:solidFill>
                </w14:textFill>
              </w:rPr>
            </w:pPr>
            <w:r>
              <w:rPr>
                <w:rFonts w:hint="default" w:ascii="Times New Roman" w:hAnsi="Times New Roman" w:eastAsia="宋体" w:cs="Times New Roman"/>
                <w:b/>
                <w:bCs/>
                <w:color w:val="000000" w:themeColor="text1"/>
                <w:szCs w:val="28"/>
                <w:highlight w:val="none"/>
                <w14:textFill>
                  <w14:solidFill>
                    <w14:schemeClr w14:val="tx1"/>
                  </w14:solidFill>
                </w14:textFill>
              </w:rPr>
              <w:t>5.1  给排水</w:t>
            </w:r>
          </w:p>
          <w:p>
            <w:pPr>
              <w:adjustRightInd/>
              <w:snapToGrid/>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（1）给水</w:t>
            </w:r>
          </w:p>
          <w:p>
            <w:pPr>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本项目劳动人员全部从新疆海克新能源科技有限公司现有员工中抽调，不新增生活用水，</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危险物质</w:t>
            </w:r>
            <w:r>
              <w:rPr>
                <w:rFonts w:hint="default" w:ascii="Times New Roman" w:hAnsi="Times New Roman" w:eastAsia="宋体" w:cs="Times New Roman"/>
                <w:color w:val="000000" w:themeColor="text1"/>
                <w:szCs w:val="28"/>
                <w:highlight w:val="none"/>
                <w14:textFill>
                  <w14:solidFill>
                    <w14:schemeClr w14:val="tx1"/>
                  </w14:solidFill>
                </w14:textFill>
              </w:rPr>
              <w:t>暂存过程中不用水。</w:t>
            </w:r>
          </w:p>
          <w:p>
            <w:pPr>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（2）排水</w:t>
            </w:r>
          </w:p>
          <w:p>
            <w:pPr>
              <w:pStyle w:val="10"/>
              <w:spacing w:line="360" w:lineRule="auto"/>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本项目无生产废水及生活污水，故不排水。</w:t>
            </w:r>
          </w:p>
          <w:p>
            <w:pPr>
              <w:rPr>
                <w:rFonts w:hint="default" w:ascii="Times New Roman" w:hAnsi="Times New Roman" w:eastAsia="宋体" w:cs="Times New Roman"/>
                <w:b/>
                <w:bCs/>
                <w:color w:val="000000" w:themeColor="text1"/>
                <w:szCs w:val="28"/>
                <w:highlight w:val="none"/>
                <w14:textFill>
                  <w14:solidFill>
                    <w14:schemeClr w14:val="tx1"/>
                  </w14:solidFill>
                </w14:textFill>
              </w:rPr>
            </w:pPr>
            <w:r>
              <w:rPr>
                <w:rFonts w:hint="default" w:ascii="Times New Roman" w:hAnsi="Times New Roman" w:eastAsia="宋体" w:cs="Times New Roman"/>
                <w:b/>
                <w:bCs/>
                <w:color w:val="000000" w:themeColor="text1"/>
                <w:szCs w:val="28"/>
                <w:highlight w:val="none"/>
                <w14:textFill>
                  <w14:solidFill>
                    <w14:schemeClr w14:val="tx1"/>
                  </w14:solidFill>
                </w14:textFill>
              </w:rPr>
              <w:t>5.2  供电</w:t>
            </w:r>
          </w:p>
          <w:p>
            <w:pPr>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本项目用电依托厂区原有设备，由园区管网接入。能够满足本项目生产用电需求。</w:t>
            </w:r>
          </w:p>
          <w:p>
            <w:pPr>
              <w:rPr>
                <w:rFonts w:hint="default" w:ascii="Times New Roman" w:hAnsi="Times New Roman" w:eastAsia="宋体" w:cs="Times New Roman"/>
                <w:b/>
                <w:bCs/>
                <w:color w:val="000000" w:themeColor="text1"/>
                <w:szCs w:val="28"/>
                <w:highlight w:val="none"/>
                <w14:textFill>
                  <w14:solidFill>
                    <w14:schemeClr w14:val="tx1"/>
                  </w14:solidFill>
                </w14:textFill>
              </w:rPr>
            </w:pPr>
            <w:r>
              <w:rPr>
                <w:rFonts w:hint="default" w:ascii="Times New Roman" w:hAnsi="Times New Roman" w:eastAsia="宋体" w:cs="Times New Roman"/>
                <w:b/>
                <w:bCs/>
                <w:color w:val="000000" w:themeColor="text1"/>
                <w:szCs w:val="28"/>
                <w:highlight w:val="none"/>
                <w14:textFill>
                  <w14:solidFill>
                    <w14:schemeClr w14:val="tx1"/>
                  </w14:solidFill>
                </w14:textFill>
              </w:rPr>
              <w:t>5.3  供暖</w:t>
            </w:r>
          </w:p>
          <w:p>
            <w:pPr>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本项目生产不用热，故本项目无需供热。</w:t>
            </w:r>
          </w:p>
          <w:p>
            <w:pPr>
              <w:topLinePunct/>
              <w:textAlignment w:val="baseline"/>
              <w:rPr>
                <w:rFonts w:hint="default" w:ascii="Times New Roman" w:hAnsi="Times New Roman" w:eastAsia="宋体" w:cs="Times New Roman"/>
                <w:b/>
                <w:bCs/>
                <w:color w:val="000000" w:themeColor="text1"/>
                <w:szCs w:val="28"/>
                <w:highlight w:val="none"/>
                <w14:textFill>
                  <w14:solidFill>
                    <w14:schemeClr w14:val="tx1"/>
                  </w14:solidFill>
                </w14:textFill>
              </w:rPr>
            </w:pPr>
            <w:r>
              <w:rPr>
                <w:rFonts w:hint="default" w:ascii="Times New Roman" w:hAnsi="Times New Roman" w:eastAsia="宋体" w:cs="Times New Roman"/>
                <w:b/>
                <w:bCs/>
                <w:color w:val="000000" w:themeColor="text1"/>
                <w:szCs w:val="28"/>
                <w:highlight w:val="none"/>
                <w14:textFill>
                  <w14:solidFill>
                    <w14:schemeClr w14:val="tx1"/>
                  </w14:solidFill>
                </w14:textFill>
              </w:rPr>
              <w:t>5.4  交通通讯</w:t>
            </w:r>
          </w:p>
          <w:p>
            <w:pPr>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项目位于呼图壁县工业园区西区，通讯设施完备，交通便利，能够满足项目需要。</w:t>
            </w:r>
          </w:p>
          <w:p>
            <w:pPr>
              <w:pStyle w:val="6"/>
              <w:ind w:left="0" w:leftChars="0" w:firstLine="0" w:firstLineChars="0"/>
              <w:rPr>
                <w:rFonts w:hint="default" w:ascii="Times New Roman" w:hAnsi="Times New Roman" w:eastAsia="宋体" w:cs="Times New Roman"/>
                <w:color w:val="000000" w:themeColor="text1"/>
                <w:highlight w:val="none"/>
                <w14:textFill>
                  <w14:solidFill>
                    <w14:schemeClr w14:val="tx1"/>
                  </w14:solidFill>
                </w14:textFill>
              </w:rPr>
            </w:pPr>
          </w:p>
          <w:p>
            <w:pPr>
              <w:pStyle w:val="2"/>
              <w:rPr>
                <w:rFonts w:hint="default" w:ascii="Times New Roman" w:hAnsi="Times New Roman" w:eastAsia="宋体" w:cs="Times New Roman"/>
                <w:color w:val="000000" w:themeColor="text1"/>
                <w:highlight w:val="none"/>
                <w14:textFill>
                  <w14:solidFill>
                    <w14:schemeClr w14:val="tx1"/>
                  </w14:solidFill>
                </w14:textFill>
              </w:rPr>
            </w:pPr>
          </w:p>
          <w:p>
            <w:pPr>
              <w:rPr>
                <w:rFonts w:hint="default" w:ascii="Times New Roman" w:hAnsi="Times New Roman" w:eastAsia="宋体" w:cs="Times New Roman"/>
                <w:color w:val="000000" w:themeColor="text1"/>
                <w:highlight w:val="none"/>
                <w14:textFill>
                  <w14:solidFill>
                    <w14:schemeClr w14:val="tx1"/>
                  </w14:solidFill>
                </w14:textFill>
              </w:rPr>
            </w:pPr>
          </w:p>
          <w:p>
            <w:pPr>
              <w:pStyle w:val="11"/>
              <w:rPr>
                <w:rFonts w:hint="default" w:ascii="Times New Roman" w:hAnsi="Times New Roman"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1" w:hRule="atLeast"/>
        </w:trPr>
        <w:tc>
          <w:tcPr>
            <w:tcW w:w="8522" w:type="dxa"/>
            <w:gridSpan w:val="6"/>
          </w:tcPr>
          <w:p>
            <w:pPr>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b/>
                <w:color w:val="000000" w:themeColor="text1"/>
                <w:szCs w:val="28"/>
                <w:highlight w:val="none"/>
                <w14:textFill>
                  <w14:solidFill>
                    <w14:schemeClr w14:val="tx1"/>
                  </w14:solidFill>
                </w14:textFill>
              </w:rPr>
              <w:t>与本项目有关的原有污染情况及主要环境问题：</w:t>
            </w:r>
          </w:p>
          <w:p>
            <w:pPr>
              <w:pStyle w:val="11"/>
              <w:spacing w:line="360" w:lineRule="auto"/>
              <w:jc w:val="both"/>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t>1  现有项目概况</w:t>
            </w:r>
          </w:p>
          <w:p>
            <w:pPr>
              <w:tabs>
                <w:tab w:val="center" w:pos="4153"/>
              </w:tabs>
              <w:adjustRightInd/>
              <w:snapToGrid/>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t>1.1  建设概况</w:t>
            </w:r>
          </w:p>
          <w:p>
            <w:pPr>
              <w:tabs>
                <w:tab w:val="center" w:pos="4153"/>
              </w:tabs>
              <w:adjustRightInd/>
              <w:snapToGrid/>
              <w:ind w:firstLine="560" w:firstLineChars="200"/>
              <w:rPr>
                <w:rFonts w:hint="default" w:ascii="Times New Roman" w:hAnsi="Times New Roman" w:eastAsia="宋体" w:cs="Times New Roman"/>
                <w:color w:val="000000" w:themeColor="text1"/>
                <w:szCs w:val="28"/>
                <w:highlight w:val="none"/>
                <w:lang w:eastAsia="zh-CN"/>
                <w14:textFill>
                  <w14:solidFill>
                    <w14:schemeClr w14:val="tx1"/>
                  </w14:solidFill>
                </w14:textFill>
              </w:rPr>
            </w:pPr>
            <w:r>
              <w:rPr>
                <w:rFonts w:hint="default" w:ascii="Times New Roman" w:hAnsi="Times New Roman" w:eastAsia="宋体" w:cs="Times New Roman"/>
                <w:color w:val="000000" w:themeColor="text1"/>
                <w:szCs w:val="28"/>
                <w:highlight w:val="none"/>
                <w14:textFill>
                  <w14:solidFill>
                    <w14:schemeClr w14:val="tx1"/>
                  </w14:solidFill>
                </w14:textFill>
              </w:rPr>
              <w:t>2013年建设单位</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开工建设</w:t>
            </w:r>
            <w:r>
              <w:rPr>
                <w:rFonts w:hint="default" w:ascii="Times New Roman" w:hAnsi="Times New Roman" w:eastAsia="宋体" w:cs="Times New Roman"/>
                <w:color w:val="000000" w:themeColor="text1"/>
                <w:szCs w:val="28"/>
                <w:highlight w:val="none"/>
                <w14:textFill>
                  <w14:solidFill>
                    <w14:schemeClr w14:val="tx1"/>
                  </w14:solidFill>
                </w14:textFill>
              </w:rPr>
              <w:t>新疆海克新能源科技有限公司年加工3万吨润滑油再生利用项目，</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建设内容为</w:t>
            </w:r>
            <w:r>
              <w:rPr>
                <w:rFonts w:hint="default" w:ascii="Times New Roman" w:hAnsi="Times New Roman" w:eastAsia="宋体" w:cs="Times New Roman"/>
                <w:color w:val="000000" w:themeColor="text1"/>
                <w:szCs w:val="28"/>
                <w:highlight w:val="none"/>
                <w14:textFill>
                  <w14:solidFill>
                    <w14:schemeClr w14:val="tx1"/>
                  </w14:solidFill>
                </w14:textFill>
              </w:rPr>
              <w:t>年处理3万吨废润滑油再生利用</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生产线、配套的环保设施、公共设施及厂区绿化、场地及道路硬化等。</w:t>
            </w:r>
          </w:p>
          <w:p>
            <w:pPr>
              <w:tabs>
                <w:tab w:val="center" w:pos="4153"/>
              </w:tabs>
              <w:adjustRightInd/>
              <w:snapToGrid/>
              <w:ind w:firstLine="560" w:firstLineChars="200"/>
              <w:rPr>
                <w:rFonts w:hint="default" w:ascii="Times New Roman" w:hAnsi="Times New Roman" w:eastAsia="宋体" w:cs="Times New Roman"/>
                <w:color w:val="000000" w:themeColor="text1"/>
                <w:szCs w:val="28"/>
                <w:highlight w:val="none"/>
                <w14:textFill>
                  <w14:solidFill>
                    <w14:schemeClr w14:val="tx1"/>
                  </w14:solidFill>
                </w14:textFill>
              </w:rPr>
            </w:pPr>
            <w:r>
              <w:rPr>
                <w:rFonts w:hint="default" w:ascii="Times New Roman" w:hAnsi="Times New Roman" w:eastAsia="宋体" w:cs="Times New Roman"/>
                <w:color w:val="000000" w:themeColor="text1"/>
                <w:szCs w:val="28"/>
                <w:highlight w:val="none"/>
                <w:lang w:eastAsia="zh-CN"/>
                <w14:textFill>
                  <w14:solidFill>
                    <w14:schemeClr w14:val="tx1"/>
                  </w14:solidFill>
                </w14:textFill>
              </w:rPr>
              <w:t>建设工程包括</w:t>
            </w:r>
            <w:r>
              <w:rPr>
                <w:rFonts w:hint="default" w:ascii="Times New Roman" w:hAnsi="Times New Roman" w:eastAsia="宋体" w:cs="Times New Roman"/>
                <w:color w:val="000000" w:themeColor="text1"/>
                <w:szCs w:val="28"/>
                <w:highlight w:val="none"/>
                <w14:textFill>
                  <w14:solidFill>
                    <w14:schemeClr w14:val="tx1"/>
                  </w14:solidFill>
                </w14:textFill>
              </w:rPr>
              <w:t>年处理3万吨废润滑油再生利用生产预处理装置、</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减压脱轻</w:t>
            </w:r>
            <w:r>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t>-蒸馏</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联合</w:t>
            </w:r>
            <w:r>
              <w:rPr>
                <w:rFonts w:hint="default" w:ascii="Times New Roman" w:hAnsi="Times New Roman" w:eastAsia="宋体" w:cs="Times New Roman"/>
                <w:color w:val="000000" w:themeColor="text1"/>
                <w:szCs w:val="28"/>
                <w:highlight w:val="none"/>
                <w14:textFill>
                  <w14:solidFill>
                    <w14:schemeClr w14:val="tx1"/>
                  </w14:solidFill>
                </w14:textFill>
              </w:rPr>
              <w:t>装置、白土补充精制装置、18座250m</w:t>
            </w:r>
            <w:r>
              <w:rPr>
                <w:rFonts w:hint="default" w:ascii="Times New Roman" w:hAnsi="Times New Roman" w:eastAsia="宋体" w:cs="Times New Roman"/>
                <w:color w:val="000000" w:themeColor="text1"/>
                <w:szCs w:val="28"/>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Cs w:val="28"/>
                <w:highlight w:val="none"/>
                <w14:textFill>
                  <w14:solidFill>
                    <w14:schemeClr w14:val="tx1"/>
                  </w14:solidFill>
                </w14:textFill>
              </w:rPr>
              <w:t>基础油罐、4个1000m</w:t>
            </w:r>
            <w:r>
              <w:rPr>
                <w:rFonts w:hint="default" w:ascii="Times New Roman" w:hAnsi="Times New Roman" w:eastAsia="宋体" w:cs="Times New Roman"/>
                <w:color w:val="000000" w:themeColor="text1"/>
                <w:szCs w:val="28"/>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Cs w:val="28"/>
                <w:highlight w:val="none"/>
                <w14:textFill>
                  <w14:solidFill>
                    <w14:schemeClr w14:val="tx1"/>
                  </w14:solidFill>
                </w14:textFill>
              </w:rPr>
              <w:t>原料储罐</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及配套锅炉装置，</w:t>
            </w:r>
            <w:r>
              <w:rPr>
                <w:rFonts w:hint="default" w:ascii="Times New Roman" w:hAnsi="Times New Roman" w:eastAsia="宋体" w:cs="Times New Roman"/>
                <w:color w:val="000000" w:themeColor="text1"/>
                <w:szCs w:val="28"/>
                <w:highlight w:val="none"/>
                <w14:textFill>
                  <w14:solidFill>
                    <w14:schemeClr w14:val="tx1"/>
                  </w14:solidFill>
                </w14:textFill>
              </w:rPr>
              <w:t>5t/h污水处理站一座</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8"/>
                <w:highlight w:val="none"/>
                <w14:textFill>
                  <w14:solidFill>
                    <w14:schemeClr w14:val="tx1"/>
                  </w14:solidFill>
                </w14:textFill>
              </w:rPr>
              <w:t>760m</w:t>
            </w:r>
            <w:r>
              <w:rPr>
                <w:rFonts w:hint="default" w:ascii="Times New Roman" w:hAnsi="Times New Roman" w:eastAsia="宋体" w:cs="Times New Roman"/>
                <w:color w:val="000000" w:themeColor="text1"/>
                <w:szCs w:val="28"/>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Cs w:val="28"/>
                <w:highlight w:val="none"/>
                <w14:textFill>
                  <w14:solidFill>
                    <w14:schemeClr w14:val="tx1"/>
                  </w14:solidFill>
                </w14:textFill>
              </w:rPr>
              <w:t>循环水池、500m</w:t>
            </w:r>
            <w:r>
              <w:rPr>
                <w:rFonts w:hint="default" w:ascii="Times New Roman" w:hAnsi="Times New Roman" w:eastAsia="宋体" w:cs="Times New Roman"/>
                <w:color w:val="000000" w:themeColor="text1"/>
                <w:szCs w:val="28"/>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Cs w:val="28"/>
                <w:highlight w:val="none"/>
                <w14:textFill>
                  <w14:solidFill>
                    <w14:schemeClr w14:val="tx1"/>
                  </w14:solidFill>
                </w14:textFill>
              </w:rPr>
              <w:t>应急事故池、</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废矿物油临时储存场及</w:t>
            </w:r>
            <w:r>
              <w:rPr>
                <w:rFonts w:hint="default" w:ascii="Times New Roman" w:hAnsi="Times New Roman" w:eastAsia="宋体" w:cs="Times New Roman"/>
                <w:color w:val="000000" w:themeColor="text1"/>
                <w:szCs w:val="28"/>
                <w:highlight w:val="none"/>
                <w14:textFill>
                  <w14:solidFill>
                    <w14:schemeClr w14:val="tx1"/>
                  </w14:solidFill>
                </w14:textFill>
              </w:rPr>
              <w:t>危废</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（废白土、油泥）</w:t>
            </w:r>
            <w:r>
              <w:rPr>
                <w:rFonts w:hint="default" w:ascii="Times New Roman" w:hAnsi="Times New Roman" w:eastAsia="宋体" w:cs="Times New Roman"/>
                <w:color w:val="000000" w:themeColor="text1"/>
                <w:szCs w:val="28"/>
                <w:highlight w:val="none"/>
                <w14:textFill>
                  <w14:solidFill>
                    <w14:schemeClr w14:val="tx1"/>
                  </w14:solidFill>
                </w14:textFill>
              </w:rPr>
              <w:t>临时储存</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库</w:t>
            </w:r>
            <w:r>
              <w:rPr>
                <w:rFonts w:hint="default" w:ascii="Times New Roman" w:hAnsi="Times New Roman" w:eastAsia="宋体" w:cs="Times New Roman"/>
                <w:color w:val="000000" w:themeColor="text1"/>
                <w:szCs w:val="28"/>
                <w:highlight w:val="none"/>
                <w14:textFill>
                  <w14:solidFill>
                    <w14:schemeClr w14:val="tx1"/>
                  </w14:solidFill>
                </w14:textFill>
              </w:rPr>
              <w:t>等设施。</w:t>
            </w:r>
          </w:p>
          <w:p>
            <w:pPr>
              <w:tabs>
                <w:tab w:val="center" w:pos="4153"/>
              </w:tabs>
              <w:adjustRightInd/>
              <w:snapToGrid/>
              <w:ind w:firstLine="56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t>2015年8月，本项目建设工程及运行通过竣工环保验收。获得</w:t>
            </w:r>
            <w:r>
              <w:rPr>
                <w:rFonts w:hint="default" w:ascii="Times New Roman" w:hAnsi="Times New Roman" w:eastAsia="宋体" w:cs="Times New Roman"/>
                <w:color w:val="000000" w:themeColor="text1"/>
                <w:szCs w:val="28"/>
                <w:highlight w:val="none"/>
                <w14:textFill>
                  <w14:solidFill>
                    <w14:schemeClr w14:val="tx1"/>
                  </w14:solidFill>
                </w14:textFill>
              </w:rPr>
              <w:t>竣工环境保护验收意见（昌州环函〔2015〕289号）</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8"/>
                <w:highlight w:val="none"/>
                <w14:textFill>
                  <w14:solidFill>
                    <w14:schemeClr w14:val="tx1"/>
                  </w14:solidFill>
                </w14:textFill>
              </w:rPr>
              <w:t>2016年5月获得《危险废物经营许可证》（证书编号：6523231041），经营方式为收集、贮存、利用、处置。</w:t>
            </w:r>
            <w:r>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t>2018年10月编制完成《</w:t>
            </w:r>
            <w:r>
              <w:rPr>
                <w:rFonts w:hint="default" w:ascii="Times New Roman" w:hAnsi="Times New Roman" w:eastAsia="宋体" w:cs="Times New Roman"/>
                <w:color w:val="000000" w:themeColor="text1"/>
                <w:szCs w:val="28"/>
                <w:highlight w:val="none"/>
                <w14:textFill>
                  <w14:solidFill>
                    <w14:schemeClr w14:val="tx1"/>
                  </w14:solidFill>
                </w14:textFill>
              </w:rPr>
              <w:t>新疆海克新能源科技有限公司</w:t>
            </w:r>
            <w:r>
              <w:rPr>
                <w:rFonts w:hint="default" w:ascii="Times New Roman" w:hAnsi="Times New Roman" w:eastAsia="宋体" w:cs="Times New Roman"/>
                <w:color w:val="000000" w:themeColor="text1"/>
                <w:szCs w:val="28"/>
                <w:highlight w:val="none"/>
                <w:lang w:eastAsia="zh-CN"/>
                <w14:textFill>
                  <w14:solidFill>
                    <w14:schemeClr w14:val="tx1"/>
                  </w14:solidFill>
                </w14:textFill>
              </w:rPr>
              <w:t>突发环境事件应急预案</w:t>
            </w:r>
            <w:r>
              <w:rPr>
                <w:rFonts w:hint="default" w:ascii="Times New Roman" w:hAnsi="Times New Roman" w:eastAsia="宋体" w:cs="Times New Roman"/>
                <w:color w:val="000000" w:themeColor="text1"/>
                <w:szCs w:val="28"/>
                <w:highlight w:val="none"/>
                <w:lang w:val="en-US" w:eastAsia="zh-CN"/>
                <w14:textFill>
                  <w14:solidFill>
                    <w14:schemeClr w14:val="tx1"/>
                  </w14:solidFill>
                </w14:textFill>
              </w:rPr>
              <w:t>》，并在生态环境局进行备案（备案号：652323-2018-012-L）。2019年12月根据《排污许可申请与核发技术规范 废弃资源加工工业》（HJ1034-2019）填报排污许可申请，并于2019年12月11日通过审批（排污许可证编号：91652323599176298P001V）。</w:t>
            </w:r>
          </w:p>
          <w:p>
            <w:pPr>
              <w:pStyle w:val="11"/>
              <w:keepNext w:val="0"/>
              <w:keepLines w:val="0"/>
              <w:pageBreakBefore w:val="0"/>
              <w:kinsoku/>
              <w:wordWrap/>
              <w:overflowPunct/>
              <w:topLinePunct w:val="0"/>
              <w:bidi w:val="0"/>
              <w:adjustRightInd w:val="0"/>
              <w:snapToGrid/>
              <w:spacing w:line="360" w:lineRule="auto"/>
              <w:jc w:val="both"/>
              <w:textAlignment w:val="auto"/>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t>1.2  运行概况</w:t>
            </w:r>
          </w:p>
          <w:p>
            <w:pPr>
              <w:pStyle w:val="11"/>
              <w:keepNext w:val="0"/>
              <w:keepLines w:val="0"/>
              <w:pageBreakBefore w:val="0"/>
              <w:kinsoku/>
              <w:wordWrap/>
              <w:overflowPunct/>
              <w:topLinePunct w:val="0"/>
              <w:bidi w:val="0"/>
              <w:adjustRightInd w:val="0"/>
              <w:snapToGrid/>
              <w:spacing w:line="360" w:lineRule="auto"/>
              <w:jc w:val="both"/>
              <w:textAlignment w:val="auto"/>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t>1.2.1  工艺流程</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项目运行工艺流程包括预处理-减压脱轻-减压蒸馏工段，白土精制工段及成品检验工段。工艺流程图见图4。</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（1）预处理-减压脱轻-减压蒸馏工段</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项目回收的废润滑油、废柴油机油及废工业机油由运输车辆到厂，泵送直接输入废油过滤系统进行预处理，去除原料中的泥沙、机械杂质，然后通过管道输入原料储罐，再经管道、泵输入换热器、减压炉后进减压蒸馏塔,在不同温度下分馏后，冷却为半成品液体进再经管道进入半成品储罐。</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（2）白土精制工段</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14:textFill>
                  <w14:solidFill>
                    <w14:schemeClr w14:val="tx1"/>
                  </w14:solidFill>
                </w14:textFill>
              </w:rPr>
              <w:t>用泵抽</w:t>
            </w: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半成品储罐</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中被精制油</w:t>
            </w:r>
            <w:r>
              <w:rPr>
                <w:rFonts w:hint="default" w:ascii="Times New Roman" w:hAnsi="Times New Roman" w:eastAsia="宋体" w:cs="Times New Roman"/>
                <w:color w:val="000000" w:themeColor="text1"/>
                <w:sz w:val="28"/>
                <w:szCs w:val="28"/>
                <w:highlight w:val="none"/>
                <w14:textFill>
                  <w14:solidFill>
                    <w14:schemeClr w14:val="tx1"/>
                  </w14:solidFill>
                </w14:textFill>
              </w:rPr>
              <w:t>入白土反应釜内</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，加入一定比例的活性白土，</w:t>
            </w:r>
            <w:r>
              <w:rPr>
                <w:rFonts w:hint="default" w:ascii="Times New Roman" w:hAnsi="Times New Roman" w:eastAsia="宋体" w:cs="Times New Roman"/>
                <w:color w:val="000000" w:themeColor="text1"/>
                <w:sz w:val="28"/>
                <w:szCs w:val="28"/>
                <w:highlight w:val="none"/>
                <w14:textFill>
                  <w14:solidFill>
                    <w14:schemeClr w14:val="tx1"/>
                  </w14:solidFill>
                </w14:textFill>
              </w:rPr>
              <w:t>白土反应温度约</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8"/>
                <w:szCs w:val="28"/>
                <w:highlight w:val="none"/>
                <w14:textFill>
                  <w14:solidFill>
                    <w14:schemeClr w14:val="tx1"/>
                  </w14:solidFill>
                </w14:textFill>
              </w:rPr>
              <w:t>0摄氏度</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8"/>
                <w:szCs w:val="28"/>
                <w:highlight w:val="none"/>
                <w14:textFill>
                  <w14:solidFill>
                    <w14:schemeClr w14:val="tx1"/>
                  </w14:solidFill>
                </w14:textFill>
              </w:rPr>
              <w:t>0摄氏度之间</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，被精制油</w:t>
            </w:r>
            <w:r>
              <w:rPr>
                <w:rFonts w:hint="default" w:ascii="Times New Roman" w:hAnsi="Times New Roman" w:eastAsia="宋体" w:cs="Times New Roman"/>
                <w:color w:val="000000" w:themeColor="text1"/>
                <w:sz w:val="28"/>
                <w:szCs w:val="28"/>
                <w:highlight w:val="none"/>
                <w14:textFill>
                  <w14:solidFill>
                    <w14:schemeClr w14:val="tx1"/>
                  </w14:solidFill>
                </w14:textFill>
              </w:rPr>
              <w:t>经白土吸附、压滤后入成品罐。</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（3）成品检验工段</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成品经检验室检验合格后，符合标准规定要求方可出厂。</w:t>
            </w:r>
          </w:p>
          <w:p>
            <w:pPr>
              <w:pStyle w:val="11"/>
              <w:spacing w:line="360" w:lineRule="auto"/>
              <w:jc w:val="both"/>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t>1.2.2  项目污染及污染治理情况</w:t>
            </w:r>
          </w:p>
          <w:p>
            <w:pPr>
              <w:pStyle w:val="11"/>
              <w:keepNext w:val="0"/>
              <w:keepLines w:val="0"/>
              <w:pageBreakBefore w:val="0"/>
              <w:kinsoku/>
              <w:wordWrap/>
              <w:overflowPunct/>
              <w:topLinePunct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根据现有工程主要工程内容及工艺流程分析，与本项目有关的现有工程的污染物排放及治理情况见表 2。</w:t>
            </w:r>
          </w:p>
          <w:p>
            <w:pPr>
              <w:pStyle w:val="11"/>
              <w:keepNext w:val="0"/>
              <w:keepLines w:val="0"/>
              <w:pageBreakBefore w:val="0"/>
              <w:kinsoku/>
              <w:wordWrap/>
              <w:overflowPunct/>
              <w:topLinePunct w:val="0"/>
              <w:bidi w:val="0"/>
              <w:adjustRightInd w:val="0"/>
              <w:snapToGrid/>
              <w:spacing w:line="360" w:lineRule="auto"/>
              <w:jc w:val="right"/>
              <w:textAlignment w:val="auto"/>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表</w:t>
            </w:r>
            <w:r>
              <w:rPr>
                <w:rFonts w:hint="default" w:ascii="Times New Roman" w:hAnsi="Times New Roman" w:eastAsia="宋体" w:cs="Times New Roman"/>
                <w:b/>
                <w:color w:val="000000" w:themeColor="text1"/>
                <w:spacing w:val="-52"/>
                <w:sz w:val="21"/>
                <w:highlight w:val="none"/>
                <w:lang w:val="en-US" w:eastAsia="zh-CN"/>
                <w14:textFill>
                  <w14:solidFill>
                    <w14:schemeClr w14:val="tx1"/>
                  </w14:solidFill>
                </w14:textFill>
              </w:rPr>
              <w:t>2</w:t>
            </w:r>
            <w:r>
              <w:rPr>
                <w:rFonts w:hint="default" w:ascii="Times New Roman" w:hAnsi="Times New Roman" w:eastAsia="宋体" w:cs="Times New Roman"/>
                <w:b/>
                <w:color w:val="000000" w:themeColor="text1"/>
                <w:sz w:val="21"/>
                <w:highlight w:val="none"/>
                <w14:textFill>
                  <w14:solidFill>
                    <w14:schemeClr w14:val="tx1"/>
                  </w14:solidFill>
                </w14:textFill>
              </w:rPr>
              <w:tab/>
            </w:r>
            <w:r>
              <w:rPr>
                <w:rFonts w:hint="default" w:ascii="Times New Roman" w:hAnsi="Times New Roman" w:eastAsia="宋体" w:cs="Times New Roman"/>
                <w:b/>
                <w:color w:val="000000" w:themeColor="text1"/>
                <w:sz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highlight w:val="none"/>
                <w14:textFill>
                  <w14:solidFill>
                    <w14:schemeClr w14:val="tx1"/>
                  </w14:solidFill>
                </w14:textFill>
              </w:rPr>
              <w:t>现有工程污染物排放及治理情况</w:t>
            </w:r>
            <w:r>
              <w:rPr>
                <w:rFonts w:hint="default" w:ascii="Times New Roman" w:hAnsi="Times New Roman" w:eastAsia="宋体" w:cs="Times New Roman"/>
                <w:b/>
                <w:color w:val="000000" w:themeColor="text1"/>
                <w:sz w:val="21"/>
                <w:highlight w:val="none"/>
                <w14:textFill>
                  <w14:solidFill>
                    <w14:schemeClr w14:val="tx1"/>
                  </w14:solidFill>
                </w14:textFill>
              </w:rPr>
              <w:tab/>
            </w:r>
            <w:r>
              <w:rPr>
                <w:rFonts w:hint="default" w:ascii="Times New Roman" w:hAnsi="Times New Roman" w:eastAsia="宋体" w:cs="Times New Roman"/>
                <w:b/>
                <w:color w:val="000000" w:themeColor="text1"/>
                <w:sz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highlight w:val="none"/>
                <w14:textFill>
                  <w14:solidFill>
                    <w14:schemeClr w14:val="tx1"/>
                  </w14:solidFill>
                </w14:textFill>
              </w:rPr>
              <w:t>（单位：t/a）</w:t>
            </w:r>
          </w:p>
          <w:tbl>
            <w:tblPr>
              <w:tblStyle w:val="7"/>
              <w:tblW w:w="8447"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09"/>
              <w:gridCol w:w="716"/>
              <w:gridCol w:w="716"/>
              <w:gridCol w:w="1085"/>
              <w:gridCol w:w="1754"/>
              <w:gridCol w:w="1643"/>
              <w:gridCol w:w="212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jc w:val="center"/>
              </w:trPr>
              <w:tc>
                <w:tcPr>
                  <w:tcW w:w="409"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项目类</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w w:val="99"/>
                      <w:sz w:val="21"/>
                      <w:highlight w:val="none"/>
                      <w14:textFill>
                        <w14:solidFill>
                          <w14:schemeClr w14:val="tx1"/>
                        </w14:solidFill>
                      </w14:textFill>
                    </w:rPr>
                    <w:t>型</w:t>
                  </w:r>
                </w:p>
              </w:tc>
              <w:tc>
                <w:tcPr>
                  <w:tcW w:w="1432" w:type="dxa"/>
                  <w:gridSpan w:val="2"/>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污染源</w:t>
                  </w:r>
                </w:p>
              </w:tc>
              <w:tc>
                <w:tcPr>
                  <w:tcW w:w="1085"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排放量</w:t>
                  </w:r>
                </w:p>
              </w:tc>
              <w:tc>
                <w:tcPr>
                  <w:tcW w:w="1754"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项目现状</w:t>
                  </w:r>
                </w:p>
              </w:tc>
              <w:tc>
                <w:tcPr>
                  <w:tcW w:w="1643"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整改措施</w:t>
                  </w:r>
                </w:p>
              </w:tc>
              <w:tc>
                <w:tcPr>
                  <w:tcW w:w="2124"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执行标准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409" w:type="dxa"/>
                  <w:vMerge w:val="restart"/>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0"/>
                      <w:highlight w:val="none"/>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0"/>
                      <w:highlight w:val="none"/>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0"/>
                      <w:highlight w:val="none"/>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废气</w:t>
                  </w:r>
                </w:p>
              </w:tc>
              <w:tc>
                <w:tcPr>
                  <w:tcW w:w="716" w:type="dxa"/>
                  <w:vMerge w:val="restart"/>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燃油蒸汽</w:t>
                  </w:r>
                  <w:r>
                    <w:rPr>
                      <w:rFonts w:hint="default" w:ascii="Times New Roman" w:hAnsi="Times New Roman" w:eastAsia="宋体" w:cs="Times New Roman"/>
                      <w:color w:val="000000" w:themeColor="text1"/>
                      <w:sz w:val="21"/>
                      <w:szCs w:val="21"/>
                      <w:highlight w:val="none"/>
                      <w14:textFill>
                        <w14:solidFill>
                          <w14:schemeClr w14:val="tx1"/>
                        </w14:solidFill>
                      </w14:textFill>
                    </w:rPr>
                    <w:t>锅炉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（有组织）</w:t>
                  </w:r>
                </w:p>
              </w:tc>
              <w:tc>
                <w:tcPr>
                  <w:tcW w:w="716" w:type="dxa"/>
                  <w:tcBorders>
                    <w:top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颗粒物</w:t>
                  </w:r>
                </w:p>
              </w:tc>
              <w:tc>
                <w:tcPr>
                  <w:tcW w:w="1085" w:type="dxa"/>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0.086</w:t>
                  </w:r>
                </w:p>
              </w:tc>
              <w:tc>
                <w:tcPr>
                  <w:tcW w:w="1754" w:type="dxa"/>
                  <w:vMerge w:val="restart"/>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15m高排气筒</w:t>
                  </w:r>
                </w:p>
              </w:tc>
              <w:tc>
                <w:tcPr>
                  <w:tcW w:w="1643" w:type="dxa"/>
                  <w:vMerge w:val="restart"/>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无需整改</w:t>
                  </w:r>
                </w:p>
              </w:tc>
              <w:tc>
                <w:tcPr>
                  <w:tcW w:w="2124" w:type="dxa"/>
                  <w:vMerge w:val="restart"/>
                  <w:tcBorders>
                    <w:top w:val="single" w:color="000000"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t>锅炉大气污染物排放标准（GB</w:t>
                  </w: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 xml:space="preserve"> </w:t>
                  </w:r>
                  <w:r>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t>13271-2014）表</w:t>
                  </w: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3中燃油锅炉特别排放限值要求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409"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716"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2</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0.315</w:t>
                  </w:r>
                </w:p>
              </w:tc>
              <w:tc>
                <w:tcPr>
                  <w:tcW w:w="175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643"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212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409"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716"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x</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1.217</w:t>
                  </w:r>
                </w:p>
              </w:tc>
              <w:tc>
                <w:tcPr>
                  <w:tcW w:w="175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643"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212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4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716"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燃油</w:t>
                  </w:r>
                  <w:r>
                    <w:rPr>
                      <w:rFonts w:hint="default" w:ascii="Times New Roman" w:hAnsi="Times New Roman" w:eastAsia="宋体" w:cs="Times New Roman"/>
                      <w:color w:val="000000" w:themeColor="text1"/>
                      <w:sz w:val="21"/>
                      <w:szCs w:val="21"/>
                      <w:highlight w:val="none"/>
                      <w14:textFill>
                        <w14:solidFill>
                          <w14:schemeClr w14:val="tx1"/>
                        </w14:solidFill>
                      </w14:textFill>
                    </w:rPr>
                    <w:t>导热油炉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（有组织）</w:t>
                  </w: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颗粒物</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0.148</w:t>
                  </w:r>
                </w:p>
              </w:tc>
              <w:tc>
                <w:tcPr>
                  <w:tcW w:w="175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15m高排气筒</w:t>
                  </w:r>
                </w:p>
              </w:tc>
              <w:tc>
                <w:tcPr>
                  <w:tcW w:w="1643"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firstLine="52"/>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无需整改</w:t>
                  </w:r>
                </w:p>
              </w:tc>
              <w:tc>
                <w:tcPr>
                  <w:tcW w:w="212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409"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716"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2</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0.540</w:t>
                  </w:r>
                </w:p>
              </w:tc>
              <w:tc>
                <w:tcPr>
                  <w:tcW w:w="175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643"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212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409"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716"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x</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2.086</w:t>
                  </w:r>
                </w:p>
              </w:tc>
              <w:tc>
                <w:tcPr>
                  <w:tcW w:w="175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643"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212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4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716"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燃油减压加热炉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（有组织）</w:t>
                  </w: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颗粒物</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0.234</w:t>
                  </w:r>
                </w:p>
              </w:tc>
              <w:tc>
                <w:tcPr>
                  <w:tcW w:w="175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25m高排气筒</w:t>
                  </w:r>
                </w:p>
              </w:tc>
              <w:tc>
                <w:tcPr>
                  <w:tcW w:w="1643"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无需整改</w:t>
                  </w:r>
                </w:p>
              </w:tc>
              <w:tc>
                <w:tcPr>
                  <w:tcW w:w="2124"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t>工业炉窑大气污染物排放标准（GB 9078-1996）表</w:t>
                  </w: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2中加热炉排放限值要求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409"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716"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2</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0.855</w:t>
                  </w:r>
                </w:p>
              </w:tc>
              <w:tc>
                <w:tcPr>
                  <w:tcW w:w="175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c>
                <w:tcPr>
                  <w:tcW w:w="1643"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c>
                <w:tcPr>
                  <w:tcW w:w="212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409"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c>
                <w:tcPr>
                  <w:tcW w:w="716"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x</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1.217</w:t>
                  </w:r>
                </w:p>
              </w:tc>
              <w:tc>
                <w:tcPr>
                  <w:tcW w:w="175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c>
                <w:tcPr>
                  <w:tcW w:w="1643"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c>
                <w:tcPr>
                  <w:tcW w:w="212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65" w:hRule="atLeast"/>
                <w:jc w:val="center"/>
              </w:trPr>
              <w:tc>
                <w:tcPr>
                  <w:tcW w:w="409"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432" w:type="dxa"/>
                  <w:gridSpan w:val="2"/>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非甲烷总烃</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（无组织）</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0.28</w:t>
                  </w:r>
                </w:p>
              </w:tc>
              <w:tc>
                <w:tcPr>
                  <w:tcW w:w="1754"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ar-SA"/>
                      <w14:textFill>
                        <w14:solidFill>
                          <w14:schemeClr w14:val="tx1"/>
                        </w14:solidFill>
                      </w14:textFill>
                    </w:rPr>
                    <w:t>优化生产周期、废矿物油储存量及储存周期；在废矿物油装卸、运输过程中采用密闭管道和封闭接口；加强管理，规范操作。</w:t>
                  </w:r>
                </w:p>
              </w:tc>
              <w:tc>
                <w:tcPr>
                  <w:tcW w:w="164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w w:val="99"/>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无需整改</w:t>
                  </w:r>
                </w:p>
              </w:tc>
              <w:tc>
                <w:tcPr>
                  <w:tcW w:w="212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w w:val="99"/>
                      <w:sz w:val="21"/>
                      <w:highlight w:val="none"/>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《大气污染物综合排放标准》（GB 16297-1996）表 2 中的标准限值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jc w:val="center"/>
              </w:trPr>
              <w:tc>
                <w:tcPr>
                  <w:tcW w:w="409"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废水</w:t>
                  </w:r>
                </w:p>
              </w:tc>
              <w:tc>
                <w:tcPr>
                  <w:tcW w:w="1432" w:type="dxa"/>
                  <w:gridSpan w:val="2"/>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综合废水</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75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经综合废水处理站设施处理后，厂内冷却循环使用</w:t>
                  </w:r>
                </w:p>
              </w:tc>
              <w:tc>
                <w:tcPr>
                  <w:tcW w:w="164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无需整改</w:t>
                  </w:r>
                </w:p>
              </w:tc>
              <w:tc>
                <w:tcPr>
                  <w:tcW w:w="212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w w:val="99"/>
                      <w:sz w:val="21"/>
                      <w:highlight w:val="none"/>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409"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固废</w:t>
                  </w:r>
                </w:p>
              </w:tc>
              <w:tc>
                <w:tcPr>
                  <w:tcW w:w="1432" w:type="dxa"/>
                  <w:gridSpan w:val="2"/>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生活垃圾</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12.6</w:t>
                  </w:r>
                </w:p>
              </w:tc>
              <w:tc>
                <w:tcPr>
                  <w:tcW w:w="175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收集后委托环卫部门清</w:t>
                  </w:r>
                  <w:r>
                    <w:rPr>
                      <w:rFonts w:hint="default" w:ascii="Times New Roman" w:hAnsi="Times New Roman" w:eastAsia="宋体" w:cs="Times New Roman"/>
                      <w:color w:val="000000" w:themeColor="text1"/>
                      <w:w w:val="99"/>
                      <w:sz w:val="21"/>
                      <w:highlight w:val="none"/>
                      <w14:textFill>
                        <w14:solidFill>
                          <w14:schemeClr w14:val="tx1"/>
                        </w14:solidFill>
                      </w14:textFill>
                    </w:rPr>
                    <w:t>运</w:t>
                  </w:r>
                </w:p>
              </w:tc>
              <w:tc>
                <w:tcPr>
                  <w:tcW w:w="164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无需整改</w:t>
                  </w:r>
                </w:p>
              </w:tc>
              <w:tc>
                <w:tcPr>
                  <w:tcW w:w="212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合理化处置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53" w:hRule="atLeast"/>
                <w:jc w:val="center"/>
              </w:trPr>
              <w:tc>
                <w:tcPr>
                  <w:tcW w:w="4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1432" w:type="dxa"/>
                  <w:gridSpan w:val="2"/>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危险废物</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油泥</w:t>
                  </w:r>
                </w:p>
              </w:tc>
              <w:tc>
                <w:tcPr>
                  <w:tcW w:w="1754"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收集后暂存于危险废物暂存间交由资质单位处置</w:t>
                  </w:r>
                </w:p>
              </w:tc>
              <w:tc>
                <w:tcPr>
                  <w:tcW w:w="1643"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现有危废暂存间不利于叉车进出装卸危险废物，存在危险废物泄露风险。因此，新建</w:t>
                  </w: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1间危险废物暂存间。</w:t>
                  </w:r>
                </w:p>
              </w:tc>
              <w:tc>
                <w:tcPr>
                  <w:tcW w:w="212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无害化处置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4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1432" w:type="dxa"/>
                  <w:gridSpan w:val="2"/>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废白土</w:t>
                  </w:r>
                </w:p>
              </w:tc>
              <w:tc>
                <w:tcPr>
                  <w:tcW w:w="1754"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643"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212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lang w:eastAsia="zh-CN"/>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88" w:hRule="atLeast"/>
                <w:jc w:val="center"/>
              </w:trPr>
              <w:tc>
                <w:tcPr>
                  <w:tcW w:w="409"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噪声</w:t>
                  </w:r>
                </w:p>
              </w:tc>
              <w:tc>
                <w:tcPr>
                  <w:tcW w:w="1432" w:type="dxa"/>
                  <w:gridSpan w:val="2"/>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厂界噪声</w:t>
                  </w:r>
                </w:p>
              </w:tc>
              <w:tc>
                <w:tcPr>
                  <w:tcW w:w="108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昼间</w:t>
                  </w: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35~49dB(A)</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夜间34~47dB(A)</w:t>
                  </w:r>
                </w:p>
              </w:tc>
              <w:tc>
                <w:tcPr>
                  <w:tcW w:w="175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厂房隔音、距离</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衰减、绿化</w:t>
                  </w:r>
                </w:p>
              </w:tc>
              <w:tc>
                <w:tcPr>
                  <w:tcW w:w="164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无需整改</w:t>
                  </w:r>
                </w:p>
              </w:tc>
              <w:tc>
                <w:tcPr>
                  <w:tcW w:w="212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firstLine="21"/>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《工业企业厂界环境噪声排放标</w:t>
                  </w:r>
                  <w:r>
                    <w:rPr>
                      <w:rFonts w:hint="default" w:ascii="Times New Roman" w:hAnsi="Times New Roman" w:eastAsia="宋体" w:cs="Times New Roman"/>
                      <w:color w:val="000000" w:themeColor="text1"/>
                      <w:spacing w:val="-1"/>
                      <w:w w:val="95"/>
                      <w:sz w:val="21"/>
                      <w:highlight w:val="none"/>
                      <w14:textFill>
                        <w14:solidFill>
                          <w14:schemeClr w14:val="tx1"/>
                        </w14:solidFill>
                      </w14:textFill>
                    </w:rPr>
                    <w:t>准》（GB12348-</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2008）3</w:t>
                  </w:r>
                  <w:r>
                    <w:rPr>
                      <w:rFonts w:hint="default" w:ascii="Times New Roman" w:hAnsi="Times New Roman" w:eastAsia="宋体" w:cs="Times New Roman"/>
                      <w:color w:val="000000" w:themeColor="text1"/>
                      <w:spacing w:val="-4"/>
                      <w:sz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highlight w:val="none"/>
                      <w14:textFill>
                        <w14:solidFill>
                          <w14:schemeClr w14:val="tx1"/>
                        </w14:solidFill>
                      </w14:textFill>
                    </w:rPr>
                    <w:t>类标准</w:t>
                  </w:r>
                </w:p>
              </w:tc>
            </w:tr>
          </w:tbl>
          <w:p>
            <w:pPr>
              <w:pStyle w:val="11"/>
              <w:spacing w:line="360" w:lineRule="auto"/>
              <w:jc w:val="both"/>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t>2  现有项目存在的问题</w:t>
            </w:r>
          </w:p>
          <w:p>
            <w:pPr>
              <w:pStyle w:val="11"/>
              <w:spacing w:line="360" w:lineRule="auto"/>
              <w:jc w:val="both"/>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t>2.1  存在问题</w:t>
            </w:r>
          </w:p>
          <w:p>
            <w:pPr>
              <w:keepNext w:val="0"/>
              <w:keepLines w:val="0"/>
              <w:pageBreakBefore w:val="0"/>
              <w:kinsoku/>
              <w:wordWrap/>
              <w:overflowPunct/>
              <w:topLinePunct w:val="0"/>
              <w:bidi w:val="0"/>
              <w:adjustRightInd w:val="0"/>
              <w:spacing w:line="360" w:lineRule="auto"/>
              <w:ind w:firstLine="560" w:firstLineChars="200"/>
              <w:textAlignment w:val="auto"/>
              <w:rPr>
                <w:rFonts w:hint="default" w:ascii="Times New Roman" w:hAnsi="Times New Roman" w:eastAsia="宋体" w:cs="Times New Roman"/>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现有项目外购收集的部分桶装废矿物油进厂后，当分类、检测等工序不能及时完成并泵入原料罐情况下，需临时储存至废矿物油原料暂存库。废矿物油原料暂存库搭建为棚状结构，地面采用硬化措施。但是由于废矿物油本质为危险物质，其贮存场所需地面、裙角防渗、防腐不达标，未按环保要求配套建设风险防范设施，不符合《危险废物贮存污染控制标准》（GB18597-2001&lt;2013年修订&gt;）中危险废物贮存设施设计原则，不符合环保要求，存在安全隐患。对土壤及大气存在污染的风险。需进行改造。</w:t>
            </w:r>
          </w:p>
          <w:p>
            <w:pPr>
              <w:pStyle w:val="11"/>
              <w:spacing w:line="360" w:lineRule="auto"/>
              <w:jc w:val="both"/>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14:textFill>
                  <w14:solidFill>
                    <w14:schemeClr w14:val="tx1"/>
                  </w14:solidFill>
                </w14:textFill>
              </w:rPr>
              <w:t>2.2  危险废物规范化管理督察情况</w:t>
            </w:r>
          </w:p>
          <w:p>
            <w:pPr>
              <w:pStyle w:val="11"/>
              <w:spacing w:line="360" w:lineRule="auto"/>
              <w:ind w:firstLine="560" w:firstLineChars="200"/>
              <w:jc w:val="both"/>
              <w:rPr>
                <w:rFonts w:hint="default" w:ascii="Times New Roman" w:hAnsi="Times New Roman" w:eastAsia="宋体"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2019年10月31日，昌吉州环境监察支队对自治区固废中心检查发现的问题进行现场核实，其中存在新建1间45m</w:t>
            </w:r>
            <w:r>
              <w:rPr>
                <w:rFonts w:hint="default" w:ascii="Times New Roman" w:hAnsi="Times New Roman" w:eastAsia="宋体" w:cs="Times New Roman"/>
                <w:color w:val="000000" w:themeColor="text1"/>
                <w:sz w:val="28"/>
                <w:szCs w:val="28"/>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8"/>
                <w:szCs w:val="28"/>
                <w:highlight w:val="none"/>
                <w:vertAlign w:val="baseline"/>
                <w:lang w:val="en-US" w:eastAsia="zh-CN"/>
                <w14:textFill>
                  <w14:solidFill>
                    <w14:schemeClr w14:val="tx1"/>
                  </w14:solidFill>
                </w14:textFill>
              </w:rPr>
              <w:t>废白土暂存间，原有项目废白土暂存间已停用的情况，提出向当地环保部门报备要求。2019年11月15日，又对其提出完成环评手续办理要求。</w:t>
            </w: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vertAlign w:val="baseline"/>
                <w:lang w:val="en-US" w:eastAsia="zh-CN"/>
                <w14:textFill>
                  <w14:solidFill>
                    <w14:schemeClr w14:val="tx1"/>
                  </w14:solidFill>
                </w14:textFill>
              </w:rPr>
              <w:t xml:space="preserve">3  整改措施 </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w:t>
            </w:r>
          </w:p>
          <w:p>
            <w:pPr>
              <w:pStyle w:val="11"/>
              <w:spacing w:line="360" w:lineRule="auto"/>
              <w:jc w:val="both"/>
              <w:rPr>
                <w:rFonts w:hint="default" w:ascii="Times New Roman" w:hAnsi="Times New Roman" w:eastAsia="宋体" w:cs="Times New Roman"/>
                <w:b/>
                <w:bCs/>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vertAlign w:val="baseline"/>
                <w:lang w:val="en-US" w:eastAsia="zh-CN"/>
                <w14:textFill>
                  <w14:solidFill>
                    <w14:schemeClr w14:val="tx1"/>
                  </w14:solidFill>
                </w14:textFill>
              </w:rPr>
              <w:t>3.1  废矿物油原料暂存间</w:t>
            </w: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按照《危险废物贮存污染控制标准》（GB18597-2001&lt;2013年修订&gt;）中危险废物贮存设施设计原则，对原有废矿物油原料暂存库进行改造。改造内容包括完善地面防渗系统、围堰、导流槽、收集槽及安装供电、消防等设备。</w:t>
            </w:r>
          </w:p>
          <w:p>
            <w:pPr>
              <w:pStyle w:val="11"/>
              <w:spacing w:line="360" w:lineRule="auto"/>
              <w:jc w:val="both"/>
              <w:rPr>
                <w:rFonts w:hint="default" w:ascii="Times New Roman" w:hAnsi="Times New Roman" w:eastAsia="宋体" w:cs="Times New Roman"/>
                <w:b/>
                <w:bCs/>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vertAlign w:val="baseline"/>
                <w:lang w:val="en-US" w:eastAsia="zh-CN"/>
                <w14:textFill>
                  <w14:solidFill>
                    <w14:schemeClr w14:val="tx1"/>
                  </w14:solidFill>
                </w14:textFill>
              </w:rPr>
              <w:t>3.2  废白土暂存间</w:t>
            </w: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（1）按照相关环保要求履行环保手续。</w:t>
            </w: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新建的废白土暂存间用于替代原有项目废白土暂存间。暂存间面积不变，按照《危险废物贮存污染控制标准》（GB18597-2001&lt;2013年修订&gt;）中危险废物贮存设施设计原则及“三同时”制度建设废白土暂存间。本项目暂存间建设完成后，原有项目废白土暂存间停止使用。</w:t>
            </w:r>
          </w:p>
          <w:p>
            <w:pPr>
              <w:widowControl/>
              <w:spacing w:line="360" w:lineRule="auto"/>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lang w:val="en-US" w:eastAsia="zh-CN" w:bidi="ar-SA"/>
                <w14:textFill>
                  <w14:solidFill>
                    <w14:schemeClr w14:val="tx1"/>
                  </w14:solidFill>
                </w14:textFill>
              </w:rPr>
              <w:t>4   “三本账”分析</w:t>
            </w:r>
          </w:p>
          <w:p>
            <w:pPr>
              <w:widowControl/>
              <w:spacing w:line="360" w:lineRule="auto"/>
              <w:ind w:firstLine="560" w:firstLineChars="200"/>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bidi="ar-SA"/>
                <w14:textFill>
                  <w14:solidFill>
                    <w14:schemeClr w14:val="tx1"/>
                  </w14:solidFill>
                </w14:textFill>
              </w:rPr>
              <w:t>本项目属于改扩建项目，本项目建成后厂区内产排污“三本帐”分析情况见表3。</w:t>
            </w:r>
          </w:p>
          <w:p>
            <w:pPr>
              <w:pStyle w:val="6"/>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auto"/>
              <w:rPr>
                <w:rFonts w:hint="default" w:ascii="Times New Roman" w:hAnsi="Times New Roman" w:eastAsia="宋体" w:cs="Times New Roman"/>
                <w:b/>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b/>
                <w:color w:val="000000" w:themeColor="text1"/>
                <w:sz w:val="21"/>
                <w:szCs w:val="22"/>
                <w:highlight w:val="none"/>
                <w:lang w:val="zh-CN" w:eastAsia="zh-CN" w:bidi="zh-CN"/>
                <w14:textFill>
                  <w14:solidFill>
                    <w14:schemeClr w14:val="tx1"/>
                  </w14:solidFill>
                </w14:textFill>
              </w:rPr>
              <w:t>表3  污染物排放“三本帐”对比表           （单位：t/a）</w:t>
            </w:r>
          </w:p>
          <w:tbl>
            <w:tblPr>
              <w:tblStyle w:val="7"/>
              <w:tblW w:w="8447"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17"/>
              <w:gridCol w:w="862"/>
              <w:gridCol w:w="146"/>
              <w:gridCol w:w="717"/>
              <w:gridCol w:w="851"/>
              <w:gridCol w:w="1294"/>
              <w:gridCol w:w="1535"/>
              <w:gridCol w:w="1313"/>
              <w:gridCol w:w="14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17"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项目类</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w w:val="99"/>
                      <w:sz w:val="21"/>
                      <w:highlight w:val="none"/>
                      <w14:textFill>
                        <w14:solidFill>
                          <w14:schemeClr w14:val="tx1"/>
                        </w14:solidFill>
                      </w14:textFill>
                    </w:rPr>
                    <w:t>型</w:t>
                  </w:r>
                </w:p>
              </w:tc>
              <w:tc>
                <w:tcPr>
                  <w:tcW w:w="1725" w:type="dxa"/>
                  <w:gridSpan w:val="3"/>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14:textFill>
                        <w14:solidFill>
                          <w14:schemeClr w14:val="tx1"/>
                        </w14:solidFill>
                      </w14:textFill>
                    </w:rPr>
                    <w:t>污染源</w:t>
                  </w:r>
                </w:p>
              </w:tc>
              <w:tc>
                <w:tcPr>
                  <w:tcW w:w="851"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14:textFill>
                        <w14:solidFill>
                          <w14:schemeClr w14:val="tx1"/>
                        </w14:solidFill>
                      </w14:textFill>
                    </w:rPr>
                  </w:pPr>
                  <w:r>
                    <w:rPr>
                      <w:rFonts w:hint="default" w:ascii="Times New Roman" w:hAnsi="Times New Roman" w:eastAsia="宋体" w:cs="Times New Roman"/>
                      <w:b/>
                      <w:color w:val="000000" w:themeColor="text1"/>
                      <w:sz w:val="21"/>
                      <w:highlight w:val="none"/>
                      <w:lang w:eastAsia="zh-CN"/>
                      <w14:textFill>
                        <w14:solidFill>
                          <w14:schemeClr w14:val="tx1"/>
                        </w14:solidFill>
                      </w14:textFill>
                    </w:rPr>
                    <w:t>现有工程</w:t>
                  </w:r>
                  <w:r>
                    <w:rPr>
                      <w:rFonts w:hint="default" w:ascii="Times New Roman" w:hAnsi="Times New Roman" w:eastAsia="宋体" w:cs="Times New Roman"/>
                      <w:b/>
                      <w:color w:val="000000" w:themeColor="text1"/>
                      <w:sz w:val="21"/>
                      <w:highlight w:val="none"/>
                      <w14:textFill>
                        <w14:solidFill>
                          <w14:schemeClr w14:val="tx1"/>
                        </w14:solidFill>
                      </w14:textFill>
                    </w:rPr>
                    <w:t>排放量</w:t>
                  </w:r>
                </w:p>
              </w:tc>
              <w:tc>
                <w:tcPr>
                  <w:tcW w:w="1294"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highlight w:val="none"/>
                      <w:lang w:eastAsia="zh-CN"/>
                      <w14:textFill>
                        <w14:solidFill>
                          <w14:schemeClr w14:val="tx1"/>
                        </w14:solidFill>
                      </w14:textFill>
                    </w:rPr>
                    <w:t>本工程排放量</w:t>
                  </w:r>
                </w:p>
              </w:tc>
              <w:tc>
                <w:tcPr>
                  <w:tcW w:w="1535"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highlight w:val="none"/>
                      <w:lang w:eastAsia="zh-CN"/>
                      <w14:textFill>
                        <w14:solidFill>
                          <w14:schemeClr w14:val="tx1"/>
                        </w14:solidFill>
                      </w14:textFill>
                    </w:rPr>
                    <w:t>以新带老削减量</w:t>
                  </w:r>
                </w:p>
              </w:tc>
              <w:tc>
                <w:tcPr>
                  <w:tcW w:w="1313"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highlight w:val="none"/>
                      <w:lang w:eastAsia="zh-CN"/>
                      <w14:textFill>
                        <w14:solidFill>
                          <w14:schemeClr w14:val="tx1"/>
                        </w14:solidFill>
                      </w14:textFill>
                    </w:rPr>
                    <w:t>预测排放总量</w:t>
                  </w:r>
                </w:p>
              </w:tc>
              <w:tc>
                <w:tcPr>
                  <w:tcW w:w="1412" w:type="dxa"/>
                  <w:tcBorders>
                    <w:bottom w:val="single" w:color="000000" w:sz="8" w:space="0"/>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color w:val="000000" w:themeColor="text1"/>
                      <w:sz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highlight w:val="none"/>
                      <w:lang w:eastAsia="zh-CN"/>
                      <w14:textFill>
                        <w14:solidFill>
                          <w14:schemeClr w14:val="tx1"/>
                        </w14:solidFill>
                      </w14:textFill>
                    </w:rPr>
                    <w:t>排放增减量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17" w:type="dxa"/>
                  <w:vMerge w:val="restart"/>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0"/>
                      <w:highlight w:val="none"/>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0"/>
                      <w:highlight w:val="none"/>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0"/>
                      <w:highlight w:val="none"/>
                      <w14:textFill>
                        <w14:solidFill>
                          <w14:schemeClr w14:val="tx1"/>
                        </w14:solidFill>
                      </w14:textFill>
                    </w:rPr>
                  </w:pP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废气</w:t>
                  </w:r>
                </w:p>
              </w:tc>
              <w:tc>
                <w:tcPr>
                  <w:tcW w:w="1008" w:type="dxa"/>
                  <w:gridSpan w:val="2"/>
                  <w:vMerge w:val="restart"/>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燃油蒸汽</w:t>
                  </w:r>
                  <w:r>
                    <w:rPr>
                      <w:rFonts w:hint="default" w:ascii="Times New Roman" w:hAnsi="Times New Roman" w:eastAsia="宋体" w:cs="Times New Roman"/>
                      <w:color w:val="000000" w:themeColor="text1"/>
                      <w:sz w:val="21"/>
                      <w:szCs w:val="21"/>
                      <w:highlight w:val="none"/>
                      <w14:textFill>
                        <w14:solidFill>
                          <w14:schemeClr w14:val="tx1"/>
                        </w14:solidFill>
                      </w14:textFill>
                    </w:rPr>
                    <w:t>锅炉</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（有组织）</w:t>
                  </w:r>
                </w:p>
              </w:tc>
              <w:tc>
                <w:tcPr>
                  <w:tcW w:w="717" w:type="dxa"/>
                  <w:tcBorders>
                    <w:top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颗粒物</w:t>
                  </w:r>
                </w:p>
              </w:tc>
              <w:tc>
                <w:tcPr>
                  <w:tcW w:w="851" w:type="dxa"/>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0.086</w:t>
                  </w:r>
                </w:p>
              </w:tc>
              <w:tc>
                <w:tcPr>
                  <w:tcW w:w="1294" w:type="dxa"/>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535" w:type="dxa"/>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313" w:type="dxa"/>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412" w:type="dxa"/>
                  <w:tcBorders>
                    <w:top w:val="single" w:color="000000" w:sz="8" w:space="0"/>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317"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1008" w:type="dxa"/>
                  <w:gridSpan w:val="2"/>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2</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0.315</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317"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1008" w:type="dxa"/>
                  <w:gridSpan w:val="2"/>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x</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1.217</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3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1008" w:type="dxa"/>
                  <w:gridSpan w:val="2"/>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导热油炉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（有组织）</w:t>
                  </w: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颗粒物</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0.148</w:t>
                  </w:r>
                </w:p>
              </w:tc>
              <w:tc>
                <w:tcPr>
                  <w:tcW w:w="12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5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4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317"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1008" w:type="dxa"/>
                  <w:gridSpan w:val="2"/>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2</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0.540</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jc w:val="center"/>
              </w:trPr>
              <w:tc>
                <w:tcPr>
                  <w:tcW w:w="317"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008" w:type="dxa"/>
                  <w:gridSpan w:val="2"/>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x</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2.086</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3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1008" w:type="dxa"/>
                  <w:gridSpan w:val="2"/>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燃油减压加热炉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（有组织）</w:t>
                  </w: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颗粒物</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0.234</w:t>
                  </w:r>
                </w:p>
              </w:tc>
              <w:tc>
                <w:tcPr>
                  <w:tcW w:w="12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5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4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317"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p>
              </w:tc>
              <w:tc>
                <w:tcPr>
                  <w:tcW w:w="1008" w:type="dxa"/>
                  <w:gridSpan w:val="2"/>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2</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0.855</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317"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13"/>
                      <w:highlight w:val="none"/>
                      <w14:textFill>
                        <w14:solidFill>
                          <w14:schemeClr w14:val="tx1"/>
                        </w14:solidFill>
                      </w14:textFill>
                    </w:rPr>
                  </w:pPr>
                </w:p>
              </w:tc>
              <w:tc>
                <w:tcPr>
                  <w:tcW w:w="1008" w:type="dxa"/>
                  <w:gridSpan w:val="2"/>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zh-CN" w:eastAsia="zh-CN" w:bidi="zh-CN"/>
                      <w14:textFill>
                        <w14:solidFill>
                          <w14:schemeClr w14:val="tx1"/>
                        </w14:solidFill>
                      </w14:textFill>
                    </w:rPr>
                    <w:t>x</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1.217</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65" w:hRule="atLeast"/>
                <w:jc w:val="center"/>
              </w:trPr>
              <w:tc>
                <w:tcPr>
                  <w:tcW w:w="317"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p>
              </w:tc>
              <w:tc>
                <w:tcPr>
                  <w:tcW w:w="1725" w:type="dxa"/>
                  <w:gridSpan w:val="3"/>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非甲烷总烃</w:t>
                  </w:r>
                </w:p>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（无组织）</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0.28</w:t>
                  </w:r>
                </w:p>
              </w:tc>
              <w:tc>
                <w:tcPr>
                  <w:tcW w:w="1294"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w w:val="99"/>
                      <w:sz w:val="21"/>
                      <w:highlight w:val="none"/>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w w:val="99"/>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w w:val="99"/>
                      <w:sz w:val="21"/>
                      <w:highlight w:val="none"/>
                      <w:lang w:val="en-US" w:eastAsia="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w w:val="99"/>
                      <w:sz w:val="21"/>
                      <w:szCs w:val="22"/>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2"/>
                      <w:highlight w:val="none"/>
                      <w:lang w:val="en-US" w:eastAsia="zh-CN" w:bidi="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317"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固废</w:t>
                  </w:r>
                </w:p>
              </w:tc>
              <w:tc>
                <w:tcPr>
                  <w:tcW w:w="1725" w:type="dxa"/>
                  <w:gridSpan w:val="3"/>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14:textFill>
                        <w14:solidFill>
                          <w14:schemeClr w14:val="tx1"/>
                        </w14:solidFill>
                      </w14:textFill>
                    </w:rPr>
                  </w:pPr>
                  <w:r>
                    <w:rPr>
                      <w:rFonts w:hint="default" w:ascii="Times New Roman" w:hAnsi="Times New Roman" w:eastAsia="宋体" w:cs="Times New Roman"/>
                      <w:color w:val="000000" w:themeColor="text1"/>
                      <w:sz w:val="21"/>
                      <w:highlight w:val="none"/>
                      <w14:textFill>
                        <w14:solidFill>
                          <w14:schemeClr w14:val="tx1"/>
                        </w14:solidFill>
                      </w14:textFill>
                    </w:rPr>
                    <w:t>生活垃圾</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12.6</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313"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412"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3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862" w:type="dxa"/>
                  <w:vMerge w:val="restart"/>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危险废物</w:t>
                  </w:r>
                </w:p>
              </w:tc>
              <w:tc>
                <w:tcPr>
                  <w:tcW w:w="863" w:type="dxa"/>
                  <w:gridSpan w:val="2"/>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油泥</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1</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4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3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
                      <w:szCs w:val="2"/>
                      <w:highlight w:val="none"/>
                      <w14:textFill>
                        <w14:solidFill>
                          <w14:schemeClr w14:val="tx1"/>
                        </w14:solidFill>
                      </w14:textFill>
                    </w:rPr>
                  </w:pPr>
                </w:p>
              </w:tc>
              <w:tc>
                <w:tcPr>
                  <w:tcW w:w="862" w:type="dxa"/>
                  <w:vMerge w:val="continue"/>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p>
              </w:tc>
              <w:tc>
                <w:tcPr>
                  <w:tcW w:w="863" w:type="dxa"/>
                  <w:gridSpan w:val="2"/>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000000" w:themeColor="text1"/>
                      <w:sz w:val="21"/>
                      <w:szCs w:val="22"/>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highlight w:val="none"/>
                      <w:lang w:eastAsia="zh-CN"/>
                      <w14:textFill>
                        <w14:solidFill>
                          <w14:schemeClr w14:val="tx1"/>
                        </w14:solidFill>
                      </w14:textFill>
                    </w:rPr>
                    <w:t>废白土</w:t>
                  </w:r>
                </w:p>
              </w:tc>
              <w:tc>
                <w:tcPr>
                  <w:tcW w:w="851"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200</w:t>
                  </w:r>
                </w:p>
              </w:tc>
              <w:tc>
                <w:tcPr>
                  <w:tcW w:w="1294"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535"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highlight w:val="none"/>
                      <w:lang w:val="en-US" w:eastAsia="zh-CN"/>
                      <w14:textFill>
                        <w14:solidFill>
                          <w14:schemeClr w14:val="tx1"/>
                        </w14:solidFill>
                      </w14:textFill>
                    </w:rPr>
                    <w:t>0</w:t>
                  </w:r>
                </w:p>
              </w:tc>
              <w:tc>
                <w:tcPr>
                  <w:tcW w:w="1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41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bl>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ind w:firstLine="560"/>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p>
            <w:pPr>
              <w:pStyle w:val="11"/>
              <w:spacing w:line="360" w:lineRule="auto"/>
              <w:jc w:val="both"/>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65772"/>
    <w:rsid w:val="3116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jc w:val="both"/>
    </w:pPr>
    <w:rPr>
      <w:rFonts w:ascii="Times New Roman" w:hAnsi="Times New Roman" w:eastAsia="宋体" w:cs="宋体"/>
      <w:sz w:val="28"/>
      <w:szCs w:val="22"/>
      <w:lang w:val="en-US" w:eastAsia="zh-CN" w:bidi="ar-SA"/>
    </w:rPr>
  </w:style>
  <w:style w:type="paragraph" w:styleId="4">
    <w:name w:val="heading 1"/>
    <w:basedOn w:val="1"/>
    <w:next w:val="1"/>
    <w:qFormat/>
    <w:uiPriority w:val="0"/>
    <w:pPr>
      <w:keepNext/>
      <w:spacing w:line="240" w:lineRule="atLeast"/>
      <w:jc w:val="center"/>
      <w:outlineLvl w:val="0"/>
    </w:pPr>
    <w:rPr>
      <w:rFonts w:cs="Times New Roman"/>
      <w:sz w:val="21"/>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ahoma" w:hAnsi="Tahoma"/>
      <w:sz w:val="22"/>
    </w:rPr>
  </w:style>
  <w:style w:type="paragraph" w:customStyle="1" w:styleId="3">
    <w:name w:val="Body Text 21"/>
    <w:basedOn w:val="1"/>
    <w:qFormat/>
    <w:uiPriority w:val="0"/>
    <w:pPr>
      <w:spacing w:after="120" w:line="480" w:lineRule="auto"/>
    </w:pPr>
  </w:style>
  <w:style w:type="paragraph" w:styleId="5">
    <w:name w:val="Body Text Indent"/>
    <w:basedOn w:val="1"/>
    <w:qFormat/>
    <w:uiPriority w:val="0"/>
    <w:pPr>
      <w:ind w:left="420" w:leftChars="200"/>
    </w:pPr>
  </w:style>
  <w:style w:type="paragraph" w:styleId="6">
    <w:name w:val="Body Text First Indent 2"/>
    <w:basedOn w:val="5"/>
    <w:next w:val="2"/>
    <w:qFormat/>
    <w:uiPriority w:val="0"/>
    <w:pPr>
      <w:ind w:firstLine="420" w:firstLineChars="200"/>
    </w:pPr>
  </w:style>
  <w:style w:type="paragraph" w:customStyle="1" w:styleId="9">
    <w:name w:val="样式 样式 (中文) 仿宋_GB2312 居中1 + 小四"/>
    <w:basedOn w:val="1"/>
    <w:qFormat/>
    <w:uiPriority w:val="0"/>
    <w:pPr>
      <w:tabs>
        <w:tab w:val="left" w:pos="1088"/>
      </w:tabs>
      <w:jc w:val="center"/>
    </w:pPr>
    <w:rPr>
      <w:color w:val="000000"/>
      <w:szCs w:val="21"/>
    </w:rPr>
  </w:style>
  <w:style w:type="paragraph" w:customStyle="1" w:styleId="10">
    <w:name w:val="文本块1"/>
    <w:basedOn w:val="1"/>
    <w:qFormat/>
    <w:uiPriority w:val="0"/>
    <w:pPr>
      <w:widowControl w:val="0"/>
      <w:adjustRightInd/>
      <w:snapToGrid/>
      <w:spacing w:line="400" w:lineRule="atLeast"/>
      <w:ind w:left="-66" w:right="-42"/>
    </w:pPr>
    <w:rPr>
      <w:rFonts w:ascii="Calibri" w:hAnsi="Calibri" w:cs="Times New Roman"/>
      <w:kern w:val="2"/>
      <w:szCs w:val="20"/>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2020-05-19T10:22:00Z</dcterms:created>
  <dc:creator>mhh</dc:creator>
  <cp:lastModifiedBy>mhh</cp:lastModifiedBy>
  <dcterms:modified xsi:type="dcterms:W3CDTF">2020-05-19T10:23:30Z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