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31" w:type="dxa"/>
        <w:tblInd w:w="0" w:type="dxa"/>
        <w:tblLayout w:type="fixed"/>
        <w:tblCellMar>
          <w:top w:w="0" w:type="dxa"/>
          <w:left w:w="108" w:type="dxa"/>
          <w:bottom w:w="0" w:type="dxa"/>
          <w:right w:w="108" w:type="dxa"/>
        </w:tblCellMar>
      </w:tblPr>
      <w:tblGrid>
        <w:gridCol w:w="618"/>
        <w:gridCol w:w="2561"/>
        <w:gridCol w:w="600"/>
        <w:gridCol w:w="4278"/>
        <w:gridCol w:w="1174"/>
      </w:tblGrid>
      <w:tr>
        <w:tblPrEx>
          <w:tblLayout w:type="fixed"/>
          <w:tblCellMar>
            <w:top w:w="0" w:type="dxa"/>
            <w:left w:w="108" w:type="dxa"/>
            <w:bottom w:w="0" w:type="dxa"/>
            <w:right w:w="108" w:type="dxa"/>
          </w:tblCellMar>
        </w:tblPrEx>
        <w:trPr>
          <w:trHeight w:val="522" w:hRule="atLeast"/>
        </w:trPr>
        <w:tc>
          <w:tcPr>
            <w:tcW w:w="9231" w:type="dxa"/>
            <w:gridSpan w:val="5"/>
            <w:tcBorders>
              <w:top w:val="nil"/>
              <w:left w:val="nil"/>
              <w:bottom w:val="nil"/>
              <w:right w:val="nil"/>
            </w:tcBorders>
            <w:shd w:val="clear" w:color="auto" w:fill="auto"/>
            <w:noWrap/>
            <w:vAlign w:val="center"/>
          </w:tcPr>
          <w:p>
            <w:pPr>
              <w:widowControl/>
              <w:spacing w:line="560" w:lineRule="exact"/>
              <w:jc w:val="left"/>
              <w:rPr>
                <w:rFonts w:ascii="黑体" w:hAnsi="黑体" w:eastAsia="黑体" w:cs="宋体"/>
                <w:kern w:val="0"/>
                <w:sz w:val="32"/>
                <w:szCs w:val="32"/>
              </w:rPr>
            </w:pPr>
            <w:r>
              <w:rPr>
                <w:rFonts w:hint="eastAsia" w:ascii="黑体" w:hAnsi="黑体" w:eastAsia="黑体" w:cs="宋体"/>
                <w:kern w:val="0"/>
                <w:sz w:val="32"/>
                <w:szCs w:val="32"/>
              </w:rPr>
              <w:t>附件1</w:t>
            </w:r>
            <w:bookmarkStart w:id="0" w:name="_GoBack"/>
            <w:bookmarkEnd w:id="0"/>
          </w:p>
        </w:tc>
      </w:tr>
      <w:tr>
        <w:tblPrEx>
          <w:tblLayout w:type="fixed"/>
          <w:tblCellMar>
            <w:top w:w="0" w:type="dxa"/>
            <w:left w:w="108" w:type="dxa"/>
            <w:bottom w:w="0" w:type="dxa"/>
            <w:right w:w="108" w:type="dxa"/>
          </w:tblCellMar>
        </w:tblPrEx>
        <w:trPr>
          <w:trHeight w:val="1159" w:hRule="atLeast"/>
        </w:trPr>
        <w:tc>
          <w:tcPr>
            <w:tcW w:w="9231" w:type="dxa"/>
            <w:gridSpan w:val="5"/>
            <w:tcBorders>
              <w:top w:val="nil"/>
              <w:left w:val="nil"/>
              <w:bottom w:val="single" w:color="auto" w:sz="4" w:space="0"/>
              <w:right w:val="nil"/>
            </w:tcBorders>
            <w:shd w:val="clear" w:color="auto" w:fill="auto"/>
            <w:vAlign w:val="center"/>
          </w:tcPr>
          <w:p>
            <w:pPr>
              <w:widowControl/>
              <w:spacing w:line="440" w:lineRule="exact"/>
              <w:jc w:val="center"/>
              <w:rPr>
                <w:rFonts w:ascii="楷体_GB2312" w:hAnsi="宋体" w:eastAsia="楷体_GB2312" w:cs="宋体"/>
                <w:kern w:val="0"/>
                <w:sz w:val="32"/>
                <w:szCs w:val="32"/>
              </w:rPr>
            </w:pPr>
            <w:r>
              <w:rPr>
                <w:rFonts w:hint="eastAsia" w:ascii="方正小标宋简体" w:hAnsi="宋体" w:eastAsia="方正小标宋简体" w:cs="宋体"/>
                <w:kern w:val="0"/>
                <w:sz w:val="44"/>
                <w:szCs w:val="44"/>
              </w:rPr>
              <w:t>环境影响评价审批正面清单</w:t>
            </w:r>
            <w:r>
              <w:rPr>
                <w:rFonts w:hint="eastAsia" w:ascii="方正小标宋简体" w:hAnsi="宋体" w:eastAsia="方正小标宋简体" w:cs="宋体"/>
                <w:kern w:val="0"/>
                <w:sz w:val="44"/>
                <w:szCs w:val="44"/>
              </w:rPr>
              <w:br w:type="textWrapping"/>
            </w:r>
            <w:r>
              <w:rPr>
                <w:rFonts w:hint="eastAsia" w:ascii="楷体_GB2312" w:hAnsi="宋体" w:eastAsia="楷体_GB2312" w:cs="宋体"/>
                <w:kern w:val="0"/>
                <w:sz w:val="32"/>
                <w:szCs w:val="32"/>
              </w:rPr>
              <w:t>（环评</w:t>
            </w:r>
            <w:r>
              <w:rPr>
                <w:rFonts w:hint="eastAsia" w:ascii="楷体_GB2312" w:hAnsi="宋体" w:eastAsia="楷体_GB2312" w:cs="宋体"/>
                <w:kern w:val="0"/>
                <w:sz w:val="32"/>
                <w:szCs w:val="32"/>
                <w:lang w:eastAsia="zh-CN"/>
              </w:rPr>
              <w:t>豁免管理</w:t>
            </w:r>
            <w:r>
              <w:rPr>
                <w:rFonts w:hint="eastAsia" w:ascii="楷体_GB2312" w:hAnsi="宋体" w:eastAsia="楷体_GB2312" w:cs="宋体"/>
                <w:kern w:val="0"/>
                <w:sz w:val="32"/>
                <w:szCs w:val="32"/>
              </w:rPr>
              <w:t>试点范围）</w:t>
            </w:r>
          </w:p>
        </w:tc>
      </w:tr>
      <w:tr>
        <w:tblPrEx>
          <w:tblLayout w:type="fixed"/>
          <w:tblCellMar>
            <w:top w:w="0" w:type="dxa"/>
            <w:left w:w="108" w:type="dxa"/>
            <w:bottom w:w="0" w:type="dxa"/>
            <w:right w:w="108" w:type="dxa"/>
          </w:tblCellMar>
        </w:tblPrEx>
        <w:trPr>
          <w:trHeight w:val="443"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序号</w:t>
            </w:r>
          </w:p>
        </w:tc>
        <w:tc>
          <w:tcPr>
            <w:tcW w:w="3161"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《名录》项目类别号</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项目类别</w:t>
            </w:r>
          </w:p>
        </w:tc>
        <w:tc>
          <w:tcPr>
            <w:tcW w:w="1174"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黑体" w:hAnsi="黑体" w:eastAsia="黑体" w:cs="宋体"/>
                <w:kern w:val="0"/>
                <w:sz w:val="24"/>
                <w:szCs w:val="24"/>
              </w:rPr>
            </w:pPr>
            <w:r>
              <w:rPr>
                <w:rFonts w:hint="eastAsia" w:ascii="黑体" w:hAnsi="黑体" w:eastAsia="黑体" w:cs="宋体"/>
                <w:kern w:val="0"/>
                <w:sz w:val="24"/>
                <w:szCs w:val="24"/>
              </w:rPr>
              <w:t>文件类别</w:t>
            </w: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1</w:t>
            </w:r>
          </w:p>
        </w:tc>
        <w:tc>
          <w:tcPr>
            <w:tcW w:w="25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二、农副食品加工业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粮食及饲料加工</w:t>
            </w:r>
          </w:p>
        </w:tc>
        <w:tc>
          <w:tcPr>
            <w:tcW w:w="1174" w:type="dxa"/>
            <w:vMerge w:val="restart"/>
            <w:tcBorders>
              <w:top w:val="single" w:color="auto" w:sz="4" w:space="0"/>
              <w:left w:val="nil"/>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登记表</w:t>
            </w: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2</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植物油加工</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3</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肉禽类加工</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4</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淀粉、淀粉糖</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5</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豆制品制造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6</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10</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蛋品加工</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7</w:t>
            </w:r>
          </w:p>
        </w:tc>
        <w:tc>
          <w:tcPr>
            <w:tcW w:w="25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三、食品制造业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方便食品制造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8</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乳制品制造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val="en-US" w:eastAsia="zh-CN"/>
              </w:rPr>
              <w:t>9</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调味品、发酵制品制造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10</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饲料添加剂、食品添加剂制造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营养食品、保健食品、冷冻饮品、食用冰制造及其他食品制造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w:t>
            </w:r>
          </w:p>
        </w:tc>
        <w:tc>
          <w:tcPr>
            <w:tcW w:w="2561" w:type="dxa"/>
            <w:vMerge w:val="restart"/>
            <w:tcBorders>
              <w:top w:val="single" w:color="auto" w:sz="4" w:space="0"/>
              <w:left w:val="nil"/>
              <w:right w:val="single" w:color="auto" w:sz="4" w:space="0"/>
            </w:tcBorders>
            <w:shd w:val="clear" w:color="auto" w:fill="auto"/>
            <w:vAlign w:val="center"/>
          </w:tcPr>
          <w:p>
            <w:pPr>
              <w:widowControl/>
              <w:spacing w:line="320" w:lineRule="exac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四、酒、饮料制造业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酒精饮料及酒类制造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13</w:t>
            </w:r>
          </w:p>
        </w:tc>
        <w:tc>
          <w:tcPr>
            <w:tcW w:w="2561" w:type="dxa"/>
            <w:vMerge w:val="continue"/>
            <w:tcBorders>
              <w:left w:val="nil"/>
              <w:bottom w:val="single" w:color="auto" w:sz="4" w:space="0"/>
              <w:right w:val="single" w:color="auto" w:sz="4" w:space="0"/>
            </w:tcBorders>
            <w:shd w:val="clear" w:color="auto" w:fill="auto"/>
            <w:vAlign w:val="center"/>
          </w:tcPr>
          <w:p>
            <w:pPr>
              <w:widowControl/>
              <w:spacing w:line="320" w:lineRule="exact"/>
              <w:rPr>
                <w:rFonts w:hint="eastAsia"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18</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果菜汁类及其他软饮料制造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14</w:t>
            </w:r>
          </w:p>
        </w:tc>
        <w:tc>
          <w:tcPr>
            <w:tcW w:w="256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七、纺织服装、服饰业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21</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服装制造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15</w:t>
            </w:r>
          </w:p>
        </w:tc>
        <w:tc>
          <w:tcPr>
            <w:tcW w:w="256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九、木材加工和木、竹、藤、棕、草制品业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26</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lang w:eastAsia="zh-CN"/>
              </w:rPr>
              <w:t>竹、藤、棕、草制品制造</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680"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6</w:t>
            </w:r>
          </w:p>
        </w:tc>
        <w:tc>
          <w:tcPr>
            <w:tcW w:w="256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十三、文教、工美、体育和娱乐用品制造业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32</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工艺品制造</w:t>
            </w:r>
          </w:p>
        </w:tc>
        <w:tc>
          <w:tcPr>
            <w:tcW w:w="1174" w:type="dxa"/>
            <w:vMerge w:val="continue"/>
            <w:tcBorders>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17</w:t>
            </w:r>
          </w:p>
        </w:tc>
        <w:tc>
          <w:tcPr>
            <w:tcW w:w="256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二十九、仪器仪表制造业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85</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仪器仪表制造</w:t>
            </w:r>
          </w:p>
        </w:tc>
        <w:tc>
          <w:tcPr>
            <w:tcW w:w="1174" w:type="dxa"/>
            <w:vMerge w:val="restart"/>
            <w:tcBorders>
              <w:top w:val="single" w:color="auto" w:sz="4" w:space="0"/>
              <w:left w:val="nil"/>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登记表</w:t>
            </w: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18</w:t>
            </w:r>
          </w:p>
        </w:tc>
        <w:tc>
          <w:tcPr>
            <w:tcW w:w="2561"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rPr>
              <w:t>三十</w:t>
            </w:r>
            <w:r>
              <w:rPr>
                <w:rFonts w:hint="eastAsia" w:ascii="仿宋_GB2312" w:hAnsi="宋体" w:eastAsia="仿宋_GB2312" w:cs="宋体"/>
                <w:kern w:val="0"/>
                <w:sz w:val="24"/>
                <w:szCs w:val="24"/>
                <w:lang w:eastAsia="zh-CN"/>
              </w:rPr>
              <w:t>五</w:t>
            </w:r>
            <w:r>
              <w:rPr>
                <w:rFonts w:hint="eastAsia" w:ascii="仿宋_GB2312" w:hAnsi="宋体" w:eastAsia="仿宋_GB2312" w:cs="宋体"/>
                <w:kern w:val="0"/>
                <w:sz w:val="24"/>
                <w:szCs w:val="24"/>
              </w:rPr>
              <w:t>、</w:t>
            </w:r>
            <w:r>
              <w:rPr>
                <w:rFonts w:hint="eastAsia" w:ascii="仿宋_GB2312" w:hAnsi="宋体" w:eastAsia="仿宋_GB2312" w:cs="宋体"/>
                <w:kern w:val="0"/>
                <w:sz w:val="24"/>
                <w:szCs w:val="24"/>
                <w:lang w:eastAsia="zh-CN"/>
              </w:rPr>
              <w:t>公共设施管理业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105</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城镇粪便处置工程</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19</w:t>
            </w:r>
          </w:p>
        </w:tc>
        <w:tc>
          <w:tcPr>
            <w:tcW w:w="256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四十、社会事业与服务业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113</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学校、幼儿园、托儿所、福利院、养老院</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114</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批发、零售市场</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21</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115</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餐饮、娱乐、洗浴场所</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22</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116</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宾馆饭店及医疗机构衣物集中洗涤、餐具集中清洗消毒</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23</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118</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展览馆、博物馆、美术馆、影剧院、音乐厅、文化馆、图书馆、档案馆、纪念馆、体育场、体育馆等</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24</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119</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公园（含动物园、植物园、主题公园）</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25</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123</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驾驶员训练基地、公交枢纽、大型停车场、机动车检测场</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26</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124</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加油、加气站</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27</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125</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洗车场</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28</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126</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汽车、摩托车维修场所</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29</w:t>
            </w:r>
          </w:p>
        </w:tc>
        <w:tc>
          <w:tcPr>
            <w:tcW w:w="256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仿宋_GB2312" w:hAnsi="宋体" w:eastAsia="仿宋_GB2312" w:cs="宋体"/>
                <w:kern w:val="0"/>
                <w:sz w:val="24"/>
                <w:szCs w:val="24"/>
              </w:rPr>
            </w:pP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127</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殡仪馆、陵园、公墓</w:t>
            </w:r>
          </w:p>
        </w:tc>
        <w:tc>
          <w:tcPr>
            <w:tcW w:w="1174" w:type="dxa"/>
            <w:vMerge w:val="continue"/>
            <w:tcBorders>
              <w:left w:val="nil"/>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737" w:hRule="atLeast"/>
        </w:trPr>
        <w:tc>
          <w:tcPr>
            <w:tcW w:w="61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30</w:t>
            </w:r>
          </w:p>
        </w:tc>
        <w:tc>
          <w:tcPr>
            <w:tcW w:w="25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ascii="仿宋_GB2312" w:hAnsi="宋体" w:eastAsia="仿宋_GB2312" w:cs="宋体"/>
                <w:kern w:val="0"/>
                <w:sz w:val="24"/>
                <w:szCs w:val="24"/>
              </w:rPr>
            </w:pPr>
            <w:r>
              <w:rPr>
                <w:rFonts w:hint="eastAsia" w:ascii="仿宋_GB2312" w:hAnsi="宋体" w:eastAsia="仿宋_GB2312" w:cs="宋体"/>
                <w:kern w:val="0"/>
                <w:sz w:val="24"/>
                <w:szCs w:val="24"/>
              </w:rPr>
              <w:t>四十九、交通运输业、管道运输业和仓储业</w:t>
            </w:r>
          </w:p>
        </w:tc>
        <w:tc>
          <w:tcPr>
            <w:tcW w:w="600"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rPr>
              <w:t>1</w:t>
            </w:r>
            <w:r>
              <w:rPr>
                <w:rFonts w:hint="eastAsia" w:ascii="仿宋_GB2312" w:hAnsi="宋体" w:eastAsia="仿宋_GB2312" w:cs="宋体"/>
                <w:kern w:val="0"/>
                <w:sz w:val="24"/>
                <w:szCs w:val="24"/>
                <w:lang w:val="en-US" w:eastAsia="zh-CN"/>
              </w:rPr>
              <w:t>80</w:t>
            </w:r>
          </w:p>
        </w:tc>
        <w:tc>
          <w:tcPr>
            <w:tcW w:w="4278" w:type="dxa"/>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仓储（不含油库、气库、煤炭储存）</w:t>
            </w:r>
          </w:p>
        </w:tc>
        <w:tc>
          <w:tcPr>
            <w:tcW w:w="1174" w:type="dxa"/>
            <w:vMerge w:val="continue"/>
            <w:tcBorders>
              <w:left w:val="nil"/>
              <w:bottom w:val="single" w:color="auto" w:sz="4" w:space="0"/>
              <w:right w:val="single" w:color="auto" w:sz="4" w:space="0"/>
            </w:tcBorders>
            <w:shd w:val="clear" w:color="auto" w:fill="auto"/>
            <w:vAlign w:val="center"/>
          </w:tcPr>
          <w:p>
            <w:pPr>
              <w:widowControl/>
              <w:spacing w:line="320" w:lineRule="exact"/>
              <w:jc w:val="center"/>
              <w:rPr>
                <w:rFonts w:ascii="仿宋_GB2312" w:hAnsi="宋体" w:eastAsia="仿宋_GB2312" w:cs="宋体"/>
                <w:kern w:val="0"/>
                <w:sz w:val="24"/>
                <w:szCs w:val="24"/>
              </w:rPr>
            </w:pPr>
          </w:p>
        </w:tc>
      </w:tr>
      <w:tr>
        <w:tblPrEx>
          <w:tblLayout w:type="fixed"/>
          <w:tblCellMar>
            <w:top w:w="0" w:type="dxa"/>
            <w:left w:w="108" w:type="dxa"/>
            <w:bottom w:w="0" w:type="dxa"/>
            <w:right w:w="108" w:type="dxa"/>
          </w:tblCellMar>
        </w:tblPrEx>
        <w:trPr>
          <w:trHeight w:val="2040" w:hRule="exact"/>
        </w:trPr>
        <w:tc>
          <w:tcPr>
            <w:tcW w:w="317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20" w:lineRule="exac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疫情防控急需的医疗卫生、物资生产、研究试验等三类建设项目</w:t>
            </w:r>
          </w:p>
        </w:tc>
        <w:tc>
          <w:tcPr>
            <w:tcW w:w="6052"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320" w:lineRule="exact"/>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eastAsia="zh-CN"/>
              </w:rPr>
              <w:t>按照《关于做好新型冠状病毒感染肺炎疫情防控期间有关建设项目环境影响评价应急服务保障的通知》（环办环评函〔</w:t>
            </w:r>
            <w:r>
              <w:rPr>
                <w:rFonts w:hint="eastAsia" w:ascii="仿宋_GB2312" w:hAnsi="宋体" w:eastAsia="仿宋_GB2312" w:cs="宋体"/>
                <w:kern w:val="0"/>
                <w:sz w:val="24"/>
                <w:szCs w:val="24"/>
                <w:lang w:val="en-US" w:eastAsia="zh-CN"/>
              </w:rPr>
              <w:t>2020</w:t>
            </w:r>
            <w:r>
              <w:rPr>
                <w:rFonts w:hint="eastAsia" w:ascii="仿宋_GB2312" w:hAnsi="宋体" w:eastAsia="仿宋_GB2312" w:cs="宋体"/>
                <w:kern w:val="0"/>
                <w:sz w:val="24"/>
                <w:szCs w:val="24"/>
                <w:lang w:eastAsia="zh-CN"/>
              </w:rPr>
              <w:t>〕</w:t>
            </w:r>
            <w:r>
              <w:rPr>
                <w:rFonts w:hint="eastAsia" w:ascii="仿宋_GB2312" w:hAnsi="宋体" w:eastAsia="仿宋_GB2312" w:cs="宋体"/>
                <w:kern w:val="0"/>
                <w:sz w:val="24"/>
                <w:szCs w:val="24"/>
                <w:lang w:val="en-US" w:eastAsia="zh-CN"/>
              </w:rPr>
              <w:t>56号）执行。</w:t>
            </w:r>
          </w:p>
        </w:tc>
      </w:tr>
    </w:tbl>
    <w:p>
      <w:pPr>
        <w:spacing w:line="560" w:lineRule="exact"/>
        <w:rPr>
          <w:rFonts w:ascii="仿宋_GB2312" w:eastAsia="仿宋_GB2312"/>
          <w:sz w:val="32"/>
          <w:szCs w:val="32"/>
        </w:rPr>
      </w:pPr>
    </w:p>
    <w:sectPr>
      <w:footerReference r:id="rId3" w:type="default"/>
      <w:pgSz w:w="11907" w:h="16840"/>
      <w:pgMar w:top="1814" w:right="1446" w:bottom="1588" w:left="1446" w:header="851" w:footer="851" w:gutter="0"/>
      <w:cols w:space="425" w:num="1"/>
      <w:titlePg/>
      <w:docGrid w:type="linesAndChar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7291" w:y="332"/>
      <w:ind w:firstLine="560"/>
      <w:rPr>
        <w:rStyle w:val="8"/>
        <w:rFonts w:ascii="宋体" w:hAnsi="宋体" w:eastAsia="宋体"/>
        <w:sz w:val="28"/>
        <w:szCs w:val="28"/>
      </w:rPr>
    </w:pPr>
    <w:r>
      <w:rPr>
        <w:rStyle w:val="8"/>
        <w:rFonts w:hint="eastAsia"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3</w:t>
    </w:r>
    <w:r>
      <w:rPr>
        <w:rStyle w:val="8"/>
        <w:rFonts w:ascii="宋体" w:hAnsi="宋体" w:eastAsia="宋体"/>
        <w:sz w:val="28"/>
        <w:szCs w:val="28"/>
      </w:rPr>
      <w:fldChar w:fldCharType="end"/>
    </w:r>
    <w:r>
      <w:rPr>
        <w:rStyle w:val="8"/>
        <w:rFonts w:hint="eastAsia" w:ascii="宋体" w:hAnsi="宋体" w:eastAsia="宋体"/>
        <w:sz w:val="28"/>
        <w:szCs w:val="28"/>
      </w:rPr>
      <w:t xml:space="preserve"> —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83799"/>
    <w:rsid w:val="00033119"/>
    <w:rsid w:val="000753E4"/>
    <w:rsid w:val="00077668"/>
    <w:rsid w:val="00083799"/>
    <w:rsid w:val="001003D5"/>
    <w:rsid w:val="00122C33"/>
    <w:rsid w:val="00142F7A"/>
    <w:rsid w:val="00162327"/>
    <w:rsid w:val="00182B2D"/>
    <w:rsid w:val="001A25B9"/>
    <w:rsid w:val="001B033E"/>
    <w:rsid w:val="00203DF9"/>
    <w:rsid w:val="00220098"/>
    <w:rsid w:val="00233638"/>
    <w:rsid w:val="00234C5D"/>
    <w:rsid w:val="00244421"/>
    <w:rsid w:val="002532C4"/>
    <w:rsid w:val="002A2951"/>
    <w:rsid w:val="002C13E0"/>
    <w:rsid w:val="002F159C"/>
    <w:rsid w:val="00320887"/>
    <w:rsid w:val="00320A19"/>
    <w:rsid w:val="00363293"/>
    <w:rsid w:val="00370AAB"/>
    <w:rsid w:val="00377FDC"/>
    <w:rsid w:val="003A641D"/>
    <w:rsid w:val="003D12FA"/>
    <w:rsid w:val="00421880"/>
    <w:rsid w:val="004B6129"/>
    <w:rsid w:val="004D502F"/>
    <w:rsid w:val="004E5B08"/>
    <w:rsid w:val="00506317"/>
    <w:rsid w:val="00534EA9"/>
    <w:rsid w:val="0054321D"/>
    <w:rsid w:val="00557134"/>
    <w:rsid w:val="00563A27"/>
    <w:rsid w:val="005769C4"/>
    <w:rsid w:val="00612D60"/>
    <w:rsid w:val="006B2334"/>
    <w:rsid w:val="00767961"/>
    <w:rsid w:val="00776154"/>
    <w:rsid w:val="00793877"/>
    <w:rsid w:val="0084280B"/>
    <w:rsid w:val="0085178B"/>
    <w:rsid w:val="008A087D"/>
    <w:rsid w:val="008E1055"/>
    <w:rsid w:val="008E2466"/>
    <w:rsid w:val="0091720F"/>
    <w:rsid w:val="0094487E"/>
    <w:rsid w:val="00944CD1"/>
    <w:rsid w:val="00955144"/>
    <w:rsid w:val="00966F22"/>
    <w:rsid w:val="00A001D0"/>
    <w:rsid w:val="00A2380F"/>
    <w:rsid w:val="00A322B9"/>
    <w:rsid w:val="00A42D4B"/>
    <w:rsid w:val="00AC28C4"/>
    <w:rsid w:val="00B714CC"/>
    <w:rsid w:val="00BA3EB4"/>
    <w:rsid w:val="00BB5A81"/>
    <w:rsid w:val="00BD3896"/>
    <w:rsid w:val="00C35BD3"/>
    <w:rsid w:val="00C40628"/>
    <w:rsid w:val="00C53188"/>
    <w:rsid w:val="00CA0015"/>
    <w:rsid w:val="00CB0643"/>
    <w:rsid w:val="00CB6EC9"/>
    <w:rsid w:val="00CF5A2A"/>
    <w:rsid w:val="00D04070"/>
    <w:rsid w:val="00D3234F"/>
    <w:rsid w:val="00D410EE"/>
    <w:rsid w:val="00D4219C"/>
    <w:rsid w:val="00D51451"/>
    <w:rsid w:val="00DA7412"/>
    <w:rsid w:val="00DA7ACD"/>
    <w:rsid w:val="00DB7BCC"/>
    <w:rsid w:val="00DC1C49"/>
    <w:rsid w:val="00E23BE6"/>
    <w:rsid w:val="00E37204"/>
    <w:rsid w:val="00E45AE7"/>
    <w:rsid w:val="00E50B5A"/>
    <w:rsid w:val="00E652F9"/>
    <w:rsid w:val="00EC5616"/>
    <w:rsid w:val="00ED6B42"/>
    <w:rsid w:val="00ED737B"/>
    <w:rsid w:val="00EF6D1F"/>
    <w:rsid w:val="00F33F70"/>
    <w:rsid w:val="00F33FC8"/>
    <w:rsid w:val="00F924A0"/>
    <w:rsid w:val="00F958D7"/>
    <w:rsid w:val="00FA2165"/>
    <w:rsid w:val="4D5A53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1"/>
    <w:semiHidden/>
    <w:unhideWhenUsed/>
    <w:qFormat/>
    <w:uiPriority w:val="9"/>
    <w:pPr>
      <w:keepNext/>
      <w:keepLines/>
      <w:spacing w:before="260" w:after="260" w:line="416" w:lineRule="auto"/>
      <w:outlineLvl w:val="2"/>
    </w:pPr>
    <w:rPr>
      <w:b/>
      <w:bCs/>
      <w:sz w:val="32"/>
      <w:szCs w:val="32"/>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styleId="9">
    <w:name w:val="List Paragraph"/>
    <w:basedOn w:val="1"/>
    <w:qFormat/>
    <w:uiPriority w:val="34"/>
    <w:pPr>
      <w:ind w:firstLine="420" w:firstLineChars="200"/>
    </w:pPr>
  </w:style>
  <w:style w:type="paragraph" w:customStyle="1" w:styleId="10">
    <w:name w:val="Char Char1 Char Char"/>
    <w:basedOn w:val="2"/>
    <w:qFormat/>
    <w:uiPriority w:val="0"/>
    <w:pPr>
      <w:tabs>
        <w:tab w:val="left" w:pos="360"/>
        <w:tab w:val="left" w:pos="900"/>
      </w:tabs>
      <w:snapToGrid w:val="0"/>
      <w:spacing w:before="120" w:after="120" w:line="360" w:lineRule="auto"/>
      <w:ind w:left="542" w:leftChars="-12" w:firstLine="200" w:firstLineChars="200"/>
      <w:jc w:val="left"/>
    </w:pPr>
    <w:rPr>
      <w:rFonts w:ascii="Times New Roman" w:hAnsi="Times New Roman" w:eastAsia="黑体" w:cs="Times New Roman"/>
      <w:b w:val="0"/>
      <w:bCs w:val="0"/>
      <w:snapToGrid w:val="0"/>
      <w:sz w:val="24"/>
      <w:szCs w:val="24"/>
    </w:rPr>
  </w:style>
  <w:style w:type="character" w:customStyle="1" w:styleId="11">
    <w:name w:val="标题 3 Char"/>
    <w:basedOn w:val="7"/>
    <w:link w:val="2"/>
    <w:semiHidden/>
    <w:qFormat/>
    <w:uiPriority w:val="9"/>
    <w:rPr>
      <w:b/>
      <w:bCs/>
      <w:sz w:val="32"/>
      <w:szCs w:val="32"/>
    </w:rPr>
  </w:style>
  <w:style w:type="character" w:customStyle="1" w:styleId="12">
    <w:name w:val="页眉 Char"/>
    <w:basedOn w:val="7"/>
    <w:link w:val="5"/>
    <w:qFormat/>
    <w:uiPriority w:val="99"/>
    <w:rPr>
      <w:sz w:val="18"/>
      <w:szCs w:val="18"/>
    </w:rPr>
  </w:style>
  <w:style w:type="character" w:customStyle="1" w:styleId="13">
    <w:name w:val="页脚 Char"/>
    <w:basedOn w:val="7"/>
    <w:link w:val="4"/>
    <w:qFormat/>
    <w:uiPriority w:val="99"/>
    <w:rPr>
      <w:sz w:val="18"/>
      <w:szCs w:val="18"/>
    </w:rPr>
  </w:style>
  <w:style w:type="character" w:customStyle="1" w:styleId="14">
    <w:name w:val="日期 Char"/>
    <w:basedOn w:val="7"/>
    <w:link w:val="3"/>
    <w:semiHidden/>
    <w:qFormat/>
    <w:uiPriority w:val="99"/>
  </w:style>
  <w:style w:type="paragraph" w:customStyle="1" w:styleId="15">
    <w:name w:val="Char Char1 Char Char1"/>
    <w:basedOn w:val="2"/>
    <w:qFormat/>
    <w:uiPriority w:val="0"/>
    <w:pPr>
      <w:tabs>
        <w:tab w:val="left" w:pos="360"/>
        <w:tab w:val="left" w:pos="900"/>
      </w:tabs>
      <w:snapToGrid w:val="0"/>
      <w:spacing w:before="120" w:after="120" w:line="360" w:lineRule="auto"/>
      <w:ind w:left="542" w:leftChars="-12" w:firstLine="200" w:firstLineChars="200"/>
      <w:jc w:val="left"/>
    </w:pPr>
    <w:rPr>
      <w:rFonts w:ascii="Times New Roman" w:hAnsi="Times New Roman" w:eastAsia="黑体" w:cs="Times New Roman"/>
      <w:b w:val="0"/>
      <w:bCs w:val="0"/>
      <w:snapToGrid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F01D3-F914-40CD-808D-C97073A7E462}">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225</Words>
  <Characters>1287</Characters>
  <Lines>10</Lines>
  <Paragraphs>3</Paragraphs>
  <TotalTime>6</TotalTime>
  <ScaleCrop>false</ScaleCrop>
  <LinksUpToDate>false</LinksUpToDate>
  <CharactersWithSpaces>1509</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2020-03-07T07:44:00Z</dcterms:created>
  <dc:creator>陈玉新(本处领导校对核稿人)</dc:creator>
  <cp:lastModifiedBy>20180432309</cp:lastModifiedBy>
  <dcterms:modified xsi:type="dcterms:W3CDTF">2020-03-31T09:18:55Z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