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outlineLvl w:val="0"/>
        <w:rPr>
          <w:rFonts w:eastAsia="宋体"/>
          <w:b/>
          <w:color w:val="000000" w:themeColor="text1"/>
          <w:sz w:val="30"/>
          <w:szCs w:val="30"/>
          <w14:textFill>
            <w14:solidFill>
              <w14:schemeClr w14:val="tx1"/>
            </w14:solidFill>
          </w14:textFill>
        </w:rPr>
      </w:pPr>
      <w:r>
        <w:rPr>
          <w:rFonts w:eastAsia="宋体"/>
          <w:b/>
          <w:color w:val="000000" w:themeColor="text1"/>
          <w:sz w:val="30"/>
          <w:szCs w:val="30"/>
          <w14:textFill>
            <w14:solidFill>
              <w14:schemeClr w14:val="tx1"/>
            </w14:solidFill>
          </w14:textFill>
        </w:rPr>
        <w:t>建设项目基本情况</w:t>
      </w:r>
    </w:p>
    <w:tbl>
      <w:tblPr>
        <w:tblStyle w:val="32"/>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
      <w:tblGrid>
        <w:gridCol w:w="1629"/>
        <w:gridCol w:w="1817"/>
        <w:gridCol w:w="658"/>
        <w:gridCol w:w="691"/>
        <w:gridCol w:w="1479"/>
        <w:gridCol w:w="1208"/>
        <w:gridCol w:w="231"/>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393"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项目名称</w:t>
            </w:r>
          </w:p>
        </w:tc>
        <w:tc>
          <w:tcPr>
            <w:tcW w:w="7454" w:type="dxa"/>
            <w:gridSpan w:val="7"/>
            <w:vAlign w:val="center"/>
          </w:tcPr>
          <w:p>
            <w:pPr>
              <w:snapToGrid w:val="0"/>
              <w:spacing w:line="276"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玛纳斯县生活垃圾渗滤液处理设备购置及安装项目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w:t>
            </w:r>
          </w:p>
        </w:tc>
        <w:tc>
          <w:tcPr>
            <w:tcW w:w="7454" w:type="dxa"/>
            <w:gridSpan w:val="7"/>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玛纳斯县环境卫生管理处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法人代表</w:t>
            </w:r>
          </w:p>
        </w:tc>
        <w:tc>
          <w:tcPr>
            <w:tcW w:w="3166" w:type="dxa"/>
            <w:gridSpan w:val="3"/>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陆军</w:t>
            </w:r>
          </w:p>
        </w:tc>
        <w:tc>
          <w:tcPr>
            <w:tcW w:w="147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联系人</w:t>
            </w:r>
          </w:p>
        </w:tc>
        <w:tc>
          <w:tcPr>
            <w:tcW w:w="2809" w:type="dxa"/>
            <w:gridSpan w:val="3"/>
            <w:vAlign w:val="center"/>
          </w:tcPr>
          <w:p>
            <w:pPr>
              <w:snapToGrid w:val="0"/>
              <w:spacing w:line="276"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张林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通讯地址</w:t>
            </w:r>
          </w:p>
        </w:tc>
        <w:tc>
          <w:tcPr>
            <w:tcW w:w="7454" w:type="dxa"/>
            <w:gridSpan w:val="7"/>
            <w:vAlign w:val="center"/>
          </w:tcPr>
          <w:p>
            <w:pPr>
              <w:spacing w:line="220" w:lineRule="atLeast"/>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玛纳斯县凤凰路民中巷25号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联系电话</w:t>
            </w:r>
          </w:p>
        </w:tc>
        <w:tc>
          <w:tcPr>
            <w:tcW w:w="2475" w:type="dxa"/>
            <w:gridSpan w:val="2"/>
            <w:vAlign w:val="center"/>
          </w:tcPr>
          <w:p>
            <w:pPr>
              <w:pStyle w:val="160"/>
              <w:snapToGrid w:val="0"/>
              <w:spacing w:line="276"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17709939039</w:t>
            </w:r>
          </w:p>
        </w:tc>
        <w:tc>
          <w:tcPr>
            <w:tcW w:w="691"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传真</w:t>
            </w:r>
          </w:p>
        </w:tc>
        <w:tc>
          <w:tcPr>
            <w:tcW w:w="147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1208"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邮政编码</w:t>
            </w:r>
          </w:p>
        </w:tc>
        <w:tc>
          <w:tcPr>
            <w:tcW w:w="1601" w:type="dxa"/>
            <w:gridSpan w:val="2"/>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832200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p>
        </w:tc>
        <w:tc>
          <w:tcPr>
            <w:tcW w:w="7454" w:type="dxa"/>
            <w:gridSpan w:val="7"/>
            <w:vAlign w:val="center"/>
          </w:tcPr>
          <w:p>
            <w:pPr>
              <w:pStyle w:val="160"/>
              <w:snapToGrid w:val="0"/>
              <w:spacing w:line="276" w:lineRule="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玛纳斯县兰州湾镇东北方向，生活垃圾填埋场东北侧预留空地内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立项审批部门</w:t>
            </w:r>
          </w:p>
        </w:tc>
        <w:tc>
          <w:tcPr>
            <w:tcW w:w="3166" w:type="dxa"/>
            <w:gridSpan w:val="3"/>
            <w:vAlign w:val="center"/>
          </w:tcPr>
          <w:p>
            <w:pPr>
              <w:snapToGrid w:val="0"/>
              <w:spacing w:line="276"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p>
        </w:tc>
        <w:tc>
          <w:tcPr>
            <w:tcW w:w="147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批准文号</w:t>
            </w:r>
          </w:p>
        </w:tc>
        <w:tc>
          <w:tcPr>
            <w:tcW w:w="2809" w:type="dxa"/>
            <w:gridSpan w:val="3"/>
            <w:vAlign w:val="center"/>
          </w:tcPr>
          <w:p>
            <w:pPr>
              <w:snapToGrid w:val="0"/>
              <w:spacing w:line="276" w:lineRule="auto"/>
              <w:jc w:val="center"/>
              <w:rPr>
                <w:rFonts w:hint="default" w:ascii="Times New Roman" w:hAnsi="Times New Roman" w:eastAsia="宋体" w:cs="Times New Roman"/>
                <w:color w:val="000000" w:themeColor="text1"/>
                <w:spacing w:val="-12"/>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p>
        </w:tc>
        <w:tc>
          <w:tcPr>
            <w:tcW w:w="3166" w:type="dxa"/>
            <w:gridSpan w:val="3"/>
            <w:vAlign w:val="center"/>
          </w:tcPr>
          <w:p>
            <w:pPr>
              <w:snapToGrid w:val="0"/>
              <w:spacing w:line="276" w:lineRule="auto"/>
              <w:ind w:firstLine="240" w:firstLineChars="100"/>
              <w:jc w:val="center"/>
              <w:rPr>
                <w:rFonts w:hint="default" w:ascii="Times New Roman" w:hAnsi="Times New Roman" w:eastAsia="宋体" w:cs="Times New Roman"/>
                <w:color w:val="000000" w:themeColor="text1"/>
                <w:spacing w:val="-2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技术改造</w:t>
            </w:r>
          </w:p>
        </w:tc>
        <w:tc>
          <w:tcPr>
            <w:tcW w:w="147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p>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及代码</w:t>
            </w:r>
          </w:p>
        </w:tc>
        <w:tc>
          <w:tcPr>
            <w:tcW w:w="2809" w:type="dxa"/>
            <w:gridSpan w:val="3"/>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D4620污水处理及其再生利用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占地面积</w:t>
            </w:r>
          </w:p>
          <w:p>
            <w:pPr>
              <w:snapToGrid w:val="0"/>
              <w:spacing w:line="276" w:lineRule="auto"/>
              <w:jc w:val="center"/>
              <w:rPr>
                <w:rFonts w:hint="default" w:ascii="Times New Roman" w:hAnsi="Times New Roman" w:eastAsia="宋体" w:cs="Times New Roman"/>
                <w:color w:val="000000" w:themeColor="text1"/>
                <w:spacing w:val="-2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（平方米）</w:t>
            </w:r>
          </w:p>
        </w:tc>
        <w:tc>
          <w:tcPr>
            <w:tcW w:w="3166" w:type="dxa"/>
            <w:gridSpan w:val="3"/>
            <w:vAlign w:val="center"/>
          </w:tcPr>
          <w:p>
            <w:pPr>
              <w:snapToGrid w:val="0"/>
              <w:spacing w:line="276" w:lineRule="auto"/>
              <w:ind w:left="420" w:hanging="42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2650</w:t>
            </w:r>
          </w:p>
        </w:tc>
        <w:tc>
          <w:tcPr>
            <w:tcW w:w="147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绿化面积</w:t>
            </w:r>
          </w:p>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（平方米）</w:t>
            </w:r>
          </w:p>
        </w:tc>
        <w:tc>
          <w:tcPr>
            <w:tcW w:w="2809" w:type="dxa"/>
            <w:gridSpan w:val="3"/>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w:t>
            </w:r>
          </w:p>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（万元）</w:t>
            </w:r>
          </w:p>
        </w:tc>
        <w:tc>
          <w:tcPr>
            <w:tcW w:w="1817" w:type="dxa"/>
            <w:vAlign w:val="center"/>
          </w:tcPr>
          <w:p>
            <w:pPr>
              <w:snapToGrid w:val="0"/>
              <w:spacing w:line="276"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650.0</w:t>
            </w:r>
          </w:p>
        </w:tc>
        <w:tc>
          <w:tcPr>
            <w:tcW w:w="1349" w:type="dxa"/>
            <w:gridSpan w:val="2"/>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其中：环保</w:t>
            </w:r>
          </w:p>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投资（万元）</w:t>
            </w:r>
          </w:p>
        </w:tc>
        <w:tc>
          <w:tcPr>
            <w:tcW w:w="1479" w:type="dxa"/>
            <w:vAlign w:val="center"/>
          </w:tcPr>
          <w:p>
            <w:pPr>
              <w:snapToGrid w:val="0"/>
              <w:spacing w:line="276" w:lineRule="auto"/>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650.0</w:t>
            </w:r>
          </w:p>
        </w:tc>
        <w:tc>
          <w:tcPr>
            <w:tcW w:w="1439" w:type="dxa"/>
            <w:gridSpan w:val="2"/>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环保投资占总投资比例（%）</w:t>
            </w:r>
          </w:p>
        </w:tc>
        <w:tc>
          <w:tcPr>
            <w:tcW w:w="1370"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454" w:hRule="atLeast"/>
        </w:trPr>
        <w:tc>
          <w:tcPr>
            <w:tcW w:w="1629"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评价经费</w:t>
            </w:r>
          </w:p>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（万元）</w:t>
            </w:r>
          </w:p>
        </w:tc>
        <w:tc>
          <w:tcPr>
            <w:tcW w:w="1817" w:type="dxa"/>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2828" w:type="dxa"/>
            <w:gridSpan w:val="3"/>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预期投产日期</w:t>
            </w:r>
          </w:p>
        </w:tc>
        <w:tc>
          <w:tcPr>
            <w:tcW w:w="2809" w:type="dxa"/>
            <w:gridSpan w:val="3"/>
            <w:vAlign w:val="center"/>
          </w:tcPr>
          <w:p>
            <w:pPr>
              <w:snapToGrid w:val="0"/>
              <w:spacing w:line="276"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2020年6月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90" w:hRule="atLeast"/>
        </w:trPr>
        <w:tc>
          <w:tcPr>
            <w:tcW w:w="9083" w:type="dxa"/>
            <w:gridSpan w:val="8"/>
            <w:tcBorders>
              <w:bottom w:val="single" w:color="auto" w:sz="4" w:space="0"/>
            </w:tcBorders>
          </w:tcPr>
          <w:p>
            <w:pPr>
              <w:keepNext w:val="0"/>
              <w:keepLines w:val="0"/>
              <w:pageBreakBefore w:val="0"/>
              <w:widowControl w:val="0"/>
              <w:kinsoku/>
              <w:wordWrap/>
              <w:overflowPunct/>
              <w:topLinePunct w:val="0"/>
              <w:autoSpaceDE/>
              <w:autoSpaceDN/>
              <w:bidi w:val="0"/>
              <w:spacing w:line="520" w:lineRule="exact"/>
              <w:ind w:left="140" w:leftChars="50" w:firstLine="562" w:firstLineChars="20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一、项目背景</w:t>
            </w:r>
          </w:p>
          <w:p>
            <w:pPr>
              <w:pStyle w:val="177"/>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Style w:val="98"/>
                <w:rFonts w:hint="default" w:ascii="Times New Roman" w:hAnsi="Times New Roman" w:eastAsia="宋体" w:cs="Times New Roman"/>
                <w:color w:val="000000" w:themeColor="text1"/>
                <w:lang w:val="en-US" w:eastAsia="zh-CN"/>
                <w14:textFill>
                  <w14:solidFill>
                    <w14:schemeClr w14:val="tx1"/>
                  </w14:solidFill>
                </w14:textFill>
              </w:rPr>
            </w:pP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玛纳斯县生活垃圾填埋场一期工程于2012年4月建成，有效库容20.4万m</w:t>
            </w:r>
            <w:r>
              <w:rPr>
                <w:rStyle w:val="98"/>
                <w:rFonts w:hint="default" w:ascii="Times New Roman" w:hAnsi="Times New Roman" w:cs="Times New Roman"/>
                <w:b w:val="0"/>
                <w:color w:val="000000" w:themeColor="text1"/>
                <w:kern w:val="2"/>
                <w:vertAlign w:val="superscript"/>
                <w:lang w:val="en-US" w:eastAsia="zh-CN" w:bidi="ar-SA"/>
                <w14:textFill>
                  <w14:solidFill>
                    <w14:schemeClr w14:val="tx1"/>
                  </w14:solidFill>
                </w14:textFill>
              </w:rPr>
              <w:t>3</w:t>
            </w: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 2016年1月通过验收并正式投入运营。二期工程于2018年11月建成，新增有效库容30.2万m</w:t>
            </w:r>
            <w:r>
              <w:rPr>
                <w:rStyle w:val="98"/>
                <w:rFonts w:hint="default" w:ascii="Times New Roman" w:hAnsi="Times New Roman" w:cs="Times New Roman"/>
                <w:b w:val="0"/>
                <w:color w:val="000000" w:themeColor="text1"/>
                <w:kern w:val="2"/>
                <w:vertAlign w:val="superscript"/>
                <w:lang w:val="en-US" w:eastAsia="zh-CN" w:bidi="ar-SA"/>
                <w14:textFill>
                  <w14:solidFill>
                    <w14:schemeClr w14:val="tx1"/>
                  </w14:solidFill>
                </w14:textFill>
              </w:rPr>
              <w:t>3</w:t>
            </w: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。玛纳斯县生活垃圾填埋场一期投入运营至今，已填埋生活垃圾20.4万m</w:t>
            </w:r>
            <w:r>
              <w:rPr>
                <w:rStyle w:val="98"/>
                <w:rFonts w:hint="default" w:ascii="Times New Roman" w:hAnsi="Times New Roman" w:cs="Times New Roman"/>
                <w:b w:val="0"/>
                <w:color w:val="000000" w:themeColor="text1"/>
                <w:kern w:val="2"/>
                <w:vertAlign w:val="superscript"/>
                <w:lang w:val="en-US" w:eastAsia="zh-CN" w:bidi="ar-SA"/>
                <w14:textFill>
                  <w14:solidFill>
                    <w14:schemeClr w14:val="tx1"/>
                  </w14:solidFill>
                </w14:textFill>
              </w:rPr>
              <w:t>3</w:t>
            </w: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，二期建成后，至今填埋的垃圾总计约为30万m</w:t>
            </w:r>
            <w:r>
              <w:rPr>
                <w:rStyle w:val="98"/>
                <w:rFonts w:hint="default" w:ascii="Times New Roman" w:hAnsi="Times New Roman" w:cs="Times New Roman"/>
                <w:b w:val="0"/>
                <w:color w:val="000000" w:themeColor="text1"/>
                <w:kern w:val="2"/>
                <w:vertAlign w:val="superscript"/>
                <w:lang w:val="en-US" w:eastAsia="zh-CN" w:bidi="ar-SA"/>
                <w14:textFill>
                  <w14:solidFill>
                    <w14:schemeClr w14:val="tx1"/>
                  </w14:solidFill>
                </w14:textFill>
              </w:rPr>
              <w:t>3</w:t>
            </w: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，垃圾渗滤液量逐年增多。现状</w:t>
            </w:r>
            <w:r>
              <w:rPr>
                <w:rStyle w:val="98"/>
                <w:rFonts w:hint="eastAsia" w:cs="Times New Roman"/>
                <w:b w:val="0"/>
                <w:color w:val="000000" w:themeColor="text1"/>
                <w:kern w:val="2"/>
                <w:lang w:val="en-US" w:eastAsia="zh-CN" w:bidi="ar-SA"/>
                <w14:textFill>
                  <w14:solidFill>
                    <w14:schemeClr w14:val="tx1"/>
                  </w14:solidFill>
                </w14:textFill>
              </w:rPr>
              <w:t>夏季</w:t>
            </w: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渗滤液产生量约为6m</w:t>
            </w:r>
            <w:r>
              <w:rPr>
                <w:rStyle w:val="98"/>
                <w:rFonts w:hint="default" w:ascii="Times New Roman" w:hAnsi="Times New Roman" w:cs="Times New Roman"/>
                <w:b w:val="0"/>
                <w:color w:val="000000" w:themeColor="text1"/>
                <w:kern w:val="2"/>
                <w:vertAlign w:val="superscript"/>
                <w:lang w:val="en-US" w:eastAsia="zh-CN" w:bidi="ar-SA"/>
                <w14:textFill>
                  <w14:solidFill>
                    <w14:schemeClr w14:val="tx1"/>
                  </w14:solidFill>
                </w14:textFill>
              </w:rPr>
              <w:t>3</w:t>
            </w: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/d，渗滤液水质变化较大，</w:t>
            </w:r>
            <w:r>
              <w:rPr>
                <w:rStyle w:val="98"/>
                <w:rFonts w:hint="eastAsia" w:cs="Times New Roman"/>
                <w:b w:val="0"/>
                <w:color w:val="000000" w:themeColor="text1"/>
                <w:kern w:val="2"/>
                <w:lang w:val="en-US" w:eastAsia="zh-CN" w:bidi="ar-SA"/>
                <w14:textFill>
                  <w14:solidFill>
                    <w14:schemeClr w14:val="tx1"/>
                  </w14:solidFill>
                </w14:textFill>
              </w:rPr>
              <w:t>两次</w:t>
            </w: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次现状监测COD</w:t>
            </w:r>
            <w:r>
              <w:rPr>
                <w:rStyle w:val="98"/>
                <w:rFonts w:hint="eastAsia" w:cs="Times New Roman"/>
                <w:b w:val="0"/>
                <w:color w:val="000000" w:themeColor="text1"/>
                <w:kern w:val="2"/>
                <w:lang w:val="en-US" w:eastAsia="zh-CN" w:bidi="ar-SA"/>
                <w14:textFill>
                  <w14:solidFill>
                    <w14:schemeClr w14:val="tx1"/>
                  </w14:solidFill>
                </w14:textFill>
              </w:rPr>
              <w:t>浓度</w:t>
            </w: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值为4760mg/L和12000mg/L</w:t>
            </w:r>
            <w:r>
              <w:rPr>
                <w:rStyle w:val="98"/>
                <w:rFonts w:hint="default" w:ascii="Times New Roman" w:hAnsi="Times New Roman" w:cs="Times New Roman"/>
                <w:color w:val="000000" w:themeColor="text1"/>
                <w:lang w:val="en-US"/>
                <w14:textFill>
                  <w14:solidFill>
                    <w14:schemeClr w14:val="tx1"/>
                  </w14:solidFill>
                </w14:textFill>
              </w:rPr>
              <w:t>。</w:t>
            </w:r>
            <w:r>
              <w:rPr>
                <w:rStyle w:val="98"/>
                <w:rFonts w:hint="default" w:ascii="Times New Roman" w:hAnsi="Times New Roman" w:cs="Times New Roman"/>
                <w:b w:val="0"/>
                <w:color w:val="000000" w:themeColor="text1"/>
                <w:kern w:val="2"/>
                <w:lang w:val="en-US" w:eastAsia="zh-CN" w:bidi="ar-SA"/>
                <w14:textFill>
                  <w14:solidFill>
                    <w14:schemeClr w14:val="tx1"/>
                  </w14:solidFill>
                </w14:textFill>
              </w:rPr>
              <w:t>由于本填埋场属于规模较小的填埋场，且填埋初期所产生的垃圾渗滤液较少，并考虑到玛纳斯县的蒸发量远大于降雨量，故玛纳斯县生活垃圾填埋场对渗滤液处理采用回喷法，但是由于回喷工艺运行年限已久，部分设施堵塞导致设备不能正常运行，且渗滤液产生量逐渐增多，因此急需解决填埋场渗滤液产出情况。</w:t>
            </w:r>
          </w:p>
          <w:p>
            <w:pPr>
              <w:keepNext w:val="0"/>
              <w:keepLines w:val="0"/>
              <w:pageBreakBefore w:val="0"/>
              <w:widowControl w:val="0"/>
              <w:kinsoku/>
              <w:wordWrap/>
              <w:overflowPunct/>
              <w:topLinePunct w:val="0"/>
              <w:autoSpaceDE/>
              <w:autoSpaceDN/>
              <w:bidi w:val="0"/>
              <w:adjustRightInd w:val="0"/>
              <w:snapToGrid w:val="0"/>
              <w:spacing w:line="520" w:lineRule="exact"/>
              <w:ind w:firstLine="480"/>
              <w:jc w:val="left"/>
              <w:textAlignment w:val="auto"/>
              <w:rPr>
                <w:rFonts w:hint="default" w:ascii="Times New Roman" w:hAnsi="Times New Roman" w:cs="Times New Roman"/>
                <w:color w:val="000000" w:themeColor="text1"/>
                <w:sz w:val="24"/>
                <w14:textFill>
                  <w14:solidFill>
                    <w14:schemeClr w14:val="tx1"/>
                  </w14:solidFill>
                </w14:textFill>
              </w:rPr>
            </w:pPr>
            <w:r>
              <w:rPr>
                <w:rStyle w:val="98"/>
                <w:rFonts w:hint="default" w:ascii="Times New Roman" w:hAnsi="Times New Roman" w:eastAsia="宋体" w:cs="Times New Roman"/>
                <w:color w:val="000000" w:themeColor="text1"/>
                <w:lang w:val="en-US" w:eastAsia="zh-CN"/>
                <w14:textFill>
                  <w14:solidFill>
                    <w14:schemeClr w14:val="tx1"/>
                  </w14:solidFill>
                </w14:textFill>
              </w:rPr>
              <w:t>原垃圾填埋场的渗滤液处理装置为</w:t>
            </w:r>
            <w:r>
              <w:rPr>
                <w:rStyle w:val="98"/>
                <w:rFonts w:hint="eastAsia" w:eastAsia="宋体" w:cs="Times New Roman"/>
                <w:color w:val="000000" w:themeColor="text1"/>
                <w:lang w:val="en-US" w:eastAsia="zh-CN"/>
                <w14:textFill>
                  <w14:solidFill>
                    <w14:schemeClr w14:val="tx1"/>
                  </w14:solidFill>
                </w14:textFill>
              </w:rPr>
              <w:t>导排系统收集至收集池进行沉淀消毒后</w:t>
            </w:r>
            <w:r>
              <w:rPr>
                <w:rStyle w:val="98"/>
                <w:rFonts w:hint="default" w:ascii="Times New Roman" w:hAnsi="Times New Roman" w:eastAsia="宋体" w:cs="Times New Roman"/>
                <w:color w:val="000000" w:themeColor="text1"/>
                <w:lang w:val="en-US" w:eastAsia="zh-CN"/>
                <w14:textFill>
                  <w14:solidFill>
                    <w14:schemeClr w14:val="tx1"/>
                  </w14:solidFill>
                </w14:textFill>
              </w:rPr>
              <w:t>回喷</w:t>
            </w:r>
            <w:r>
              <w:rPr>
                <w:rStyle w:val="98"/>
                <w:rFonts w:hint="eastAsia" w:eastAsia="宋体" w:cs="Times New Roman"/>
                <w:color w:val="000000" w:themeColor="text1"/>
                <w:lang w:val="en-US" w:eastAsia="zh-CN"/>
                <w14:textFill>
                  <w14:solidFill>
                    <w14:schemeClr w14:val="tx1"/>
                  </w14:solidFill>
                </w14:textFill>
              </w:rPr>
              <w:t>至埋场垃圾堆体</w:t>
            </w:r>
            <w:r>
              <w:rPr>
                <w:rStyle w:val="98"/>
                <w:rFonts w:hint="default" w:ascii="Times New Roman" w:hAnsi="Times New Roman" w:eastAsia="宋体" w:cs="Times New Roman"/>
                <w:color w:val="000000" w:themeColor="text1"/>
                <w:lang w:val="en-US" w:eastAsia="zh-CN"/>
                <w14:textFill>
                  <w14:solidFill>
                    <w14:schemeClr w14:val="tx1"/>
                  </w14:solidFill>
                </w14:textFill>
              </w:rPr>
              <w:t>，</w:t>
            </w:r>
            <w:r>
              <w:rPr>
                <w:rStyle w:val="98"/>
                <w:rFonts w:hint="eastAsia" w:eastAsia="宋体" w:cs="Times New Roman"/>
                <w:color w:val="000000" w:themeColor="text1"/>
                <w:lang w:val="en-US" w:eastAsia="zh-CN"/>
                <w14:textFill>
                  <w14:solidFill>
                    <w14:schemeClr w14:val="tx1"/>
                  </w14:solidFill>
                </w14:textFill>
              </w:rPr>
              <w:t>不外排，</w:t>
            </w:r>
            <w:r>
              <w:rPr>
                <w:rStyle w:val="98"/>
                <w:rFonts w:hint="default" w:ascii="Times New Roman" w:hAnsi="Times New Roman" w:eastAsia="宋体" w:cs="Times New Roman"/>
                <w:color w:val="000000" w:themeColor="text1"/>
                <w:lang w:val="en-US" w:eastAsia="zh-CN"/>
                <w14:textFill>
                  <w14:solidFill>
                    <w14:schemeClr w14:val="tx1"/>
                  </w14:solidFill>
                </w14:textFill>
              </w:rPr>
              <w:t>不能满足</w:t>
            </w:r>
            <w:r>
              <w:rPr>
                <w:rStyle w:val="98"/>
                <w:rFonts w:hint="default" w:ascii="Times New Roman" w:hAnsi="Times New Roman" w:cs="Times New Roman"/>
                <w:color w:val="000000" w:themeColor="text1"/>
                <w14:textFill>
                  <w14:solidFill>
                    <w14:schemeClr w14:val="tx1"/>
                  </w14:solidFill>
                </w14:textFill>
              </w:rPr>
              <w:t>《生活垃圾填埋污染物控制标准》（GB16889-2008）对渗滤液处理要求</w:t>
            </w:r>
            <w:r>
              <w:rPr>
                <w:rStyle w:val="98"/>
                <w:rFonts w:hint="default" w:ascii="Times New Roman" w:hAnsi="Times New Roman" w:eastAsia="宋体" w:cs="Times New Roman"/>
                <w:color w:val="000000" w:themeColor="text1"/>
                <w:lang w:eastAsia="zh-CN"/>
                <w14:textFill>
                  <w14:solidFill>
                    <w14:schemeClr w14:val="tx1"/>
                  </w14:solidFill>
                </w14:textFill>
              </w:rPr>
              <w:t>：</w:t>
            </w:r>
            <w:r>
              <w:rPr>
                <w:rStyle w:val="98"/>
                <w:rFonts w:hint="default" w:ascii="Times New Roman" w:hAnsi="Times New Roman" w:cs="Times New Roman"/>
                <w:color w:val="000000" w:themeColor="text1"/>
                <w14:textFill>
                  <w14:solidFill>
                    <w14:schemeClr w14:val="tx1"/>
                  </w14:solidFill>
                </w14:textFill>
              </w:rPr>
              <w:t>自2011年7月1日起，现有全部生活垃圾填埋场应自行处理生活垃圾渗滤液并执行《生活垃圾填埋污染物控制标准》（GB16889-2008）表2规定的水污染物排放浓度限值</w:t>
            </w:r>
            <w:r>
              <w:rPr>
                <w:rStyle w:val="98"/>
                <w:rFonts w:hint="default" w:ascii="Times New Roman" w:hAnsi="Times New Roman" w:eastAsia="宋体" w:cs="Times New Roman"/>
                <w:color w:val="000000" w:themeColor="text1"/>
                <w:lang w:eastAsia="zh-CN"/>
                <w14:textFill>
                  <w14:solidFill>
                    <w14:schemeClr w14:val="tx1"/>
                  </w14:solidFill>
                </w14:textFill>
              </w:rPr>
              <w:t>，</w:t>
            </w:r>
            <w:r>
              <w:rPr>
                <w:rStyle w:val="98"/>
                <w:rFonts w:hint="default" w:ascii="Times New Roman" w:hAnsi="Times New Roman" w:eastAsia="宋体" w:cs="Times New Roman"/>
                <w:color w:val="000000" w:themeColor="text1"/>
                <w:lang w:val="en-US" w:eastAsia="zh-CN"/>
                <w14:textFill>
                  <w14:solidFill>
                    <w14:schemeClr w14:val="tx1"/>
                  </w14:solidFill>
                </w14:textFill>
              </w:rPr>
              <w:t>急需建设垃圾填埋场渗滤液处理系统，解决垃圾渗滤液自行处理达标排放的问题。</w:t>
            </w:r>
          </w:p>
          <w:p>
            <w:pPr>
              <w:keepNext w:val="0"/>
              <w:keepLines w:val="0"/>
              <w:pageBreakBefore w:val="0"/>
              <w:widowControl w:val="0"/>
              <w:kinsoku/>
              <w:wordWrap/>
              <w:overflowPunct/>
              <w:topLinePunct w:val="0"/>
              <w:autoSpaceDE/>
              <w:autoSpaceDN/>
              <w:bidi w:val="0"/>
              <w:adjustRightInd w:val="0"/>
              <w:snapToGrid w:val="0"/>
              <w:spacing w:line="520" w:lineRule="exact"/>
              <w:ind w:firstLine="480"/>
              <w:jc w:val="left"/>
              <w:textAlignment w:val="auto"/>
              <w:rPr>
                <w:rStyle w:val="98"/>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w:t>
            </w:r>
            <w:r>
              <w:rPr>
                <w:rFonts w:hint="default" w:ascii="Times New Roman" w:hAnsi="Times New Roman" w:eastAsia="宋体" w:cs="Times New Roman"/>
                <w:color w:val="000000" w:themeColor="text1"/>
                <w:sz w:val="24"/>
                <w:szCs w:val="24"/>
                <w:lang w:val="en-US"/>
                <w14:textFill>
                  <w14:solidFill>
                    <w14:schemeClr w14:val="tx1"/>
                  </w14:solidFill>
                </w14:textFill>
              </w:rPr>
              <w:t>玛纳斯县环境卫生管理处拟投资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650.0</w:t>
            </w:r>
            <w:r>
              <w:rPr>
                <w:rFonts w:hint="default" w:ascii="Times New Roman" w:hAnsi="Times New Roman" w:eastAsia="宋体" w:cs="Times New Roman"/>
                <w:color w:val="000000" w:themeColor="text1"/>
                <w:sz w:val="24"/>
                <w:szCs w:val="24"/>
                <w:lang w:val="en-US"/>
                <w14:textFill>
                  <w14:solidFill>
                    <w14:schemeClr w14:val="tx1"/>
                  </w14:solidFill>
                </w14:textFill>
              </w:rPr>
              <w:t>万元建设</w:t>
            </w:r>
            <w:r>
              <w:rPr>
                <w:rFonts w:hint="default" w:ascii="Times New Roman" w:hAnsi="Times New Roman" w:eastAsia="宋体" w:cs="Times New Roman"/>
                <w:color w:val="000000" w:themeColor="text1"/>
                <w:sz w:val="24"/>
                <w:szCs w:val="24"/>
                <w:lang w:eastAsia="zh-CN"/>
                <w14:textFill>
                  <w14:solidFill>
                    <w14:schemeClr w14:val="tx1"/>
                  </w14:solidFill>
                </w14:textFill>
              </w:rPr>
              <w:t>玛纳斯县生活垃圾渗滤液处理设备购置及安</w:t>
            </w:r>
            <w:r>
              <w:rPr>
                <w:rStyle w:val="98"/>
                <w:rFonts w:hint="default" w:ascii="Times New Roman" w:hAnsi="Times New Roman" w:cs="Times New Roman"/>
                <w:color w:val="000000" w:themeColor="text1"/>
                <w:lang w:val="en-US" w:eastAsia="zh-CN"/>
                <w14:textFill>
                  <w14:solidFill>
                    <w14:schemeClr w14:val="tx1"/>
                  </w14:solidFill>
                </w14:textFill>
              </w:rPr>
              <w:t>装项目</w:t>
            </w:r>
            <w:r>
              <w:rPr>
                <w:rStyle w:val="98"/>
                <w:rFonts w:hint="default" w:ascii="Times New Roman" w:hAnsi="Times New Roman" w:cs="Times New Roman"/>
                <w:color w:val="000000" w:themeColor="text1"/>
                <w:lang w:val="en-US"/>
                <w14:textFill>
                  <w14:solidFill>
                    <w14:schemeClr w14:val="tx1"/>
                  </w14:solidFill>
                </w14:textFill>
              </w:rPr>
              <w:t>，</w:t>
            </w:r>
            <w:r>
              <w:rPr>
                <w:rStyle w:val="98"/>
                <w:rFonts w:hint="default" w:ascii="Times New Roman" w:hAnsi="Times New Roman" w:eastAsia="宋体" w:cs="Times New Roman"/>
                <w:color w:val="000000" w:themeColor="text1"/>
                <w:lang w:val="en-US" w:eastAsia="zh-CN"/>
                <w14:textFill>
                  <w14:solidFill>
                    <w14:schemeClr w14:val="tx1"/>
                  </w14:solidFill>
                </w14:textFill>
              </w:rPr>
              <w:t>使</w:t>
            </w:r>
            <w:r>
              <w:rPr>
                <w:rStyle w:val="98"/>
                <w:rFonts w:hint="default" w:ascii="Times New Roman" w:hAnsi="Times New Roman" w:cs="Times New Roman"/>
                <w:color w:val="000000" w:themeColor="text1"/>
                <w14:textFill>
                  <w14:solidFill>
                    <w14:schemeClr w14:val="tx1"/>
                  </w14:solidFill>
                </w14:textFill>
              </w:rPr>
              <w:t>垃圾填埋场的渗滤液处理</w:t>
            </w:r>
            <w:r>
              <w:rPr>
                <w:rStyle w:val="98"/>
                <w:rFonts w:hint="default" w:ascii="Times New Roman" w:hAnsi="Times New Roman" w:eastAsia="宋体" w:cs="Times New Roman"/>
                <w:color w:val="000000" w:themeColor="text1"/>
                <w:lang w:val="en-US" w:eastAsia="zh-CN"/>
                <w14:textFill>
                  <w14:solidFill>
                    <w14:schemeClr w14:val="tx1"/>
                  </w14:solidFill>
                </w14:textFill>
              </w:rPr>
              <w:t>工艺及处理量</w:t>
            </w:r>
            <w:r>
              <w:rPr>
                <w:rStyle w:val="98"/>
                <w:rFonts w:hint="default" w:ascii="Times New Roman" w:hAnsi="Times New Roman" w:cs="Times New Roman"/>
                <w:color w:val="000000" w:themeColor="text1"/>
                <w14:textFill>
                  <w14:solidFill>
                    <w14:schemeClr w14:val="tx1"/>
                  </w14:solidFill>
                </w14:textFill>
              </w:rPr>
              <w:t>满足</w:t>
            </w:r>
            <w:r>
              <w:rPr>
                <w:rStyle w:val="98"/>
                <w:rFonts w:hint="default" w:ascii="Times New Roman" w:hAnsi="Times New Roman" w:eastAsia="宋体" w:cs="Times New Roman"/>
                <w:color w:val="000000" w:themeColor="text1"/>
                <w:lang w:val="en-US" w:eastAsia="zh-CN"/>
                <w14:textFill>
                  <w14:solidFill>
                    <w14:schemeClr w14:val="tx1"/>
                  </w14:solidFill>
                </w14:textFill>
              </w:rPr>
              <w:t>逐年增多的渗滤液量和</w:t>
            </w:r>
            <w:r>
              <w:rPr>
                <w:rStyle w:val="98"/>
                <w:rFonts w:hint="default" w:ascii="Times New Roman" w:hAnsi="Times New Roman" w:cs="Times New Roman"/>
                <w:color w:val="000000" w:themeColor="text1"/>
                <w14:textFill>
                  <w14:solidFill>
                    <w14:schemeClr w14:val="tx1"/>
                  </w14:solidFill>
                </w14:textFill>
              </w:rPr>
              <w:t>《生活垃圾填埋污染物控制标准》（GB16889-2008）中的要求</w:t>
            </w:r>
            <w:r>
              <w:rPr>
                <w:rStyle w:val="98"/>
                <w:rFonts w:hint="default" w:ascii="Times New Roman" w:hAnsi="Times New Roman" w:eastAsia="宋体" w:cs="Times New Roman"/>
                <w:color w:val="000000" w:themeColor="text1"/>
                <w:lang w:eastAsia="zh-CN"/>
                <w14:textFill>
                  <w14:solidFill>
                    <w14:schemeClr w14:val="tx1"/>
                  </w14:solidFill>
                </w14:textFill>
              </w:rPr>
              <w:t>，</w:t>
            </w:r>
            <w:r>
              <w:rPr>
                <w:rStyle w:val="98"/>
                <w:rFonts w:hint="default" w:ascii="Times New Roman" w:hAnsi="Times New Roman" w:cs="Times New Roman"/>
                <w:color w:val="000000" w:themeColor="text1"/>
                <w:lang w:val="en-US"/>
                <w14:textFill>
                  <w14:solidFill>
                    <w14:schemeClr w14:val="tx1"/>
                  </w14:solidFill>
                </w14:textFill>
              </w:rPr>
              <w:t>解决垃圾渗滤液处理达标排放的问题</w:t>
            </w:r>
            <w:r>
              <w:rPr>
                <w:rStyle w:val="98"/>
                <w:rFonts w:hint="default" w:ascii="Times New Roman" w:hAnsi="Times New Roman" w:eastAsia="宋体" w:cs="Times New Roman"/>
                <w:color w:val="000000" w:themeColor="text1"/>
                <w:lang w:val="en-US" w:eastAsia="zh-CN"/>
                <w14:textFill>
                  <w14:solidFill>
                    <w14:schemeClr w14:val="tx1"/>
                  </w14:solidFill>
                </w14:textFill>
              </w:rPr>
              <w:t>，</w:t>
            </w:r>
            <w:r>
              <w:rPr>
                <w:rStyle w:val="98"/>
                <w:rFonts w:hint="default" w:ascii="Times New Roman" w:hAnsi="Times New Roman" w:cs="Times New Roman"/>
                <w:color w:val="000000" w:themeColor="text1"/>
                <w:lang w:val="en-US"/>
                <w14:textFill>
                  <w14:solidFill>
                    <w14:schemeClr w14:val="tx1"/>
                  </w14:solidFill>
                </w14:textFill>
              </w:rPr>
              <w:t>以消除渗滤液给周围环境带来的威胁。</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根据《中华人民共和国环境保护法》、《中华人民共和国环境影响评价法》和《建设项目环境保护管理条例》以及相关环境保护管理的规定，</w:t>
            </w:r>
            <w:r>
              <w:rPr>
                <w:rFonts w:hint="default" w:ascii="Times New Roman" w:hAnsi="Times New Roman" w:eastAsia="宋体" w:cs="Times New Roman"/>
                <w:color w:val="000000" w:themeColor="text1"/>
                <w:sz w:val="24"/>
                <w:szCs w:val="24"/>
                <w:lang w:eastAsia="zh-CN"/>
                <w14:textFill>
                  <w14:solidFill>
                    <w14:schemeClr w14:val="tx1"/>
                  </w14:solidFill>
                </w14:textFill>
              </w:rPr>
              <w:t>玛纳斯县生活垃圾渗滤液处理设备购置及安装项目</w:t>
            </w:r>
            <w:r>
              <w:rPr>
                <w:rStyle w:val="98"/>
                <w:rFonts w:hint="default" w:ascii="Times New Roman" w:hAnsi="Times New Roman" w:cs="Times New Roman"/>
                <w:color w:val="000000" w:themeColor="text1"/>
                <w14:textFill>
                  <w14:solidFill>
                    <w14:schemeClr w14:val="tx1"/>
                  </w14:solidFill>
                </w14:textFill>
              </w:rPr>
              <w:t>应进行环境影响评价，根据《建设项目环境影响评价分类管理名录》（环境保护部令第44号），该项目属于“三十三、水的生产和供应业98海水淡化、其他水处理和利用”，应编制环境影响报告表。为此，</w:t>
            </w:r>
            <w:r>
              <w:rPr>
                <w:rFonts w:hint="default" w:ascii="Times New Roman" w:hAnsi="Times New Roman" w:eastAsia="宋体" w:cs="Times New Roman"/>
                <w:color w:val="000000" w:themeColor="text1"/>
                <w:sz w:val="24"/>
                <w:szCs w:val="24"/>
                <w14:textFill>
                  <w14:solidFill>
                    <w14:schemeClr w14:val="tx1"/>
                  </w14:solidFill>
                </w14:textFill>
              </w:rPr>
              <w:t>玛纳斯县环境卫生管理处</w:t>
            </w:r>
            <w:r>
              <w:rPr>
                <w:rStyle w:val="98"/>
                <w:rFonts w:hint="default" w:ascii="Times New Roman" w:hAnsi="Times New Roman" w:cs="Times New Roman"/>
                <w:color w:val="000000" w:themeColor="text1"/>
                <w14:textFill>
                  <w14:solidFill>
                    <w14:schemeClr w14:val="tx1"/>
                  </w14:solidFill>
                </w14:textFill>
              </w:rPr>
              <w:t>于2019年8月委托</w:t>
            </w:r>
            <w:r>
              <w:rPr>
                <w:rStyle w:val="98"/>
                <w:rFonts w:hint="default" w:ascii="Times New Roman" w:hAnsi="Times New Roman" w:eastAsia="宋体" w:cs="Times New Roman"/>
                <w:color w:val="000000" w:themeColor="text1"/>
                <w:lang w:eastAsia="zh-CN"/>
                <w14:textFill>
                  <w14:solidFill>
                    <w14:schemeClr w14:val="tx1"/>
                  </w14:solidFill>
                </w14:textFill>
              </w:rPr>
              <w:t>乌鲁木齐市蓝白丽景环评咨询服务有限</w:t>
            </w:r>
            <w:r>
              <w:rPr>
                <w:rStyle w:val="98"/>
                <w:rFonts w:hint="default" w:ascii="Times New Roman" w:hAnsi="Times New Roman" w:cs="Times New Roman"/>
                <w:color w:val="000000" w:themeColor="text1"/>
                <w14:textFill>
                  <w14:solidFill>
                    <w14:schemeClr w14:val="tx1"/>
                  </w14:solidFill>
                </w14:textFill>
              </w:rPr>
              <w:t>公司承担该项目环境影响评价工作。接受委托后，我单位立即安排项目组成员进行现场踏勘和资料收集；在此基础上按照有关技术规范及法律法规的相关规定，编制了本项目的环境影响评价报告表。本报告表在呈报环境保护行政主管部门审批后，可以作为本项目做好环境保护工作及进行环境管理时的依据。</w:t>
            </w:r>
          </w:p>
          <w:p>
            <w:pPr>
              <w:keepNext w:val="0"/>
              <w:keepLines w:val="0"/>
              <w:pageBreakBefore w:val="0"/>
              <w:widowControl w:val="0"/>
              <w:kinsoku/>
              <w:wordWrap/>
              <w:overflowPunct/>
              <w:topLinePunct w:val="0"/>
              <w:autoSpaceDE/>
              <w:autoSpaceDN/>
              <w:bidi w:val="0"/>
              <w:spacing w:line="520" w:lineRule="exact"/>
              <w:ind w:left="140" w:leftChars="50" w:firstLine="562" w:firstLineChars="200"/>
              <w:textAlignment w:val="auto"/>
              <w:rPr>
                <w:rFonts w:hint="default" w:ascii="Times New Roman" w:hAnsi="Times New Roman" w:eastAsia="宋体" w:cs="Times New Roman"/>
                <w:b/>
                <w:bCs/>
                <w:color w:val="000000" w:themeColor="text1"/>
                <w:lang w:val="zh-CN"/>
                <w14:textFill>
                  <w14:solidFill>
                    <w14:schemeClr w14:val="tx1"/>
                  </w14:solidFill>
                </w14:textFill>
              </w:rPr>
            </w:pPr>
            <w:r>
              <w:rPr>
                <w:rFonts w:hint="default" w:ascii="Times New Roman" w:hAnsi="Times New Roman" w:eastAsia="宋体" w:cs="Times New Roman"/>
                <w:b/>
                <w:bCs/>
                <w:color w:val="000000" w:themeColor="text1"/>
                <w:lang w:val="zh-CN"/>
                <w14:textFill>
                  <w14:solidFill>
                    <w14:schemeClr w14:val="tx1"/>
                  </w14:solidFill>
                </w14:textFill>
              </w:rPr>
              <w:t>二、项目概况</w:t>
            </w:r>
          </w:p>
          <w:p>
            <w:pPr>
              <w:adjustRightInd w:val="0"/>
              <w:snapToGrid w:val="0"/>
              <w:spacing w:after="156" w:afterLines="50" w:line="560" w:lineRule="exact"/>
              <w:ind w:left="84" w:leftChars="30" w:firstLine="482" w:firstLineChars="200"/>
              <w:rPr>
                <w:rStyle w:val="98"/>
                <w:rFonts w:hint="default" w:ascii="Times New Roman" w:hAnsi="Times New Roman" w:cs="Times New Roman"/>
                <w:b/>
                <w:color w:val="000000" w:themeColor="text1"/>
                <w14:textFill>
                  <w14:solidFill>
                    <w14:schemeClr w14:val="tx1"/>
                  </w14:solidFill>
                </w14:textFill>
              </w:rPr>
            </w:pPr>
            <w:r>
              <w:rPr>
                <w:rStyle w:val="98"/>
                <w:rFonts w:hint="default" w:ascii="Times New Roman" w:hAnsi="Times New Roman" w:cs="Times New Roman"/>
                <w:b/>
                <w:color w:val="000000" w:themeColor="text1"/>
                <w14:textFill>
                  <w14:solidFill>
                    <w14:schemeClr w14:val="tx1"/>
                  </w14:solidFill>
                </w14:textFill>
              </w:rPr>
              <w:t>1、建设项目基本情况</w:t>
            </w:r>
          </w:p>
          <w:p>
            <w:pPr>
              <w:adjustRightInd w:val="0"/>
              <w:snapToGrid w:val="0"/>
              <w:spacing w:line="560" w:lineRule="exact"/>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（1）项目名称：</w:t>
            </w:r>
            <w:r>
              <w:rPr>
                <w:rFonts w:hint="default" w:ascii="Times New Roman" w:hAnsi="Times New Roman" w:eastAsia="宋体" w:cs="Times New Roman"/>
                <w:color w:val="000000" w:themeColor="text1"/>
                <w:sz w:val="24"/>
                <w:szCs w:val="24"/>
                <w:lang w:eastAsia="zh-CN"/>
                <w14:textFill>
                  <w14:solidFill>
                    <w14:schemeClr w14:val="tx1"/>
                  </w14:solidFill>
                </w14:textFill>
              </w:rPr>
              <w:t>玛纳斯县生活垃圾渗滤液处理设备购置及安装项目</w:t>
            </w:r>
          </w:p>
          <w:p>
            <w:pPr>
              <w:adjustRightInd w:val="0"/>
              <w:snapToGrid w:val="0"/>
              <w:spacing w:line="560" w:lineRule="exact"/>
              <w:ind w:firstLine="480" w:firstLineChars="200"/>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（2）建设性质：技术改造</w:t>
            </w:r>
          </w:p>
          <w:p>
            <w:pPr>
              <w:adjustRightInd w:val="0"/>
              <w:snapToGrid w:val="0"/>
              <w:spacing w:line="560" w:lineRule="exact"/>
              <w:ind w:firstLine="480" w:firstLineChars="200"/>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（3）建设规模：30.0m</w:t>
            </w:r>
            <w:r>
              <w:rPr>
                <w:rStyle w:val="98"/>
                <w:rFonts w:hint="default" w:ascii="Times New Roman" w:hAnsi="Times New Roman" w:cs="Times New Roman"/>
                <w:color w:val="000000" w:themeColor="text1"/>
                <w:vertAlign w:val="superscript"/>
                <w14:textFill>
                  <w14:solidFill>
                    <w14:schemeClr w14:val="tx1"/>
                  </w14:solidFill>
                </w14:textFill>
              </w:rPr>
              <w:t>3</w:t>
            </w:r>
            <w:r>
              <w:rPr>
                <w:rStyle w:val="98"/>
                <w:rFonts w:hint="default" w:ascii="Times New Roman" w:hAnsi="Times New Roman" w:cs="Times New Roman"/>
                <w:color w:val="000000" w:themeColor="text1"/>
                <w14:textFill>
                  <w14:solidFill>
                    <w14:schemeClr w14:val="tx1"/>
                  </w14:solidFill>
                </w14:textFill>
              </w:rPr>
              <w:t>/d</w:t>
            </w:r>
          </w:p>
          <w:p>
            <w:pPr>
              <w:adjustRightInd w:val="0"/>
              <w:snapToGrid w:val="0"/>
              <w:spacing w:line="560" w:lineRule="exact"/>
              <w:ind w:firstLine="480" w:firstLineChars="200"/>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（4）处理工艺：</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MBR+反渗透</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处理工艺</w:t>
            </w:r>
          </w:p>
          <w:p>
            <w:pPr>
              <w:adjustRightInd w:val="0"/>
              <w:snapToGrid w:val="0"/>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（5）建设单位：</w:t>
            </w:r>
            <w:r>
              <w:rPr>
                <w:rFonts w:hint="default" w:ascii="Times New Roman" w:hAnsi="Times New Roman" w:eastAsia="宋体" w:cs="Times New Roman"/>
                <w:color w:val="000000" w:themeColor="text1"/>
                <w:sz w:val="24"/>
                <w:szCs w:val="24"/>
                <w14:textFill>
                  <w14:solidFill>
                    <w14:schemeClr w14:val="tx1"/>
                  </w14:solidFill>
                </w14:textFill>
              </w:rPr>
              <w:t>玛纳斯县环境卫生管理处</w:t>
            </w:r>
          </w:p>
          <w:p>
            <w:pPr>
              <w:adjustRightInd w:val="0"/>
              <w:snapToGrid w:val="0"/>
              <w:spacing w:line="560" w:lineRule="exact"/>
              <w:ind w:firstLine="480" w:firstLineChars="200"/>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（6）建设地点：本项目位于</w:t>
            </w:r>
            <w:r>
              <w:rPr>
                <w:rFonts w:hint="default" w:ascii="Times New Roman" w:hAnsi="Times New Roman" w:eastAsia="宋体" w:cs="Times New Roman"/>
                <w:bCs/>
                <w:color w:val="000000" w:themeColor="text1"/>
                <w:sz w:val="24"/>
                <w:szCs w:val="24"/>
                <w14:textFill>
                  <w14:solidFill>
                    <w14:schemeClr w14:val="tx1"/>
                  </w14:solidFill>
                </w14:textFill>
              </w:rPr>
              <w:t>玛纳斯县兰州湾镇东北方向，生活垃圾填埋场东北侧预留空地内，周边主要为农田和林地环绕，项目</w:t>
            </w:r>
            <w:r>
              <w:rPr>
                <w:rStyle w:val="98"/>
                <w:rFonts w:hint="default" w:ascii="Times New Roman" w:hAnsi="Times New Roman" w:cs="Times New Roman"/>
                <w:color w:val="000000" w:themeColor="text1"/>
                <w14:textFill>
                  <w14:solidFill>
                    <w14:schemeClr w14:val="tx1"/>
                  </w14:solidFill>
                </w14:textFill>
              </w:rPr>
              <w:t>中心地理坐标为E86°11′32.76″, N44°19′33.72″。项目地理位置详见附图1，周边环境关系见附图2。</w:t>
            </w:r>
          </w:p>
          <w:p>
            <w:pPr>
              <w:adjustRightInd w:val="0"/>
              <w:snapToGrid w:val="0"/>
              <w:spacing w:after="156" w:afterLines="50" w:line="560" w:lineRule="exact"/>
              <w:ind w:firstLine="482" w:firstLineChars="200"/>
              <w:rPr>
                <w:rStyle w:val="98"/>
                <w:rFonts w:hint="default" w:ascii="Times New Roman" w:hAnsi="Times New Roman" w:cs="Times New Roman"/>
                <w:b/>
                <w:color w:val="000000" w:themeColor="text1"/>
                <w14:textFill>
                  <w14:solidFill>
                    <w14:schemeClr w14:val="tx1"/>
                  </w14:solidFill>
                </w14:textFill>
              </w:rPr>
            </w:pPr>
            <w:r>
              <w:rPr>
                <w:rStyle w:val="98"/>
                <w:rFonts w:hint="default" w:ascii="Times New Roman" w:hAnsi="Times New Roman" w:cs="Times New Roman"/>
                <w:b/>
                <w:color w:val="000000" w:themeColor="text1"/>
                <w14:textFill>
                  <w14:solidFill>
                    <w14:schemeClr w14:val="tx1"/>
                  </w14:solidFill>
                </w14:textFill>
              </w:rPr>
              <w:t>2、建设内容</w:t>
            </w:r>
          </w:p>
          <w:p>
            <w:pPr>
              <w:spacing w:line="560" w:lineRule="exact"/>
              <w:ind w:firstLine="480" w:firstLineChars="200"/>
              <w:rPr>
                <w:rFonts w:hint="default" w:ascii="Times New Roman" w:hAnsi="Times New Roman" w:eastAsia="宋体" w:cs="Times New Roman"/>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（一）原有项目</w:t>
            </w:r>
          </w:p>
          <w:p>
            <w:pPr>
              <w:spacing w:line="560" w:lineRule="exact"/>
              <w:ind w:firstLine="480" w:firstLineChars="200"/>
              <w:rPr>
                <w:rFonts w:hint="default" w:ascii="Times New Roman" w:hAnsi="Times New Roman" w:eastAsia="宋体" w:cs="Times New Roman"/>
                <w:snapToGrid w:val="0"/>
                <w:color w:val="000000" w:themeColor="text1"/>
                <w:kern w:val="0"/>
                <w:sz w:val="24"/>
                <w:szCs w:val="24"/>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玛纳斯县生活垃圾填埋场一期工程于2012年4月建成，有效库容20.4万立方米， 2016年1月正式投入运营。二期工程于2018年11月建成，新增有效库容30.2万立方米。一期、二期工程环评于2008年由新疆维吾尔自治区环境保护局批示的《关于玛纳斯县城生活垃圾处理工程环境影响报告书的批复》（新环监函[2008]569号）；一期工程于2016年1月通过环保验收，二期工程于2019年6月通过环保验收。</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 xml:space="preserve"> </w:t>
            </w:r>
          </w:p>
          <w:p>
            <w:pPr>
              <w:spacing w:line="560" w:lineRule="exact"/>
              <w:ind w:firstLine="480" w:firstLineChars="200"/>
              <w:rPr>
                <w:rFonts w:hint="default" w:ascii="Times New Roman" w:hAnsi="Times New Roman" w:eastAsia="宋体" w:cs="Times New Roman"/>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（二）本次技改项目</w:t>
            </w:r>
          </w:p>
          <w:p>
            <w:pPr>
              <w:spacing w:line="560" w:lineRule="exact"/>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本项目采用“</w:t>
            </w:r>
            <w:r>
              <w:rPr>
                <w:rFonts w:hint="default" w:ascii="Times New Roman" w:hAnsi="Times New Roman" w:eastAsia="宋体" w:cs="Times New Roman"/>
                <w:color w:val="000000" w:themeColor="text1"/>
                <w:sz w:val="24"/>
                <w:szCs w:val="24"/>
                <w14:textFill>
                  <w14:solidFill>
                    <w14:schemeClr w14:val="tx1"/>
                  </w14:solidFill>
                </w14:textFill>
              </w:rPr>
              <w:t>MBR+反渗透</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处理工艺，</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新建处理规模30.0m</w:t>
            </w:r>
            <w:r>
              <w:rPr>
                <w:rFonts w:hint="default" w:ascii="Times New Roman" w:hAnsi="Times New Roman" w:eastAsia="宋体" w:cs="Times New Roman"/>
                <w:snapToGrid w:val="0"/>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/d的生活垃圾渗滤液处理厂一座，主要构（建）筑物包括调节池、MBR综合池、污泥池和综合用房等，具体构（建）筑物</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t>设备</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见下表。</w:t>
            </w:r>
          </w:p>
          <w:p>
            <w:pPr>
              <w:adjustRightInd w:val="0"/>
              <w:snapToGrid w:val="0"/>
              <w:spacing w:line="560" w:lineRule="exact"/>
              <w:ind w:right="84" w:rightChars="30"/>
              <w:jc w:val="center"/>
              <w:rPr>
                <w:rStyle w:val="98"/>
                <w:rFonts w:hint="default" w:ascii="Times New Roman" w:hAnsi="Times New Roman" w:cs="Times New Roman"/>
                <w:b/>
                <w:color w:val="000000" w:themeColor="text1"/>
                <w:sz w:val="21"/>
                <w14:textFill>
                  <w14:solidFill>
                    <w14:schemeClr w14:val="tx1"/>
                  </w14:solidFill>
                </w14:textFill>
              </w:rPr>
            </w:pPr>
            <w:r>
              <w:rPr>
                <w:rStyle w:val="98"/>
                <w:rFonts w:hint="default" w:ascii="Times New Roman" w:hAnsi="Times New Roman" w:cs="Times New Roman"/>
                <w:b/>
                <w:color w:val="000000" w:themeColor="text1"/>
                <w:sz w:val="21"/>
                <w14:textFill>
                  <w14:solidFill>
                    <w14:schemeClr w14:val="tx1"/>
                  </w14:solidFill>
                </w14:textFill>
              </w:rPr>
              <w:t>表1  主要工程内容</w:t>
            </w:r>
          </w:p>
          <w:tbl>
            <w:tblPr>
              <w:tblStyle w:val="32"/>
              <w:tblW w:w="91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11"/>
              <w:gridCol w:w="1838"/>
              <w:gridCol w:w="5393"/>
              <w:gridCol w:w="1016"/>
              <w:gridCol w:w="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340" w:hRule="atLeast"/>
                <w:tblHeader/>
                <w:jc w:val="center"/>
              </w:trPr>
              <w:tc>
                <w:tcPr>
                  <w:tcW w:w="71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分类</w:t>
                  </w: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建设内容</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工程内容</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180" w:hRule="atLeast"/>
                <w:jc w:val="center"/>
              </w:trPr>
              <w:tc>
                <w:tcPr>
                  <w:tcW w:w="711" w:type="dxa"/>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体</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程</w:t>
                  </w: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渗滤液收集池</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1座，钢混结构，防渗，容积720m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180" w:hRule="atLeast"/>
                <w:jc w:val="center"/>
              </w:trPr>
              <w:tc>
                <w:tcPr>
                  <w:tcW w:w="711" w:type="dxa"/>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调节池</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1座，钢混结构，防渗，规格16.4×8.2×4.0m=537.9m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180" w:hRule="atLeast"/>
                <w:jc w:val="center"/>
              </w:trPr>
              <w:tc>
                <w:tcPr>
                  <w:tcW w:w="711" w:type="dxa"/>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MBR综合池</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1座，其中包括反硝化池、硝化池、中间水池和清水池，钢混结构，防渗，规格15.9×9.4×5.2m=777.2m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180" w:hRule="atLeast"/>
                <w:jc w:val="center"/>
              </w:trPr>
              <w:tc>
                <w:tcPr>
                  <w:tcW w:w="711" w:type="dxa"/>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污泥池</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1座，钢混结构，防渗，规格3.0×3.0×4.7m=42.3m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556" w:hRule="atLeast"/>
                <w:jc w:val="center"/>
              </w:trPr>
              <w:tc>
                <w:tcPr>
                  <w:tcW w:w="71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辅助</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w:t>
                  </w: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综合用房</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1座，其中包括加药间、膜处理车间、风机房、配电室和控制室等，框架结构，面积33.3×9.6=319.7m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，层高5.5m</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340" w:hRule="atLeast"/>
                <w:jc w:val="center"/>
              </w:trPr>
              <w:tc>
                <w:tcPr>
                  <w:tcW w:w="711" w:type="dxa"/>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程</w:t>
                  </w: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依托填埋场现有供水系统进行供水</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340" w:hRule="atLeast"/>
                <w:jc w:val="center"/>
              </w:trPr>
              <w:tc>
                <w:tcPr>
                  <w:tcW w:w="711" w:type="dxa"/>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排入现有收集池收集，通过本项目污水处理系统进行处理</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340" w:hRule="atLeast"/>
                <w:jc w:val="center"/>
              </w:trPr>
              <w:tc>
                <w:tcPr>
                  <w:tcW w:w="711" w:type="dxa"/>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依托填埋场已接入电网进行供电</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340" w:hRule="atLeast"/>
                <w:jc w:val="center"/>
              </w:trPr>
              <w:tc>
                <w:tcPr>
                  <w:tcW w:w="711" w:type="dxa"/>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供热</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冬季不运行，值班使用电采暖</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185" w:hRule="atLeast"/>
                <w:jc w:val="center"/>
              </w:trPr>
              <w:tc>
                <w:tcPr>
                  <w:tcW w:w="711" w:type="dxa"/>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程</w:t>
                  </w: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废气处理</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废气主要为厂区内氨和硫化氢等臭气，集中收集后由离子除臭器处理，高15m排气筒排放。</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95" w:hRule="atLeast"/>
                <w:jc w:val="center"/>
              </w:trPr>
              <w:tc>
                <w:tcPr>
                  <w:tcW w:w="711" w:type="dxa"/>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废水处理</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渗滤液及生活污水经本项目处理后，用于厂区周边洒水降尘和绿化。</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340" w:hRule="atLeast"/>
                <w:jc w:val="center"/>
              </w:trPr>
              <w:tc>
                <w:tcPr>
                  <w:tcW w:w="711" w:type="dxa"/>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噪声处理</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采用基础减振、建筑隔声等措施。</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gridAfter w:val="1"/>
                <w:wAfter w:w="202" w:type="dxa"/>
                <w:trHeight w:val="340" w:hRule="atLeast"/>
                <w:jc w:val="center"/>
              </w:trPr>
              <w:tc>
                <w:tcPr>
                  <w:tcW w:w="711" w:type="dxa"/>
                  <w:vMerge w:val="continue"/>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38"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固废处理</w:t>
                  </w:r>
                </w:p>
              </w:tc>
              <w:tc>
                <w:tcPr>
                  <w:tcW w:w="539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生活垃圾集中收集后直接在填埋场进行填埋处理；环评要求污泥须经过脱水至含水率小于60%后，由污泥螺杆泵排至填埋场填埋处理。</w:t>
                  </w:r>
                </w:p>
              </w:tc>
              <w:tc>
                <w:tcPr>
                  <w:tcW w:w="101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337" w:hRule="exact"/>
                <w:jc w:val="center"/>
              </w:trPr>
              <w:tc>
                <w:tcPr>
                  <w:tcW w:w="9160" w:type="dxa"/>
                  <w:gridSpan w:val="5"/>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注：本项目防渗均使用水泥基渗透结晶型防水涂料。根据陈兵等的《水泥基渗透结晶型防水材料性能研究》研究结果表明：水泥基渗透结晶型防水材料通过渗透作用，在混凝土内部形成高强微晶体 ,封闭混凝土内的细微裂缝和毛细通道，阻止水分渗入，达到永久性防水防渗作用；并且该涂料是目</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前最环保、防渗性最好的防渗材料之一。故渗滤液收集池等本项目防渗使用该材料防渗较为可行。</w:t>
                  </w:r>
                </w:p>
              </w:tc>
            </w:tr>
          </w:tbl>
          <w:p>
            <w:pPr>
              <w:adjustRightInd w:val="0"/>
              <w:snapToGrid w:val="0"/>
              <w:spacing w:line="560" w:lineRule="exact"/>
              <w:ind w:right="84" w:rightChars="30"/>
              <w:jc w:val="center"/>
              <w:rPr>
                <w:rStyle w:val="98"/>
                <w:rFonts w:hint="default" w:ascii="Times New Roman" w:hAnsi="Times New Roman" w:cs="Times New Roman"/>
                <w:b/>
                <w:color w:val="000000" w:themeColor="text1"/>
                <w:sz w:val="21"/>
                <w14:textFill>
                  <w14:solidFill>
                    <w14:schemeClr w14:val="tx1"/>
                  </w14:solidFill>
                </w14:textFill>
              </w:rPr>
            </w:pPr>
            <w:r>
              <w:rPr>
                <w:rStyle w:val="98"/>
                <w:rFonts w:hint="default" w:ascii="Times New Roman" w:hAnsi="Times New Roman" w:cs="Times New Roman"/>
                <w:b/>
                <w:color w:val="000000" w:themeColor="text1"/>
                <w:sz w:val="21"/>
                <w14:textFill>
                  <w14:solidFill>
                    <w14:schemeClr w14:val="tx1"/>
                  </w14:solidFill>
                </w14:textFill>
              </w:rPr>
              <w:t>表2  主要设备一览表</w:t>
            </w:r>
          </w:p>
          <w:tbl>
            <w:tblPr>
              <w:tblStyle w:val="32"/>
              <w:tblW w:w="905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767"/>
              <w:gridCol w:w="3805"/>
              <w:gridCol w:w="720"/>
              <w:gridCol w:w="644"/>
              <w:gridCol w:w="1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序号</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名称</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规格参数</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数量</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单位</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一</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提升单元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提升泵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Q=5m3/h；H=15m；N=0.75kw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2用2备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清水外排泵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Q=5m3/h；H=17.5m；N=0.55kW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液位变送器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量程：0～10m</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二</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生化单元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混合搅拌器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φ=400mm；740r/min；N=2.5kw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回流泵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Q=15m3/h；H=15m；N=1.5kw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过滤器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管式微孔曝气器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φ69×1030</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88</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支</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硝化池风机</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Q=15.8m3/min；P=49kPa；N=30kw；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DO在线检测仪</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量程：0~20mg/L</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关键仪表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液位变送器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量程：0～10m</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pH调节计量泵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Q=26L/h；10bar；N=0.25kW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消泡泵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Q=5m</w:t>
                  </w:r>
                  <w:r>
                    <w:rPr>
                      <w:rFonts w:hint="default" w:ascii="Times New Roman" w:hAnsi="Times New Roman" w:cs="Times New Roman" w:eastAsiaTheme="minorEastAsia"/>
                      <w:color w:val="000000" w:themeColor="text1"/>
                      <w:kern w:val="0"/>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1"/>
                      <w:szCs w:val="21"/>
                      <w14:textFill>
                        <w14:solidFill>
                          <w14:schemeClr w14:val="tx1"/>
                        </w14:solidFill>
                      </w14:textFill>
                    </w:rPr>
                    <w:t>/h；H=24m；N=0.55kW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药剂桶</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500L  PE</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溶液搅拌器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N=0.55kw；80r/min</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三</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MBR膜单元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MBR膜</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SA=25m2（材质：PVDF中空纤维膜）</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支</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不锈钢膜池</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尺寸：1.3×1.1×3.6m，</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材质SS304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膜池风机</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Q=0.84m3/min；P=29kPa；N=1.1kw；1000rpm</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抽水泵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全流量220L/min；全扬程13m；N=0.75kw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给水泵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Q=15m3/h；H=15m；N=1.5kw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回水泵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Q=15m3/h；H=15m；N=1.5kw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过滤器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电磁流量计</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DN32；PN6</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压力变送器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0～0.6bar</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四</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MBR膜清洗单元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差压变送器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0～100kPa</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清洗泵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全流量220L/min；全扬程13m；N=0.75kw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Y型过滤器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UPVC DN40</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清洗桶</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500L  PE</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溶液搅拌器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N=0.55kw；80r/min</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五</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反渗透单元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反渗透装置</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不锈钢成套装置；承600PSI</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反渗透膜</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SA=7.6m2；4″</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15</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反渗透进水泵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Q=3.6m3/h；H=50m；N=1.1kW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反渗透高压泵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Q=3.6m3/h；H=280m；N=6kw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进水电磁流量计</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DN32；PN6</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关键仪表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出水电磁流量计</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DN32；PN6</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关键仪表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电导率在线仪</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量程：10~10000μS</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关键仪表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电导率在线仪</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量程：100~200000μS</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关键仪表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ORP在线仪</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量程：±2000mV</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关键仪表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pH在线仪</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0-14</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关键仪表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11</w:t>
                  </w:r>
                </w:p>
              </w:tc>
              <w:tc>
                <w:tcPr>
                  <w:tcW w:w="176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压力变送器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0～40bar</w:t>
                  </w:r>
                </w:p>
              </w:tc>
              <w:tc>
                <w:tcPr>
                  <w:tcW w:w="72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关键仪表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12</w:t>
                  </w:r>
                </w:p>
              </w:tc>
              <w:tc>
                <w:tcPr>
                  <w:tcW w:w="176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压力变送器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0～6bar</w:t>
                  </w:r>
                </w:p>
              </w:tc>
              <w:tc>
                <w:tcPr>
                  <w:tcW w:w="72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关键仪表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电动调节球阀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xml:space="preserve">PN40 </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316L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UPVC电动球阀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xml:space="preserve">PN10 </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UPVC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不锈钢电动球阀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PN40</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316L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不锈钢电动球阀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xml:space="preserve">PN40 </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316L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不锈钢手动球阀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xml:space="preserve">PN40 </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316L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不锈钢手动球阀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xml:space="preserve">PN40 </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316L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不锈钢手动球阀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xml:space="preserve">PN40 </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316L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六</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反渗透加药单元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袋式保安过滤器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最大流量20m</w:t>
                  </w:r>
                  <w:r>
                    <w:rPr>
                      <w:rFonts w:hint="default" w:ascii="Times New Roman" w:hAnsi="Times New Roman" w:cs="Times New Roman" w:eastAsiaTheme="minorEastAsia"/>
                      <w:color w:val="000000" w:themeColor="text1"/>
                      <w:kern w:val="0"/>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1"/>
                      <w:szCs w:val="21"/>
                      <w14:textFill>
                        <w14:solidFill>
                          <w14:schemeClr w14:val="tx1"/>
                        </w14:solidFill>
                      </w14:textFill>
                    </w:rPr>
                    <w:t>/h；5μm；DN40滤袋：尼龙</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壳体不锈钢316L；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加酸计量泵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6L/h；8bar；0.02kw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还原剂计量泵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6L/h；8bar；0.02kw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阻垢剂计量泵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1.2L/h；10bar；0.015kw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清洗剂计量泵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26L/h；10bar；0.25kW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药液箱</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200L  PE</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座</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酸、阻垢剂、还原剂药液箱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七</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反渗透清洗单元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清洗泵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全流量300L/min；全扬程19m；N=1.5kw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清洗药液罐</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500L  PE</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溶液搅拌器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N=0.55kw；80r/min</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袋式保安过滤器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最大流量20m</w:t>
                  </w:r>
                  <w:r>
                    <w:rPr>
                      <w:rFonts w:hint="default" w:ascii="Times New Roman" w:hAnsi="Times New Roman" w:cs="Times New Roman" w:eastAsiaTheme="minorEastAsia"/>
                      <w:color w:val="000000" w:themeColor="text1"/>
                      <w:kern w:val="0"/>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1"/>
                      <w:szCs w:val="21"/>
                      <w14:textFill>
                        <w14:solidFill>
                          <w14:schemeClr w14:val="tx1"/>
                        </w14:solidFill>
                      </w14:textFill>
                    </w:rPr>
                    <w:t>/h；5μm；DN40；壳体不锈钢316L；滤袋：尼龙</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八</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污泥单元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补水泵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Q=5m3/h；H=17.5m；N=0.55kW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回灌泵</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Q=5m3/h；H=60m，N=2.2kw</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九</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配电及控制单元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变压器</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SCB11-200-10/0.4kV</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低压配电柜</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柜型：GCS柜</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现场控制箱</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非标定制</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批</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PLC柜</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非标定制</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台</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触摸屏、工控机等</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含显示器、键鼠套装、UPS电源、交换机、操作系统等</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监控操作台</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含座椅</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PLC编程软件</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STEP 7-MicroWIN SMART</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xml:space="preserve"> 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组态软件</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套</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网线</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五类线</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600</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电线电缆</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包含满足整个工艺需要的管材管线及阀门等</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批</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管材管线及其他</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包含满足整个工艺需要的电线电缆</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批</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七</w:t>
                  </w:r>
                </w:p>
              </w:tc>
              <w:tc>
                <w:tcPr>
                  <w:tcW w:w="8299" w:type="dxa"/>
                  <w:gridSpan w:val="5"/>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主要管件、材料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空气管</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DN250（Q235）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57</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空气管</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DN150（Q235）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空气管</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DN100（Q235）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空气管</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生产管线</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DN100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141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生产管线</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170</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生产管线</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323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生产管线</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DN40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生产管线</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268</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生产管线</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DN25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90</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生产管线</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φ63 1.0MPa（PE）</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150</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排水管</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DN225 （HDPE）</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米</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90°弯头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DN100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90°弯头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DN250 (Q235)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90°弯头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90°弯头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38</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90°弯头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90°弯头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90°弯头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D40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20</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90°弯头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87</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45°弯头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DN150 (Q235)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45°弯头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45°弯头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D40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钢制大小头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DN150×250(Q235)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正三通</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DN250 (Q235)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正三通</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正三通</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正三通</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异径三通</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DN50×100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30</w:t>
                  </w:r>
                </w:p>
              </w:tc>
              <w:tc>
                <w:tcPr>
                  <w:tcW w:w="1767"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异径三通</w:t>
                  </w:r>
                </w:p>
              </w:tc>
              <w:tc>
                <w:tcPr>
                  <w:tcW w:w="3805"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DN40×50 1.0MPa(UPVC)</w:t>
                  </w:r>
                </w:p>
              </w:tc>
              <w:tc>
                <w:tcPr>
                  <w:tcW w:w="72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31</w:t>
                  </w:r>
                </w:p>
              </w:tc>
              <w:tc>
                <w:tcPr>
                  <w:tcW w:w="1767"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异径三通</w:t>
                  </w:r>
                </w:p>
              </w:tc>
              <w:tc>
                <w:tcPr>
                  <w:tcW w:w="3805"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DN32×50 1.0MPa(UPVC)</w:t>
                  </w:r>
                </w:p>
              </w:tc>
              <w:tc>
                <w:tcPr>
                  <w:tcW w:w="72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32</w:t>
                  </w:r>
                </w:p>
              </w:tc>
              <w:tc>
                <w:tcPr>
                  <w:tcW w:w="1767"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异径三通</w:t>
                  </w:r>
                </w:p>
              </w:tc>
              <w:tc>
                <w:tcPr>
                  <w:tcW w:w="3805"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DN25×50 1.0MPa(UPVC)</w:t>
                  </w:r>
                </w:p>
              </w:tc>
              <w:tc>
                <w:tcPr>
                  <w:tcW w:w="72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钢制法兰</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DN250(Q235)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钢制法兰</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DN150(Q235)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钢制法兰</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法兰</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DN100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法兰</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法兰</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法兰</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40</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钢制堵头</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DN100(Q235)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补芯</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DN80×100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异径三通</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DN50×100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钢制蝶阀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DN150（Q235）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钢制蝶阀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DN50（Q235）</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蝶阀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DN100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蝶阀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16</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蝶阀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底阀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闸阀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DN25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50</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DN40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52</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球阀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14</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53</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不锈钢止回阀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DN50（304）</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54</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止回阀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 1.0MPa(SS304)</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55</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止回阀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56</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止回阀</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57</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柔接</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 1.0MPa（SS304）</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58</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柔接</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DN80 （橡胶）</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59</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柔接</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（橡胶）</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60</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柔接</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DN32 （橡胶）</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61</w:t>
                  </w:r>
                </w:p>
              </w:tc>
              <w:tc>
                <w:tcPr>
                  <w:tcW w:w="176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活接</w:t>
                  </w:r>
                </w:p>
              </w:tc>
              <w:tc>
                <w:tcPr>
                  <w:tcW w:w="38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DN50 1.0MPa（UPVC）</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64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个</w:t>
                  </w:r>
                </w:p>
              </w:tc>
              <w:tc>
                <w:tcPr>
                  <w:tcW w:w="136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r>
          </w:tbl>
          <w:p>
            <w:pPr>
              <w:adjustRightInd w:val="0"/>
              <w:snapToGrid w:val="0"/>
              <w:spacing w:line="560" w:lineRule="exact"/>
              <w:ind w:left="84" w:leftChars="30" w:firstLine="482" w:firstLineChars="200"/>
              <w:rPr>
                <w:rStyle w:val="98"/>
                <w:rFonts w:hint="default" w:ascii="Times New Roman" w:hAnsi="Times New Roman" w:cs="Times New Roman"/>
                <w:b/>
                <w:color w:val="000000" w:themeColor="text1"/>
                <w14:textFill>
                  <w14:solidFill>
                    <w14:schemeClr w14:val="tx1"/>
                  </w14:solidFill>
                </w14:textFill>
              </w:rPr>
            </w:pPr>
            <w:r>
              <w:rPr>
                <w:rStyle w:val="98"/>
                <w:rFonts w:hint="default" w:ascii="Times New Roman" w:hAnsi="Times New Roman" w:cs="Times New Roman"/>
                <w:b/>
                <w:color w:val="000000" w:themeColor="text1"/>
                <w14:textFill>
                  <w14:solidFill>
                    <w14:schemeClr w14:val="tx1"/>
                  </w14:solidFill>
                </w14:textFill>
              </w:rPr>
              <w:t>3、主要原辅材料及能源消耗情况</w:t>
            </w:r>
          </w:p>
          <w:p>
            <w:pPr>
              <w:adjustRightInd w:val="0"/>
              <w:snapToGrid w:val="0"/>
              <w:spacing w:line="560" w:lineRule="exact"/>
              <w:ind w:left="84" w:leftChars="30" w:firstLine="480" w:firstLineChars="200"/>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项目生产主要原辅材料及能源消耗情况见下表。</w:t>
            </w:r>
          </w:p>
          <w:p>
            <w:pPr>
              <w:pStyle w:val="158"/>
              <w:spacing w:before="156" w:beforeLines="50" w:line="240" w:lineRule="auto"/>
              <w:ind w:firstLine="0" w:firstLineChars="0"/>
              <w:jc w:val="center"/>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表3   主要原辅材料及能源用量</w:t>
            </w:r>
          </w:p>
          <w:tbl>
            <w:tblPr>
              <w:tblStyle w:val="32"/>
              <w:tblW w:w="907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071"/>
              <w:gridCol w:w="1638"/>
              <w:gridCol w:w="1418"/>
              <w:gridCol w:w="2154"/>
              <w:gridCol w:w="20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8"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107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名  称</w:t>
                  </w:r>
                </w:p>
              </w:tc>
              <w:tc>
                <w:tcPr>
                  <w:tcW w:w="163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消耗量</w:t>
                  </w:r>
                </w:p>
              </w:tc>
              <w:tc>
                <w:tcPr>
                  <w:tcW w:w="141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储存量</w:t>
                  </w:r>
                </w:p>
              </w:tc>
              <w:tc>
                <w:tcPr>
                  <w:tcW w:w="2154"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储存方式</w:t>
                  </w:r>
                </w:p>
              </w:tc>
              <w:tc>
                <w:tcPr>
                  <w:tcW w:w="2084"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8"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w:t>
                  </w:r>
                </w:p>
              </w:tc>
              <w:tc>
                <w:tcPr>
                  <w:tcW w:w="107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还原剂</w:t>
                  </w:r>
                </w:p>
              </w:tc>
              <w:tc>
                <w:tcPr>
                  <w:tcW w:w="163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1.2t/a</w:t>
                  </w:r>
                </w:p>
              </w:tc>
              <w:tc>
                <w:tcPr>
                  <w:tcW w:w="141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0.5t</w:t>
                  </w:r>
                </w:p>
              </w:tc>
              <w:tc>
                <w:tcPr>
                  <w:tcW w:w="2154"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桶装</w:t>
                  </w:r>
                </w:p>
              </w:tc>
              <w:tc>
                <w:tcPr>
                  <w:tcW w:w="2084"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反渗透装置和MBR膜装置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8"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w:t>
                  </w:r>
                </w:p>
              </w:tc>
              <w:tc>
                <w:tcPr>
                  <w:tcW w:w="107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阻垢剂</w:t>
                  </w:r>
                </w:p>
              </w:tc>
              <w:tc>
                <w:tcPr>
                  <w:tcW w:w="163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0.1t/a</w:t>
                  </w:r>
                </w:p>
              </w:tc>
              <w:tc>
                <w:tcPr>
                  <w:tcW w:w="141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0.1t</w:t>
                  </w:r>
                </w:p>
              </w:tc>
              <w:tc>
                <w:tcPr>
                  <w:tcW w:w="2154"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桶装</w:t>
                  </w:r>
                </w:p>
              </w:tc>
              <w:tc>
                <w:tcPr>
                  <w:tcW w:w="2084"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反渗透装置和MBR膜装置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8"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w:t>
                  </w:r>
                </w:p>
              </w:tc>
              <w:tc>
                <w:tcPr>
                  <w:tcW w:w="107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消泡剂</w:t>
                  </w:r>
                </w:p>
              </w:tc>
              <w:tc>
                <w:tcPr>
                  <w:tcW w:w="163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0.6t/a</w:t>
                  </w:r>
                </w:p>
              </w:tc>
              <w:tc>
                <w:tcPr>
                  <w:tcW w:w="141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0.3t</w:t>
                  </w:r>
                </w:p>
              </w:tc>
              <w:tc>
                <w:tcPr>
                  <w:tcW w:w="2154"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桶装</w:t>
                  </w:r>
                </w:p>
              </w:tc>
              <w:tc>
                <w:tcPr>
                  <w:tcW w:w="2084"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MBR膜装置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8"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p>
              </w:tc>
              <w:tc>
                <w:tcPr>
                  <w:tcW w:w="107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柠檬酸</w:t>
                  </w:r>
                </w:p>
              </w:tc>
              <w:tc>
                <w:tcPr>
                  <w:tcW w:w="163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1.0t/a</w:t>
                  </w:r>
                </w:p>
              </w:tc>
              <w:tc>
                <w:tcPr>
                  <w:tcW w:w="141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0.5t</w:t>
                  </w:r>
                </w:p>
              </w:tc>
              <w:tc>
                <w:tcPr>
                  <w:tcW w:w="2154"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桶装</w:t>
                  </w:r>
                </w:p>
              </w:tc>
              <w:tc>
                <w:tcPr>
                  <w:tcW w:w="2084"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调节pH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w:t>
                  </w:r>
                </w:p>
              </w:tc>
              <w:tc>
                <w:tcPr>
                  <w:tcW w:w="107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片碱</w:t>
                  </w:r>
                </w:p>
              </w:tc>
              <w:tc>
                <w:tcPr>
                  <w:tcW w:w="163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1.0t/a</w:t>
                  </w:r>
                </w:p>
              </w:tc>
              <w:tc>
                <w:tcPr>
                  <w:tcW w:w="141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0.5t</w:t>
                  </w:r>
                </w:p>
              </w:tc>
              <w:tc>
                <w:tcPr>
                  <w:tcW w:w="2154"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桶装</w:t>
                  </w:r>
                </w:p>
              </w:tc>
              <w:tc>
                <w:tcPr>
                  <w:tcW w:w="2084"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调节pH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70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w:t>
                  </w:r>
                </w:p>
              </w:tc>
              <w:tc>
                <w:tcPr>
                  <w:tcW w:w="107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次氯酸钠</w:t>
                  </w:r>
                </w:p>
              </w:tc>
              <w:tc>
                <w:tcPr>
                  <w:tcW w:w="163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0.6t/a</w:t>
                  </w:r>
                </w:p>
              </w:tc>
              <w:tc>
                <w:tcPr>
                  <w:tcW w:w="141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0.3t</w:t>
                  </w:r>
                </w:p>
              </w:tc>
              <w:tc>
                <w:tcPr>
                  <w:tcW w:w="2154"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桶装</w:t>
                  </w:r>
                </w:p>
              </w:tc>
              <w:tc>
                <w:tcPr>
                  <w:tcW w:w="2084"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MBR膜清洗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70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w:t>
                  </w:r>
                </w:p>
              </w:tc>
              <w:tc>
                <w:tcPr>
                  <w:tcW w:w="107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新鲜水</w:t>
                  </w:r>
                </w:p>
              </w:tc>
              <w:tc>
                <w:tcPr>
                  <w:tcW w:w="163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33.075m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/a</w:t>
                  </w:r>
                </w:p>
              </w:tc>
              <w:tc>
                <w:tcPr>
                  <w:tcW w:w="141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2154"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自来水</w:t>
                  </w:r>
                </w:p>
              </w:tc>
              <w:tc>
                <w:tcPr>
                  <w:tcW w:w="2084"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职工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70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8</w:t>
                  </w:r>
                </w:p>
              </w:tc>
              <w:tc>
                <w:tcPr>
                  <w:tcW w:w="1071"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电</w:t>
                  </w:r>
                </w:p>
              </w:tc>
              <w:tc>
                <w:tcPr>
                  <w:tcW w:w="163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5万KW/a</w:t>
                  </w:r>
                </w:p>
              </w:tc>
              <w:tc>
                <w:tcPr>
                  <w:tcW w:w="1418"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2154" w:type="dxa"/>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市政电网</w:t>
                  </w:r>
                </w:p>
              </w:tc>
              <w:tc>
                <w:tcPr>
                  <w:tcW w:w="2084" w:type="dxa"/>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设备</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Style w:val="98"/>
                <w:rFonts w:hint="default" w:ascii="Times New Roman" w:hAnsi="Times New Roman" w:cs="Times New Roman"/>
                <w:b/>
                <w:color w:val="000000" w:themeColor="text1"/>
                <w14:textFill>
                  <w14:solidFill>
                    <w14:schemeClr w14:val="tx1"/>
                  </w14:solidFill>
                </w14:textFill>
              </w:rPr>
            </w:pPr>
            <w:r>
              <w:rPr>
                <w:rStyle w:val="98"/>
                <w:rFonts w:hint="default" w:ascii="Times New Roman" w:hAnsi="Times New Roman" w:cs="Times New Roman"/>
                <w:b/>
                <w:color w:val="000000" w:themeColor="text1"/>
                <w14:textFill>
                  <w14:solidFill>
                    <w14:schemeClr w14:val="tx1"/>
                  </w14:solidFill>
                </w14:textFill>
              </w:rPr>
              <w:t>4、劳动定员及工作制度</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Style w:val="98"/>
                <w:rFonts w:hint="default" w:ascii="Times New Roman" w:hAnsi="Times New Roman" w:cs="Times New Roman"/>
                <w:snapToGrid/>
                <w:color w:val="000000" w:themeColor="text1"/>
                <w:kern w:val="2"/>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本项目新增劳动定员共3人，全年运行245天（冬季结冰期约120天，不运行），生产班制为一班制</w:t>
            </w:r>
            <w:r>
              <w:rPr>
                <w:rStyle w:val="98"/>
                <w:rFonts w:hint="default" w:ascii="Times New Roman" w:hAnsi="Times New Roman" w:cs="Times New Roman"/>
                <w:snapToGrid/>
                <w:color w:val="000000" w:themeColor="text1"/>
                <w:kern w:val="2"/>
                <w:lang w:val="en-US"/>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2" w:firstLineChars="250"/>
              <w:textAlignment w:val="auto"/>
              <w:rPr>
                <w:rStyle w:val="98"/>
                <w:rFonts w:hint="default" w:ascii="Times New Roman" w:hAnsi="Times New Roman" w:cs="Times New Roman"/>
                <w:b/>
                <w:color w:val="000000" w:themeColor="text1"/>
                <w14:textFill>
                  <w14:solidFill>
                    <w14:schemeClr w14:val="tx1"/>
                  </w14:solidFill>
                </w14:textFill>
              </w:rPr>
            </w:pPr>
            <w:r>
              <w:rPr>
                <w:rStyle w:val="98"/>
                <w:rFonts w:hint="default" w:ascii="Times New Roman" w:hAnsi="Times New Roman" w:cs="Times New Roman"/>
                <w:b/>
                <w:color w:val="000000" w:themeColor="text1"/>
                <w14:textFill>
                  <w14:solidFill>
                    <w14:schemeClr w14:val="tx1"/>
                  </w14:solidFill>
                </w14:textFill>
              </w:rPr>
              <w:t>5、项目投资</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50"/>
              <w:textAlignment w:val="auto"/>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本项目总投资</w:t>
            </w:r>
            <w:r>
              <w:rPr>
                <w:rStyle w:val="98"/>
                <w:rFonts w:hint="default" w:ascii="Times New Roman" w:hAnsi="Times New Roman" w:eastAsia="宋体" w:cs="Times New Roman"/>
                <w:color w:val="000000" w:themeColor="text1"/>
                <w:lang w:eastAsia="zh-CN"/>
                <w14:textFill>
                  <w14:solidFill>
                    <w14:schemeClr w14:val="tx1"/>
                  </w14:solidFill>
                </w14:textFill>
              </w:rPr>
              <w:t>650.0</w:t>
            </w:r>
            <w:r>
              <w:rPr>
                <w:rStyle w:val="98"/>
                <w:rFonts w:hint="default" w:ascii="Times New Roman" w:hAnsi="Times New Roman" w:cs="Times New Roman"/>
                <w:color w:val="000000" w:themeColor="text1"/>
                <w14:textFill>
                  <w14:solidFill>
                    <w14:schemeClr w14:val="tx1"/>
                  </w14:solidFill>
                </w14:textFill>
              </w:rPr>
              <w:t>万元，</w:t>
            </w:r>
            <w:r>
              <w:rPr>
                <w:rFonts w:hint="default" w:ascii="Times New Roman" w:hAnsi="Times New Roman" w:eastAsia="宋体" w:cs="Times New Roman"/>
                <w:color w:val="000000" w:themeColor="text1"/>
                <w:sz w:val="24"/>
                <w:szCs w:val="24"/>
                <w14:textFill>
                  <w14:solidFill>
                    <w14:schemeClr w14:val="tx1"/>
                  </w14:solidFill>
                </w14:textFill>
              </w:rPr>
              <w:t>拟申</w:t>
            </w:r>
            <w:r>
              <w:rPr>
                <w:rFonts w:hint="default" w:ascii="Times New Roman" w:hAnsi="Times New Roman" w:eastAsia="宋体" w:cs="Times New Roman"/>
                <w:color w:val="000000" w:themeColor="text1"/>
                <w:spacing w:val="-3"/>
                <w:sz w:val="24"/>
                <w:szCs w:val="24"/>
                <w14:textFill>
                  <w14:solidFill>
                    <w14:schemeClr w14:val="tx1"/>
                  </w14:solidFill>
                </w14:textFill>
              </w:rPr>
              <w:t>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财政</w:t>
            </w:r>
            <w:r>
              <w:rPr>
                <w:rFonts w:hint="default" w:ascii="Times New Roman" w:hAnsi="Times New Roman" w:eastAsia="宋体" w:cs="Times New Roman"/>
                <w:color w:val="000000" w:themeColor="text1"/>
                <w:spacing w:val="-3"/>
                <w:sz w:val="24"/>
                <w:szCs w:val="24"/>
                <w14:textFill>
                  <w14:solidFill>
                    <w14:schemeClr w14:val="tx1"/>
                  </w14:solidFill>
                </w14:textFill>
              </w:rPr>
              <w:t>资</w:t>
            </w:r>
            <w:r>
              <w:rPr>
                <w:rFonts w:hint="default" w:ascii="Times New Roman" w:hAnsi="Times New Roman" w:eastAsia="宋体" w:cs="Times New Roman"/>
                <w:color w:val="000000" w:themeColor="text1"/>
                <w:sz w:val="24"/>
                <w:szCs w:val="24"/>
                <w14:textFill>
                  <w14:solidFill>
                    <w14:schemeClr w14:val="tx1"/>
                  </w14:solidFill>
                </w14:textFill>
              </w:rPr>
              <w:t>金</w:t>
            </w:r>
            <w:r>
              <w:rPr>
                <w:rStyle w:val="98"/>
                <w:rFonts w:hint="default" w:ascii="Times New Roman" w:hAnsi="Times New Roman"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2" w:firstLineChars="250"/>
              <w:textAlignment w:val="auto"/>
              <w:rPr>
                <w:rStyle w:val="98"/>
                <w:rFonts w:hint="default" w:ascii="Times New Roman" w:hAnsi="Times New Roman" w:cs="Times New Roman"/>
                <w:b/>
                <w:color w:val="000000" w:themeColor="text1"/>
                <w14:textFill>
                  <w14:solidFill>
                    <w14:schemeClr w14:val="tx1"/>
                  </w14:solidFill>
                </w14:textFill>
              </w:rPr>
            </w:pPr>
            <w:r>
              <w:rPr>
                <w:rStyle w:val="98"/>
                <w:rFonts w:hint="default" w:ascii="Times New Roman" w:hAnsi="Times New Roman" w:cs="Times New Roman"/>
                <w:b/>
                <w:color w:val="000000" w:themeColor="text1"/>
                <w14:textFill>
                  <w14:solidFill>
                    <w14:schemeClr w14:val="tx1"/>
                  </w14:solidFill>
                </w14:textFill>
              </w:rPr>
              <w:t>6、服务范围及处理规模</w:t>
            </w:r>
          </w:p>
          <w:p>
            <w:pPr>
              <w:pStyle w:val="13"/>
              <w:keepNext w:val="0"/>
              <w:keepLines w:val="0"/>
              <w:pageBreakBefore w:val="0"/>
              <w:widowControl w:val="0"/>
              <w:kinsoku/>
              <w:wordWrap/>
              <w:overflowPunct/>
              <w:topLinePunct w:val="0"/>
              <w:autoSpaceDE/>
              <w:autoSpaceDN/>
              <w:bidi w:val="0"/>
              <w:spacing w:line="520" w:lineRule="exact"/>
              <w:ind w:firstLine="600" w:firstLineChars="25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（1）服务范围及来源</w:t>
            </w:r>
          </w:p>
          <w:p>
            <w:pPr>
              <w:pStyle w:val="13"/>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本工程服务范围为玛纳斯县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一期和二期</w:t>
            </w:r>
            <w:r>
              <w:rPr>
                <w:rFonts w:hint="default" w:ascii="Times New Roman" w:hAnsi="Times New Roman" w:eastAsia="宋体" w:cs="Times New Roman"/>
                <w:color w:val="000000" w:themeColor="text1"/>
                <w:sz w:val="24"/>
                <w:szCs w:val="24"/>
                <w14:textFill>
                  <w14:solidFill>
                    <w14:schemeClr w14:val="tx1"/>
                  </w14:solidFill>
                </w14:textFill>
              </w:rPr>
              <w:t>生活垃圾填埋场所产生的渗滤液。</w:t>
            </w:r>
          </w:p>
          <w:p>
            <w:pPr>
              <w:pStyle w:val="2"/>
              <w:keepNext w:val="0"/>
              <w:keepLines w:val="0"/>
              <w:pageBreakBefore w:val="0"/>
              <w:widowControl w:val="0"/>
              <w:kinsoku/>
              <w:wordWrap/>
              <w:overflowPunct/>
              <w:topLinePunct w:val="0"/>
              <w:autoSpaceDE/>
              <w:autoSpaceDN/>
              <w:bidi w:val="0"/>
              <w:spacing w:line="520" w:lineRule="exact"/>
              <w:ind w:firstLine="600" w:firstLineChars="250"/>
              <w:jc w:val="both"/>
              <w:textAlignment w:val="auto"/>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（2）渗滤液产生量的计算</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渗滤液产生量计算目前国内外已提出多种方法，主要有水量平衡法、经验公式法和经验统计法三种。水量平衡法综合考虑产生渗滤液的各种影响因素，以水量平衡和损益原理而建立，该法最准确但需要较多的基础数据，而我国现阶段相关资料不完整的情况限制了该法的应用。经验统计法是以相邻相似地区的实测渗滤液产生量为依据，推算出本地区的渗滤液产生量，该法不确定因素太多，计算的结果较粗糙，不能作为渗滤液计算的主要手段，通常仅用来作为参考，不用作主要计算方法。经验公式法的相关参数易于确定，计算结果准确，在工程中应用较广。</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①经验公式法</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lang w:eastAsia="zh-CN"/>
                <w14:textFill>
                  <w14:solidFill>
                    <w14:schemeClr w14:val="tx1"/>
                  </w14:solidFill>
                </w14:textFill>
              </w:rPr>
              <w:t>玛纳斯县生活垃圾渗滤液处理设备购置及安装项目</w:t>
            </w:r>
            <w:r>
              <w:rPr>
                <w:rFonts w:hint="default" w:ascii="Times New Roman" w:hAnsi="Times New Roman" w:eastAsia="宋体" w:cs="Times New Roman"/>
                <w:color w:val="000000" w:themeColor="text1"/>
                <w:kern w:val="28"/>
                <w:sz w:val="24"/>
                <w:szCs w:val="24"/>
                <w14:textFill>
                  <w14:solidFill>
                    <w14:schemeClr w14:val="tx1"/>
                  </w14:solidFill>
                </w14:textFill>
              </w:rPr>
              <w:t>可行性研究报告》中对</w:t>
            </w:r>
            <w:r>
              <w:rPr>
                <w:rStyle w:val="98"/>
                <w:rFonts w:hint="default" w:ascii="Times New Roman" w:hAnsi="Times New Roman" w:cs="Times New Roman"/>
                <w:color w:val="000000" w:themeColor="text1"/>
                <w14:textFill>
                  <w14:solidFill>
                    <w14:schemeClr w14:val="tx1"/>
                  </w14:solidFill>
                </w14:textFill>
              </w:rPr>
              <w:t>玛纳斯县城生活垃圾</w:t>
            </w:r>
            <w:r>
              <w:rPr>
                <w:rStyle w:val="98"/>
                <w:rFonts w:hint="default" w:ascii="Times New Roman" w:hAnsi="Times New Roman" w:eastAsia="宋体" w:cs="Times New Roman"/>
                <w:color w:val="000000" w:themeColor="text1"/>
                <w:lang w:val="en-US" w:eastAsia="zh-CN"/>
                <w14:textFill>
                  <w14:solidFill>
                    <w14:schemeClr w14:val="tx1"/>
                  </w14:solidFill>
                </w14:textFill>
              </w:rPr>
              <w:t>填埋场</w:t>
            </w:r>
            <w:r>
              <w:rPr>
                <w:rFonts w:hint="default" w:ascii="Times New Roman" w:hAnsi="Times New Roman" w:eastAsia="宋体" w:cs="Times New Roman"/>
                <w:color w:val="000000" w:themeColor="text1"/>
                <w:kern w:val="28"/>
                <w:sz w:val="24"/>
                <w:szCs w:val="24"/>
                <w14:textFill>
                  <w14:solidFill>
                    <w14:schemeClr w14:val="tx1"/>
                  </w14:solidFill>
                </w14:textFill>
              </w:rPr>
              <w:t>的计算以及采用《生活垃圾填埋场渗滤液处理工程技术规范（HJ564-2010）（试行）》中经验公式法进行的渗滤液产生量</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计算。</w:t>
            </w:r>
          </w:p>
          <w:p>
            <w:pPr>
              <w:keepNext w:val="0"/>
              <w:keepLines w:val="0"/>
              <w:pageBreakBefore w:val="0"/>
              <w:widowControl w:val="0"/>
              <w:kinsoku/>
              <w:wordWrap/>
              <w:overflowPunct/>
              <w:topLinePunct w:val="0"/>
              <w:autoSpaceDE/>
              <w:autoSpaceDN/>
              <w:bidi w:val="0"/>
              <w:spacing w:line="520" w:lineRule="exact"/>
              <w:ind w:firstLine="561"/>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生活垃圾填埋场渗滤液产生量与填埋作业方式，集雨面积，降雨量、填埋物性质、社会性质等多种因素有关。在垃圾渗滤液的各种来源中，大气降水是最主要的，其他因素对渗滤液水量影响很小。所以，目前渗滤液产生量一般用经验公式计算，即忽略各次要因素，只考虑大气降水，且渗滤液水量是指渗滤液平均日处理规模，因此宜按多年平均降雨量的标准进行计算。</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Q=（C·I·A）/365000</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式中： Q--为渗滤液产生量（m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28"/>
                <w:sz w:val="24"/>
                <w:szCs w:val="24"/>
                <w14:textFill>
                  <w14:solidFill>
                    <w14:schemeClr w14:val="tx1"/>
                  </w14:solidFill>
                </w14:textFill>
              </w:rPr>
              <w:t>/d</w:t>
            </w:r>
            <w:r>
              <w:rPr>
                <w:rFonts w:hint="default" w:ascii="Times New Roman" w:hAnsi="Times New Roman" w:eastAsia="宋体" w:cs="Times New Roman"/>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20" w:lineRule="exact"/>
              <w:ind w:firstLine="1320" w:firstLineChars="55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I--为年平均降雨强度（mm/a）</w:t>
            </w:r>
            <w:r>
              <w:rPr>
                <w:rFonts w:hint="default" w:ascii="Times New Roman" w:hAnsi="Times New Roman" w:eastAsia="宋体" w:cs="Times New Roman"/>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20" w:lineRule="exact"/>
              <w:ind w:firstLine="1320" w:firstLineChars="55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A--为填埋区面积（m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kern w:val="28"/>
                <w:sz w:val="24"/>
                <w:szCs w:val="24"/>
                <w14:textFill>
                  <w14:solidFill>
                    <w14:schemeClr w14:val="tx1"/>
                  </w14:solidFill>
                </w14:textFill>
              </w:rPr>
              <w:t>/d</w:t>
            </w:r>
            <w:r>
              <w:rPr>
                <w:rFonts w:hint="default" w:ascii="Times New Roman" w:hAnsi="Times New Roman" w:eastAsia="宋体" w:cs="Times New Roman"/>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20" w:lineRule="exact"/>
              <w:ind w:firstLine="1320" w:firstLineChars="55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C--为渗出系数</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结合玛纳斯县垃圾填埋场现状情况，本项目C值取1。</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经查项目区所在玛纳斯地区</w:t>
            </w:r>
            <w:r>
              <w:rPr>
                <w:rFonts w:hint="default" w:ascii="Times New Roman" w:hAnsi="Times New Roman" w:eastAsia="宋体" w:cs="Times New Roman"/>
                <w:color w:val="000000" w:themeColor="text1"/>
                <w:kern w:val="28"/>
                <w:sz w:val="24"/>
                <w:szCs w:val="24"/>
                <w14:textFill>
                  <w14:solidFill>
                    <w14:schemeClr w14:val="tx1"/>
                  </w14:solidFill>
                </w14:textFill>
              </w:rPr>
              <w:t>最大年降水量为251mm，多年平均降雨量为173</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kern w:val="28"/>
                <w:sz w:val="24"/>
                <w:szCs w:val="24"/>
                <w14:textFill>
                  <w14:solidFill>
                    <w14:schemeClr w14:val="tx1"/>
                  </w14:solidFill>
                </w14:textFill>
              </w:rPr>
              <w:t>mm，</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垃圾填埋场</w:t>
            </w:r>
            <w:r>
              <w:rPr>
                <w:rFonts w:hint="default" w:ascii="Times New Roman" w:hAnsi="Times New Roman" w:eastAsia="宋体" w:cs="Times New Roman"/>
                <w:color w:val="000000" w:themeColor="text1"/>
                <w:kern w:val="28"/>
                <w:sz w:val="24"/>
                <w:szCs w:val="24"/>
                <w14:textFill>
                  <w14:solidFill>
                    <w14:schemeClr w14:val="tx1"/>
                  </w14:solidFill>
                </w14:textFill>
              </w:rPr>
              <w:t>填埋面积32345.69m</w:t>
            </w:r>
            <w:r>
              <w:rPr>
                <w:rFonts w:hint="default" w:ascii="Times New Roman" w:hAnsi="Times New Roman" w:eastAsia="宋体" w:cs="Times New Roman"/>
                <w:color w:val="000000" w:themeColor="text1"/>
                <w:kern w:val="28"/>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kern w:val="28"/>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年最大降雨量垃圾渗滤液产出量</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Q=（1×251×32345.69）/365000＝22.24m</w:t>
            </w:r>
            <w:r>
              <w:rPr>
                <w:rFonts w:hint="default" w:ascii="Times New Roman" w:hAnsi="Times New Roman" w:eastAsia="宋体" w:cs="Times New Roman"/>
                <w:color w:val="000000" w:themeColor="text1"/>
                <w:kern w:val="28"/>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28"/>
                <w:sz w:val="24"/>
                <w:szCs w:val="24"/>
                <w14:textFill>
                  <w14:solidFill>
                    <w14:schemeClr w14:val="tx1"/>
                  </w14:solidFill>
                </w14:textFill>
              </w:rPr>
              <w:t>/d</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按夏季运行7个月，冬季5个月不运行计算：</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Q夏季=Q×7×30＝4670m</w:t>
            </w:r>
            <w:r>
              <w:rPr>
                <w:rFonts w:hint="default" w:ascii="Times New Roman" w:hAnsi="Times New Roman" w:eastAsia="宋体" w:cs="Times New Roman"/>
                <w:color w:val="000000" w:themeColor="text1"/>
                <w:kern w:val="28"/>
                <w:sz w:val="24"/>
                <w:szCs w:val="24"/>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Q冬季=Q×（365-7×30）×0.4＝1379m</w:t>
            </w:r>
            <w:r>
              <w:rPr>
                <w:rFonts w:hint="default" w:ascii="Times New Roman" w:hAnsi="Times New Roman" w:eastAsia="宋体" w:cs="Times New Roman"/>
                <w:color w:val="000000" w:themeColor="text1"/>
                <w:kern w:val="28"/>
                <w:sz w:val="24"/>
                <w:szCs w:val="24"/>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Q最大=（Q夏季+Q冬季）/（7×30）=28.8m</w:t>
            </w:r>
            <w:r>
              <w:rPr>
                <w:rFonts w:hint="default" w:ascii="Times New Roman" w:hAnsi="Times New Roman" w:eastAsia="宋体" w:cs="Times New Roman"/>
                <w:color w:val="000000" w:themeColor="text1"/>
                <w:kern w:val="28"/>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28"/>
                <w:sz w:val="24"/>
                <w:szCs w:val="24"/>
                <w14:textFill>
                  <w14:solidFill>
                    <w14:schemeClr w14:val="tx1"/>
                  </w14:solidFill>
                </w14:textFill>
              </w:rPr>
              <w:t>/d</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kern w:val="28"/>
                <w:sz w:val="24"/>
                <w:szCs w:val="24"/>
                <w14:textFill>
                  <w14:solidFill>
                    <w14:schemeClr w14:val="tx1"/>
                  </w14:solidFill>
                </w14:textFill>
              </w:rPr>
            </w:pPr>
            <w:r>
              <w:rPr>
                <w:rFonts w:hint="default" w:ascii="Times New Roman" w:hAnsi="Times New Roman" w:eastAsia="宋体" w:cs="Times New Roman"/>
                <w:color w:val="000000" w:themeColor="text1"/>
                <w:kern w:val="28"/>
                <w:sz w:val="24"/>
                <w:szCs w:val="24"/>
                <w14:textFill>
                  <w14:solidFill>
                    <w14:schemeClr w14:val="tx1"/>
                  </w14:solidFill>
                </w14:textFill>
              </w:rPr>
              <w:t>据经验公式估算垃圾镇埋场运营时年最大降雨量垃圾渗透液产生量为28.8m</w:t>
            </w:r>
            <w:r>
              <w:rPr>
                <w:rFonts w:hint="default" w:ascii="Times New Roman" w:hAnsi="Times New Roman" w:eastAsia="宋体" w:cs="Times New Roman"/>
                <w:color w:val="000000" w:themeColor="text1"/>
                <w:kern w:val="28"/>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28"/>
                <w:sz w:val="24"/>
                <w:szCs w:val="24"/>
                <w14:textFill>
                  <w14:solidFill>
                    <w14:schemeClr w14:val="tx1"/>
                  </w14:solidFill>
                </w14:textFill>
              </w:rPr>
              <w:t>/d。</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8"/>
                <w:sz w:val="24"/>
                <w:szCs w:val="24"/>
                <w:lang w:val="en-US"/>
                <w14:textFill>
                  <w14:solidFill>
                    <w14:schemeClr w14:val="tx1"/>
                  </w14:solidFill>
                </w14:textFill>
              </w:rPr>
              <w:t>②</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经验统计法</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根据建设单位提供的资料，现阶段夏季</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垃圾填埋场渗滤液约6.0m</w:t>
            </w:r>
            <w:r>
              <w:rPr>
                <w:rFonts w:hint="default" w:ascii="Times New Roman" w:hAnsi="Times New Roman" w:eastAsia="宋体" w:cs="Times New Roman"/>
                <w:color w:val="000000" w:themeColor="text1"/>
                <w:kern w:val="28"/>
                <w:sz w:val="24"/>
                <w:szCs w:val="24"/>
                <w:vertAlign w:val="superscript"/>
                <w:lang w:val="en-US"/>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/d</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（垃圾填埋场填埋量约</w:t>
            </w:r>
            <w:r>
              <w:rPr>
                <w:rStyle w:val="98"/>
                <w:rFonts w:hint="default" w:ascii="Times New Roman" w:hAnsi="Times New Roman" w:cs="Times New Roman"/>
                <w:color w:val="000000" w:themeColor="text1"/>
                <w14:textFill>
                  <w14:solidFill>
                    <w14:schemeClr w14:val="tx1"/>
                  </w14:solidFill>
                </w14:textFill>
              </w:rPr>
              <w:t>20.4万</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m³）</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冬季垃圾填埋场关闭渗滤液系统阀门，</w:t>
            </w:r>
            <w:r>
              <w:rPr>
                <w:rStyle w:val="98"/>
                <w:rFonts w:hint="default" w:ascii="Times New Roman" w:hAnsi="Times New Roman" w:cs="Times New Roman"/>
                <w:color w:val="000000" w:themeColor="text1"/>
                <w14:textFill>
                  <w14:solidFill>
                    <w14:schemeClr w14:val="tx1"/>
                  </w14:solidFill>
                </w14:textFill>
              </w:rPr>
              <w:t>二期工程于2018年11月建成，新增有效库容30.2万</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m³，预计二期与一期填埋的垃圾性质类似，渗滤液量基本一致，根据现状渗滤液量类比预测达到一期和二期设计处理规模总计50.6万m³时，夏季渗滤液产生量约为14.88m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d。但由于项目区所在地气候特征，玛纳斯县冬季长而严寒，夏季短而酷热，昼夜温差大，年平均降水量173.3mm，最大年份251.1mm，最大日降水量34.5mm。年均降雪量74.4mm，占全年降水量的27%。冬季冰冻后新填埋的垃圾渗滤液量产生量会减少，积雪全部覆盖在表面，整个冬季基本不融化下渗，因此冬季渗滤液量较夏季有明显减少，约为夏季的30%，即约为4.46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d，春季升温后因融雪产生的和冬季填埋垃圾本身产生的渗滤液量将远远大于夏季渗滤液量，且最大日降水量可占年平均降水量的20%，降水分布十分不均衡，暴雨后也会产生渗滤液量的激增。类比《内江市生活垃圾填埋场渗滤液处理扩容工程环境影响报告书》，该填埋场实际运行中在旱季渗滤液产生量为150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/d，但雨季由于产生的渗滤液量大大增加，实际产生量近300m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d，雨季产生的渗滤液约为旱季的两倍。本项目冬季（5个月计）降水量约占年降水量的27%，积雪在4-5月两个月内融化，加之春季降雨，本项目春季融雪及降雨产生的渗滤液增加量与内江市雨季类似，因此类比本项目达到一期和二期设计处理规模后，考虑最不利因素融雪和暴雨，最大渗滤液量按夏季的2倍计，则最大渗滤液量为29.76</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m</w:t>
            </w:r>
            <w:r>
              <w:rPr>
                <w:rFonts w:hint="default" w:ascii="Times New Roman" w:hAnsi="Times New Roman" w:eastAsia="宋体" w:cs="Times New Roman"/>
                <w:color w:val="000000" w:themeColor="text1"/>
                <w:kern w:val="28"/>
                <w:sz w:val="24"/>
                <w:szCs w:val="24"/>
                <w:vertAlign w:val="superscript"/>
                <w:lang w:val="en-US"/>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/d</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综上两种方法的计算，项目区</w:t>
            </w:r>
            <w:r>
              <w:rPr>
                <w:rFonts w:hint="default" w:ascii="Times New Roman" w:hAnsi="Times New Roman" w:eastAsia="宋体" w:cs="Times New Roman"/>
                <w:color w:val="000000" w:themeColor="text1"/>
                <w:kern w:val="28"/>
                <w:sz w:val="24"/>
                <w:szCs w:val="24"/>
                <w14:textFill>
                  <w14:solidFill>
                    <w14:schemeClr w14:val="tx1"/>
                  </w14:solidFill>
                </w14:textFill>
              </w:rPr>
              <w:t>冬季渗滤液流量较小，</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融雪季渗滤液流量较大</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渗滤液量随着</w:t>
            </w:r>
            <w:r>
              <w:rPr>
                <w:rStyle w:val="98"/>
                <w:rFonts w:hint="default" w:ascii="Times New Roman" w:hAnsi="Times New Roman" w:cs="Times New Roman"/>
                <w:color w:val="000000" w:themeColor="text1"/>
                <w14:textFill>
                  <w14:solidFill>
                    <w14:schemeClr w14:val="tx1"/>
                  </w14:solidFill>
                </w14:textFill>
              </w:rPr>
              <w:t>库容</w:t>
            </w:r>
            <w:r>
              <w:rPr>
                <w:rStyle w:val="98"/>
                <w:rFonts w:hint="default" w:ascii="Times New Roman" w:hAnsi="Times New Roman" w:eastAsia="宋体" w:cs="Times New Roman"/>
                <w:color w:val="000000" w:themeColor="text1"/>
                <w:lang w:val="en-US" w:eastAsia="zh-CN"/>
                <w14:textFill>
                  <w14:solidFill>
                    <w14:schemeClr w14:val="tx1"/>
                  </w14:solidFill>
                </w14:textFill>
              </w:rPr>
              <w:t>的增加会不断增加，</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渗滤液产生量浮动较大，达到一期和二期设计处理规模后，最大渗滤液量约为29</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m</w:t>
            </w:r>
            <w:r>
              <w:rPr>
                <w:rFonts w:hint="default" w:ascii="Times New Roman" w:hAnsi="Times New Roman" w:eastAsia="宋体" w:cs="Times New Roman"/>
                <w:color w:val="000000" w:themeColor="text1"/>
                <w:kern w:val="28"/>
                <w:sz w:val="24"/>
                <w:szCs w:val="24"/>
                <w:vertAlign w:val="superscript"/>
                <w:lang w:val="en-US"/>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/d</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。因此</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处理规模设定为30.0m</w:t>
            </w:r>
            <w:r>
              <w:rPr>
                <w:rFonts w:hint="default" w:ascii="Times New Roman" w:hAnsi="Times New Roman" w:eastAsia="宋体" w:cs="Times New Roman"/>
                <w:color w:val="000000" w:themeColor="text1"/>
                <w:kern w:val="28"/>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28"/>
                <w:sz w:val="24"/>
                <w:szCs w:val="24"/>
                <w14:textFill>
                  <w14:solidFill>
                    <w14:schemeClr w14:val="tx1"/>
                  </w14:solidFill>
                </w14:textFill>
              </w:rPr>
              <w:t>/d</w:t>
            </w:r>
            <w:r>
              <w:rPr>
                <w:rFonts w:hint="default" w:ascii="Times New Roman" w:hAnsi="Times New Roman" w:eastAsia="宋体" w:cs="Times New Roman"/>
                <w:color w:val="000000" w:themeColor="text1"/>
                <w:kern w:val="28"/>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渗滤液处理工艺</w:t>
            </w:r>
            <w:r>
              <w:rPr>
                <w:rFonts w:hint="default" w:ascii="Times New Roman" w:hAnsi="Times New Roman" w:cs="Times New Roman" w:eastAsiaTheme="minorEastAsia"/>
                <w:color w:val="000000" w:themeColor="text1"/>
                <w:sz w:val="24"/>
                <w:lang w:eastAsia="zh-CN"/>
                <w14:textFill>
                  <w14:solidFill>
                    <w14:schemeClr w14:val="tx1"/>
                  </w14:solidFill>
                </w14:textFill>
              </w:rPr>
              <w:t>设计产水率为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80</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出水</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4"/>
                <w14:textFill>
                  <w14:solidFill>
                    <w14:schemeClr w14:val="tx1"/>
                  </w14:solidFill>
                </w14:textFill>
              </w:rPr>
              <w:t>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/d</w:t>
            </w:r>
            <w:r>
              <w:rPr>
                <w:rFonts w:hint="default" w:ascii="Times New Roman" w:hAnsi="Times New Roman" w:cs="Times New Roman" w:eastAsiaTheme="minorEastAsia"/>
                <w:color w:val="000000" w:themeColor="text1"/>
                <w:sz w:val="24"/>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③调节池容积的可行性分析</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生活垃圾</w:t>
            </w:r>
            <w:r>
              <w:rPr>
                <w:rFonts w:hint="default" w:ascii="Times New Roman" w:hAnsi="Times New Roman" w:cs="Times New Roman"/>
                <w:color w:val="000000" w:themeColor="text1"/>
                <w:sz w:val="24"/>
                <w14:textFill>
                  <w14:solidFill>
                    <w14:schemeClr w14:val="tx1"/>
                  </w14:solidFill>
                </w14:textFill>
              </w:rPr>
              <w:t>填埋场渗滤液的产生量跟城市生活污水或其它工业废水有一个很大的不同，就是渗滤液产生主要受降水影响，因此，其最大的一个特征就是年内产量分布极不均匀。</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w:t>
            </w:r>
            <w:r>
              <w:rPr>
                <w:rFonts w:hint="default" w:ascii="Times New Roman" w:hAnsi="Times New Roman" w:cs="Times New Roman" w:eastAsiaTheme="minorEastAsia"/>
                <w:color w:val="000000" w:themeColor="text1"/>
                <w:sz w:val="24"/>
                <w14:textFill>
                  <w14:solidFill>
                    <w14:schemeClr w14:val="tx1"/>
                  </w14:solidFill>
                </w14:textFill>
              </w:rPr>
              <w:t>项目</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收集</w:t>
            </w:r>
            <w:r>
              <w:rPr>
                <w:rFonts w:hint="default" w:ascii="Times New Roman" w:hAnsi="Times New Roman" w:cs="Times New Roman" w:eastAsiaTheme="minorEastAsia"/>
                <w:color w:val="000000" w:themeColor="text1"/>
                <w:sz w:val="24"/>
                <w14:textFill>
                  <w14:solidFill>
                    <w14:schemeClr w14:val="tx1"/>
                  </w14:solidFill>
                </w14:textFill>
              </w:rPr>
              <w:t>池</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座有效容积</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72</w:t>
            </w:r>
            <w:r>
              <w:rPr>
                <w:rFonts w:hint="default" w:ascii="Times New Roman" w:hAnsi="Times New Roman" w:cs="Times New Roman" w:eastAsiaTheme="minorEastAsia"/>
                <w:color w:val="000000" w:themeColor="text1"/>
                <w:sz w:val="24"/>
                <w14:textFill>
                  <w14:solidFill>
                    <w14:schemeClr w14:val="tx1"/>
                  </w14:solidFill>
                </w14:textFill>
              </w:rPr>
              <w:t>0m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调节池1座有效容积</w:t>
            </w:r>
            <w:r>
              <w:rPr>
                <w:rFonts w:hint="default" w:ascii="Times New Roman" w:hAnsi="Times New Roman" w:eastAsia="宋体" w:cs="Times New Roman"/>
                <w:color w:val="000000" w:themeColor="text1"/>
                <w:sz w:val="21"/>
                <w:szCs w:val="21"/>
                <w14:textFill>
                  <w14:solidFill>
                    <w14:schemeClr w14:val="tx1"/>
                  </w14:solidFill>
                </w14:textFill>
              </w:rPr>
              <w:t>537.9m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可用于储存冬季渗滤液和调节渗滤液产生量，</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达到一期和二期设计处理规模后，春季融雪后，渗滤液逐渐增多，</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按最大渗滤液量</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29</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m</w:t>
            </w:r>
            <w:r>
              <w:rPr>
                <w:rFonts w:hint="default" w:ascii="Times New Roman" w:hAnsi="Times New Roman" w:eastAsia="宋体" w:cs="Times New Roman"/>
                <w:color w:val="000000" w:themeColor="text1"/>
                <w:kern w:val="28"/>
                <w:sz w:val="24"/>
                <w:szCs w:val="24"/>
                <w:vertAlign w:val="superscript"/>
                <w:lang w:val="en-US"/>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14:textFill>
                  <w14:solidFill>
                    <w14:schemeClr w14:val="tx1"/>
                  </w14:solidFill>
                </w14:textFill>
              </w:rPr>
              <w:t>/d</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情况下可储存25天，调节120天。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冬季停产120天，垃圾填埋场渗滤液</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可通过关闭闸阀不排出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，若排出，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根据估算冬季渗滤液量约为</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4.46m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/d，冬季渗滤液总量约为536m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8"/>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渗滤液处理厂</w:t>
            </w:r>
            <w:r>
              <w:rPr>
                <w:rFonts w:hint="default" w:ascii="Times New Roman" w:hAnsi="Times New Roman" w:cs="Times New Roman" w:eastAsiaTheme="minorEastAsia"/>
                <w:color w:val="000000" w:themeColor="text1"/>
                <w:kern w:val="28"/>
                <w:sz w:val="24"/>
                <w:szCs w:val="24"/>
                <w:lang w:val="en-US" w:eastAsia="zh-CN"/>
                <w14:textFill>
                  <w14:solidFill>
                    <w14:schemeClr w14:val="tx1"/>
                  </w14:solidFill>
                </w14:textFill>
              </w:rPr>
              <w:t>现有</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收集</w:t>
            </w:r>
            <w:r>
              <w:rPr>
                <w:rFonts w:hint="default" w:ascii="Times New Roman" w:hAnsi="Times New Roman" w:cs="Times New Roman" w:eastAsiaTheme="minorEastAsia"/>
                <w:color w:val="000000" w:themeColor="text1"/>
                <w:sz w:val="24"/>
                <w14:textFill>
                  <w14:solidFill>
                    <w14:schemeClr w14:val="tx1"/>
                  </w14:solidFill>
                </w14:textFill>
              </w:rPr>
              <w:t>池</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和调节池1357.9</w:t>
            </w:r>
            <w:r>
              <w:rPr>
                <w:rFonts w:hint="default" w:ascii="Times New Roman" w:hAnsi="Times New Roman" w:cs="Times New Roman" w:eastAsiaTheme="minorEastAsia"/>
                <w:color w:val="000000" w:themeColor="text1"/>
                <w:sz w:val="24"/>
                <w14:textFill>
                  <w14:solidFill>
                    <w14:schemeClr w14:val="tx1"/>
                  </w14:solidFill>
                </w14:textFill>
              </w:rPr>
              <w:t>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能够满足渗滤液</w:t>
            </w:r>
            <w:r>
              <w:rPr>
                <w:rFonts w:hint="default" w:ascii="Times New Roman" w:hAnsi="Times New Roman" w:cs="Times New Roman" w:eastAsiaTheme="minorEastAsia"/>
                <w:color w:val="000000" w:themeColor="text1"/>
                <w:kern w:val="28"/>
                <w:sz w:val="24"/>
                <w:szCs w:val="24"/>
                <w:lang w:val="en-US" w:eastAsia="zh-CN"/>
                <w14:textFill>
                  <w14:solidFill>
                    <w14:schemeClr w14:val="tx1"/>
                  </w14:solidFill>
                </w14:textFill>
              </w:rPr>
              <w:t>冬季存储</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需求</w:t>
            </w:r>
            <w:r>
              <w:rPr>
                <w:rFonts w:hint="default" w:ascii="Times New Roman" w:hAnsi="Times New Roman" w:cs="Times New Roman" w:eastAsiaTheme="minorEastAsia"/>
                <w:color w:val="000000" w:themeColor="text1"/>
                <w:kern w:val="28"/>
                <w:sz w:val="24"/>
                <w:szCs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可知本项目</w:t>
            </w:r>
            <w:r>
              <w:rPr>
                <w:rFonts w:hint="default" w:ascii="Times New Roman" w:hAnsi="Times New Roman" w:eastAsia="宋体" w:cs="Times New Roman"/>
                <w:color w:val="000000" w:themeColor="text1"/>
                <w:sz w:val="24"/>
                <w:lang w:val="en-US" w:eastAsia="zh-CN"/>
                <w14:textFill>
                  <w14:solidFill>
                    <w14:schemeClr w14:val="tx1"/>
                  </w14:solidFill>
                </w14:textFill>
              </w:rPr>
              <w:t>收集</w:t>
            </w:r>
            <w:r>
              <w:rPr>
                <w:rFonts w:hint="default" w:ascii="Times New Roman" w:hAnsi="Times New Roman" w:cs="Times New Roman"/>
                <w:color w:val="000000" w:themeColor="text1"/>
                <w:sz w:val="24"/>
                <w14:textFill>
                  <w14:solidFill>
                    <w14:schemeClr w14:val="tx1"/>
                  </w14:solidFill>
                </w14:textFill>
              </w:rPr>
              <w:t>池容量能满足要求。</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pP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综上，渗滤液处理厂设计规模</w:t>
            </w:r>
            <w:r>
              <w:rPr>
                <w:rFonts w:hint="default" w:ascii="Times New Roman" w:hAnsi="Times New Roman" w:cs="Times New Roman" w:eastAsiaTheme="minorEastAsia"/>
                <w:color w:val="000000" w:themeColor="text1"/>
                <w:kern w:val="28"/>
                <w:sz w:val="24"/>
                <w:szCs w:val="24"/>
                <w14:textFill>
                  <w14:solidFill>
                    <w14:schemeClr w14:val="tx1"/>
                  </w14:solidFill>
                </w14:textFill>
              </w:rPr>
              <w:t>30.0m</w:t>
            </w:r>
            <w:r>
              <w:rPr>
                <w:rFonts w:hint="default" w:ascii="Times New Roman" w:hAnsi="Times New Roman" w:cs="Times New Roman" w:eastAsiaTheme="minorEastAsia"/>
                <w:color w:val="000000" w:themeColor="text1"/>
                <w:kern w:val="28"/>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28"/>
                <w:sz w:val="24"/>
                <w:szCs w:val="24"/>
                <w14:textFill>
                  <w14:solidFill>
                    <w14:schemeClr w14:val="tx1"/>
                  </w14:solidFill>
                </w14:textFill>
              </w:rPr>
              <w:t>/d</w:t>
            </w:r>
            <w:r>
              <w:rPr>
                <w:rFonts w:hint="default" w:ascii="Times New Roman" w:hAnsi="Times New Roman" w:cs="Times New Roman" w:eastAsiaTheme="minorEastAsia"/>
                <w:color w:val="000000" w:themeColor="text1"/>
                <w:kern w:val="28"/>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72</w:t>
            </w:r>
            <w:r>
              <w:rPr>
                <w:rFonts w:hint="default" w:ascii="Times New Roman" w:hAnsi="Times New Roman" w:cs="Times New Roman" w:eastAsiaTheme="minorEastAsia"/>
                <w:color w:val="000000" w:themeColor="text1"/>
                <w:sz w:val="24"/>
                <w14:textFill>
                  <w14:solidFill>
                    <w14:schemeClr w14:val="tx1"/>
                  </w14:solidFill>
                </w14:textFill>
              </w:rPr>
              <w:t>0m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收集</w:t>
            </w:r>
            <w:r>
              <w:rPr>
                <w:rFonts w:hint="default" w:ascii="Times New Roman" w:hAnsi="Times New Roman" w:cs="Times New Roman" w:eastAsiaTheme="minorEastAsia"/>
                <w:color w:val="000000" w:themeColor="text1"/>
                <w:sz w:val="24"/>
                <w14:textFill>
                  <w14:solidFill>
                    <w14:schemeClr w14:val="tx1"/>
                  </w14:solidFill>
                </w14:textFill>
              </w:rPr>
              <w:t>池</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和537.9</w:t>
            </w:r>
            <w:r>
              <w:rPr>
                <w:rFonts w:hint="default" w:ascii="Times New Roman" w:hAnsi="Times New Roman" w:cs="Times New Roman" w:eastAsiaTheme="minorEastAsia"/>
                <w:color w:val="000000" w:themeColor="text1"/>
                <w:sz w:val="24"/>
                <w14:textFill>
                  <w14:solidFill>
                    <w14:schemeClr w14:val="tx1"/>
                  </w14:solidFill>
                </w14:textFill>
              </w:rPr>
              <w:t>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调节池</w:t>
            </w:r>
            <w:r>
              <w:rPr>
                <w:rFonts w:hint="default" w:ascii="Times New Roman" w:hAnsi="Times New Roman" w:cs="Times New Roman" w:eastAsiaTheme="minorEastAsia"/>
                <w:color w:val="000000" w:themeColor="text1"/>
                <w:kern w:val="28"/>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能够满足渗滤液处理需求，设计规模较为合理。</w:t>
            </w:r>
          </w:p>
          <w:p>
            <w:pPr>
              <w:keepNext w:val="0"/>
              <w:keepLines w:val="0"/>
              <w:pageBreakBefore w:val="0"/>
              <w:widowControl w:val="0"/>
              <w:kinsoku/>
              <w:wordWrap/>
              <w:overflowPunct/>
              <w:topLinePunct w:val="0"/>
              <w:autoSpaceDE/>
              <w:autoSpaceDN/>
              <w:bidi w:val="0"/>
              <w:adjustRightInd w:val="0"/>
              <w:snapToGrid w:val="0"/>
              <w:spacing w:line="520" w:lineRule="exact"/>
              <w:ind w:firstLine="602" w:firstLineChars="250"/>
              <w:textAlignment w:val="auto"/>
              <w:rPr>
                <w:rStyle w:val="98"/>
                <w:rFonts w:hint="default" w:ascii="Times New Roman" w:hAnsi="Times New Roman" w:cs="Times New Roman"/>
                <w:b/>
                <w:color w:val="000000" w:themeColor="text1"/>
                <w14:textFill>
                  <w14:solidFill>
                    <w14:schemeClr w14:val="tx1"/>
                  </w14:solidFill>
                </w14:textFill>
              </w:rPr>
            </w:pPr>
            <w:r>
              <w:rPr>
                <w:rStyle w:val="98"/>
                <w:rFonts w:hint="default" w:ascii="Times New Roman" w:hAnsi="Times New Roman" w:eastAsia="宋体" w:cs="Times New Roman"/>
                <w:b/>
                <w:color w:val="000000" w:themeColor="text1"/>
                <w:lang w:val="en-US" w:eastAsia="zh-CN"/>
                <w14:textFill>
                  <w14:solidFill>
                    <w14:schemeClr w14:val="tx1"/>
                  </w14:solidFill>
                </w14:textFill>
              </w:rPr>
              <w:t>7</w:t>
            </w:r>
            <w:r>
              <w:rPr>
                <w:rStyle w:val="98"/>
                <w:rFonts w:hint="default" w:ascii="Times New Roman" w:hAnsi="Times New Roman" w:cs="Times New Roman"/>
                <w:b/>
                <w:color w:val="000000" w:themeColor="text1"/>
                <w14:textFill>
                  <w14:solidFill>
                    <w14:schemeClr w14:val="tx1"/>
                  </w14:solidFill>
                </w14:textFill>
              </w:rPr>
              <w:t>、进出水水质</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（1）进水水质</w:t>
            </w:r>
          </w:p>
          <w:p>
            <w:pPr>
              <w:pStyle w:val="13"/>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渗滤液的水质受填埋垃圾的成分、规模、降水量和气候等因素的影响，通常而言，具有如下特点：</w:t>
            </w:r>
          </w:p>
          <w:p>
            <w:pPr>
              <w:pStyle w:val="13"/>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水质变化大。渗滤液的水质变化幅度很大，它不仅体现在同一年内各个季节水质差别很大，浓度变幅可高达几倍，并且随着填埋年限的增加，水质特征也在不断发生变化，通常渗滤液中的C/N比、B/C比随着填埋年限的增加而降低。通常在填埋初期，氨氮浓度较低，用生物脱氮就可使氨氮降到很低，但随着填埋年限的增加，氨氮浓度不断增加，COD不断下降，由于碳氮比严重失调，仅采用生物脱氮是难以达到排放要求的。</w:t>
            </w:r>
          </w:p>
          <w:p>
            <w:pPr>
              <w:pStyle w:val="13"/>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有机物浓度高。垃圾渗滤液中的COD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Cr</w:t>
            </w:r>
            <w:r>
              <w:rPr>
                <w:rFonts w:hint="default" w:ascii="Times New Roman" w:hAnsi="Times New Roman" w:eastAsia="宋体" w:cs="Times New Roman"/>
                <w:color w:val="000000" w:themeColor="text1"/>
                <w:sz w:val="24"/>
                <w:szCs w:val="24"/>
                <w14:textFill>
                  <w14:solidFill>
                    <w14:schemeClr w14:val="tx1"/>
                  </w14:solidFill>
                </w14:textFill>
              </w:rPr>
              <w:t>和BOD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浓度最高可达几万</w:t>
            </w:r>
            <w:r>
              <w:rPr>
                <w:rFonts w:hint="default" w:ascii="Times New Roman" w:hAnsi="Times New Roman" w:cs="Times New Roman"/>
                <w:color w:val="000000" w:themeColor="text1"/>
                <w:kern w:val="2"/>
                <w:sz w:val="24"/>
                <w:szCs w:val="24"/>
                <w:lang w:val="en-US"/>
                <w14:textFill>
                  <w14:solidFill>
                    <w14:schemeClr w14:val="tx1"/>
                  </w14:solidFill>
                </w14:textFill>
              </w:rPr>
              <w:t>mg/L</w:t>
            </w:r>
            <w:r>
              <w:rPr>
                <w:rFonts w:hint="default" w:ascii="Times New Roman" w:hAnsi="Times New Roman" w:eastAsia="宋体" w:cs="Times New Roman"/>
                <w:color w:val="000000" w:themeColor="text1"/>
                <w:sz w:val="24"/>
                <w:szCs w:val="24"/>
                <w14:textFill>
                  <w14:solidFill>
                    <w14:schemeClr w14:val="tx1"/>
                  </w14:solidFill>
                </w14:textFill>
              </w:rPr>
              <w:t>，与城市污水相比，浓度非常高。高浓度的垃圾渗滤液主要是在酸性发酵阶段产生，pH值略低于7，低分子脂肪酸的COD占总量的80%以上，BOD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与COD比值为0.5～0.6，随着填埋场填埋年限的增加，BOD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与COD比值将逐渐降低。</w:t>
            </w:r>
          </w:p>
          <w:p>
            <w:pPr>
              <w:pStyle w:val="13"/>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SS含量高。填埋场渗滤液通常在垃圾停置及填埋过程中产生，渗滤液在渗出过程中将垃圾中或填埋过程中的颗粒性杂质一并带出，表现为SS含量高。</w:t>
            </w:r>
          </w:p>
          <w:p>
            <w:pPr>
              <w:pStyle w:val="13"/>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4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④</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氨氮含量高。渗滤液的氨氮浓度较高，并且随着填埋年限的增加而不断升高，有时可高达1000～3000mg/l。当采用生物处理系统时，需采用很长的停留时间，以避免氨氮或其氧化衍生物对微生物的毒害作用。</w:t>
            </w:r>
          </w:p>
          <w:p>
            <w:pPr>
              <w:pStyle w:val="13"/>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5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⑤</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营养元素比例失调。一般的垃圾渗滤液中BOD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/TP大都大于300，与微生物生长所需的磷元素相差较大，因此在污水处理中缺乏磷元素，需要加以补给。另一方面，老龄填埋场的渗滤液的BOD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-N却经常小于1，要使用生物法处理时，需要补充碳源。</w:t>
            </w:r>
          </w:p>
          <w:p>
            <w:pPr>
              <w:keepNext w:val="0"/>
              <w:keepLines w:val="0"/>
              <w:pageBreakBefore w:val="0"/>
              <w:widowControl w:val="0"/>
              <w:kinsoku/>
              <w:wordWrap/>
              <w:overflowPunct/>
              <w:topLinePunct w:val="0"/>
              <w:autoSpaceDE/>
              <w:autoSpaceDN/>
              <w:bidi w:val="0"/>
              <w:spacing w:line="520" w:lineRule="exact"/>
              <w:ind w:firstLine="561"/>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2019年8月5日，玛纳斯县住房和城乡建设局委托了新疆国泰民康职业环境检测评价有限责任公司对本项目渗滤液现状水质进行了监测</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2019年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14:textFill>
                  <w14:solidFill>
                    <w14:schemeClr w14:val="tx1"/>
                  </w14:solidFill>
                </w14:textFill>
              </w:rPr>
              <w:t>日，玛纳斯县住房和城乡建设局委托了新疆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环疆绿源环保科技有限</w:t>
            </w:r>
            <w:r>
              <w:rPr>
                <w:rFonts w:hint="default" w:ascii="Times New Roman" w:hAnsi="Times New Roman" w:eastAsia="宋体" w:cs="Times New Roman"/>
                <w:color w:val="000000" w:themeColor="text1"/>
                <w:sz w:val="24"/>
                <w:szCs w:val="24"/>
                <w14:textFill>
                  <w14:solidFill>
                    <w14:schemeClr w14:val="tx1"/>
                  </w14:solidFill>
                </w14:textFill>
              </w:rPr>
              <w:t>公司对本项目渗滤液现状水质进行了监测（见附件），监测结果见下表。</w:t>
            </w:r>
          </w:p>
          <w:p>
            <w:pPr>
              <w:pStyle w:val="177"/>
              <w:keepNext w:val="0"/>
              <w:keepLines w:val="0"/>
              <w:pageBreakBefore w:val="0"/>
              <w:widowControl w:val="0"/>
              <w:kinsoku/>
              <w:wordWrap/>
              <w:overflowPunct/>
              <w:topLinePunct w:val="0"/>
              <w:autoSpaceDE/>
              <w:autoSpaceDN/>
              <w:bidi w:val="0"/>
              <w:spacing w:line="520" w:lineRule="exac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1"/>
                <w:szCs w:val="24"/>
                <w14:textFill>
                  <w14:solidFill>
                    <w14:schemeClr w14:val="tx1"/>
                  </w14:solidFill>
                </w14:textFill>
              </w:rPr>
              <w:t>表4  本项目垃圾填埋场渗滤液水质现状</w:t>
            </w:r>
            <w:r>
              <w:rPr>
                <w:rFonts w:hint="default" w:ascii="Times New Roman" w:hAnsi="Times New Roman" w:cs="Times New Roman"/>
                <w:color w:val="000000" w:themeColor="text1"/>
                <w:sz w:val="21"/>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4"/>
                <w14:textFill>
                  <w14:solidFill>
                    <w14:schemeClr w14:val="tx1"/>
                  </w14:solidFill>
                </w14:textFill>
              </w:rPr>
              <w:t>mg/L</w:t>
            </w:r>
          </w:p>
          <w:tbl>
            <w:tblPr>
              <w:tblStyle w:val="32"/>
              <w:tblW w:w="90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955"/>
              <w:gridCol w:w="1157"/>
              <w:gridCol w:w="917"/>
              <w:gridCol w:w="1003"/>
              <w:gridCol w:w="701"/>
              <w:gridCol w:w="954"/>
              <w:gridCol w:w="789"/>
              <w:gridCol w:w="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监测项目</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COD</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 xml:space="preserve"> BOD</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5</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-N</w:t>
                  </w:r>
                </w:p>
              </w:tc>
              <w:tc>
                <w:tcPr>
                  <w:tcW w:w="1003"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SS</w:t>
                  </w:r>
                </w:p>
              </w:tc>
              <w:tc>
                <w:tcPr>
                  <w:tcW w:w="701"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色度</w:t>
                  </w:r>
                </w:p>
              </w:tc>
              <w:tc>
                <w:tcPr>
                  <w:tcW w:w="95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总磷</w:t>
                  </w:r>
                </w:p>
              </w:tc>
              <w:tc>
                <w:tcPr>
                  <w:tcW w:w="789"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总氮</w:t>
                  </w:r>
                </w:p>
              </w:tc>
              <w:tc>
                <w:tcPr>
                  <w:tcW w:w="640"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pH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2019年8月5日</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4760</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1749</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1812</w:t>
                  </w:r>
                </w:p>
              </w:tc>
              <w:tc>
                <w:tcPr>
                  <w:tcW w:w="1003"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527</w:t>
                  </w:r>
                </w:p>
              </w:tc>
              <w:tc>
                <w:tcPr>
                  <w:tcW w:w="701"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256</w:t>
                  </w:r>
                </w:p>
              </w:tc>
              <w:tc>
                <w:tcPr>
                  <w:tcW w:w="95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89"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1824</w:t>
                  </w:r>
                </w:p>
              </w:tc>
              <w:tc>
                <w:tcPr>
                  <w:tcW w:w="640"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2019年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14:textFill>
                        <w14:solidFill>
                          <w14:schemeClr w14:val="tx1"/>
                        </w14:solidFill>
                      </w14:textFill>
                    </w:rPr>
                    <w:t>月</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1"/>
                      <w:szCs w:val="21"/>
                      <w14:textFill>
                        <w14:solidFill>
                          <w14:schemeClr w14:val="tx1"/>
                        </w14:solidFill>
                      </w14:textFill>
                    </w:rPr>
                    <w:t>日</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1.2×10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4</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3.53×10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359</w:t>
                  </w:r>
                </w:p>
              </w:tc>
              <w:tc>
                <w:tcPr>
                  <w:tcW w:w="1003"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128</w:t>
                  </w:r>
                </w:p>
              </w:tc>
              <w:tc>
                <w:tcPr>
                  <w:tcW w:w="701"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64</w:t>
                  </w:r>
                </w:p>
              </w:tc>
              <w:tc>
                <w:tcPr>
                  <w:tcW w:w="95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0.40</w:t>
                  </w:r>
                </w:p>
              </w:tc>
              <w:tc>
                <w:tcPr>
                  <w:tcW w:w="789"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490</w:t>
                  </w:r>
                </w:p>
              </w:tc>
              <w:tc>
                <w:tcPr>
                  <w:tcW w:w="640"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监测项目</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总汞</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总镉</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总铬</w:t>
                  </w:r>
                </w:p>
              </w:tc>
              <w:tc>
                <w:tcPr>
                  <w:tcW w:w="1003"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六价铬</w:t>
                  </w:r>
                </w:p>
              </w:tc>
              <w:tc>
                <w:tcPr>
                  <w:tcW w:w="701"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总砷</w:t>
                  </w:r>
                </w:p>
              </w:tc>
              <w:tc>
                <w:tcPr>
                  <w:tcW w:w="95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总铅</w:t>
                  </w:r>
                </w:p>
              </w:tc>
              <w:tc>
                <w:tcPr>
                  <w:tcW w:w="1429" w:type="dxa"/>
                  <w:gridSpan w:val="2"/>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粪大肠菌群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2019年8月5日</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003"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01"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95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429" w:type="dxa"/>
                  <w:gridSpan w:val="2"/>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2019年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14:textFill>
                        <w14:solidFill>
                          <w14:schemeClr w14:val="tx1"/>
                        </w14:solidFill>
                      </w14:textFill>
                    </w:rPr>
                    <w:t>月</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1"/>
                      <w:szCs w:val="21"/>
                      <w14:textFill>
                        <w14:solidFill>
                          <w14:schemeClr w14:val="tx1"/>
                        </w14:solidFill>
                      </w14:textFill>
                    </w:rPr>
                    <w:t>日</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0.26</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＜0.03</w:t>
                  </w:r>
                </w:p>
              </w:tc>
              <w:tc>
                <w:tcPr>
                  <w:tcW w:w="1003"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＜0.004</w:t>
                  </w:r>
                </w:p>
              </w:tc>
              <w:tc>
                <w:tcPr>
                  <w:tcW w:w="701"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p>
              </w:tc>
              <w:tc>
                <w:tcPr>
                  <w:tcW w:w="95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w:t>
                  </w:r>
                </w:p>
              </w:tc>
              <w:tc>
                <w:tcPr>
                  <w:tcW w:w="1429" w:type="dxa"/>
                  <w:gridSpan w:val="2"/>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≥2.4×10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4</w:t>
                  </w:r>
                </w:p>
              </w:tc>
            </w:tr>
          </w:tbl>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《生活垃圾卫生填埋处理技术规范》（GB50869-2013）中所提供国内生活垃圾填埋场调节池渗滤液典型水质组成见表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520" w:lineRule="exact"/>
              <w:ind w:firstLine="422" w:firstLineChars="20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sz w:val="21"/>
                <w:szCs w:val="21"/>
                <w14:textFill>
                  <w14:solidFill>
                    <w14:schemeClr w14:val="tx1"/>
                  </w14:solidFill>
                </w14:textFill>
              </w:rPr>
              <w:t>国内典型填埋场不同年限渗滤液水质范围（mg/L）</w:t>
            </w:r>
          </w:p>
          <w:tbl>
            <w:tblPr>
              <w:tblStyle w:val="33"/>
              <w:tblW w:w="898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811"/>
              <w:gridCol w:w="2824"/>
              <w:gridCol w:w="22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1100" w:type="dxa"/>
                  <w:tcBorders>
                    <w:tl2br w:val="nil"/>
                    <w:tr2bl w:val="nil"/>
                  </w:tcBorders>
                </w:tcPr>
                <w:p>
                  <w:pPr>
                    <w:pStyle w:val="2"/>
                    <w:rPr>
                      <w:rFonts w:hint="default" w:ascii="Times New Roman" w:hAnsi="Times New Roman" w:cs="Times New Roman"/>
                      <w:b/>
                      <w:bCs/>
                      <w:color w:val="000000" w:themeColor="text1"/>
                      <w:sz w:val="21"/>
                      <w:szCs w:val="21"/>
                      <w:vertAlign w:val="baseline"/>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2811" w:type="dxa"/>
                  <w:tcBorders>
                    <w:tl2br w:val="nil"/>
                    <w:tr2bl w:val="nil"/>
                  </w:tcBorders>
                </w:tcPr>
                <w:p>
                  <w:pPr>
                    <w:pStyle w:val="2"/>
                    <w:rPr>
                      <w:rFonts w:hint="default" w:ascii="Times New Roman" w:hAnsi="Times New Roman" w:cs="Times New Roman"/>
                      <w:b/>
                      <w:bCs/>
                      <w:color w:val="000000" w:themeColor="text1"/>
                      <w:sz w:val="21"/>
                      <w:szCs w:val="21"/>
                      <w:vertAlign w:val="baseline"/>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填埋初期渗滤液（＜5 年）</w:t>
                  </w:r>
                </w:p>
              </w:tc>
              <w:tc>
                <w:tcPr>
                  <w:tcW w:w="2824" w:type="dxa"/>
                  <w:tcBorders>
                    <w:tl2br w:val="nil"/>
                    <w:tr2bl w:val="nil"/>
                  </w:tcBorders>
                </w:tcPr>
                <w:p>
                  <w:pPr>
                    <w:pStyle w:val="2"/>
                    <w:rPr>
                      <w:rFonts w:hint="default" w:ascii="Times New Roman" w:hAnsi="Times New Roman" w:cs="Times New Roman"/>
                      <w:b/>
                      <w:bCs/>
                      <w:color w:val="000000" w:themeColor="text1"/>
                      <w:sz w:val="21"/>
                      <w:szCs w:val="21"/>
                      <w:vertAlign w:val="baseline"/>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填埋中后期渗滤液（＞5 年）</w:t>
                  </w:r>
                </w:p>
              </w:tc>
              <w:tc>
                <w:tcPr>
                  <w:tcW w:w="2245" w:type="dxa"/>
                  <w:tcBorders>
                    <w:tl2br w:val="nil"/>
                    <w:tr2bl w:val="nil"/>
                  </w:tcBorders>
                </w:tcPr>
                <w:p>
                  <w:pPr>
                    <w:pStyle w:val="2"/>
                    <w:rPr>
                      <w:rFonts w:hint="default" w:ascii="Times New Roman" w:hAnsi="Times New Roman" w:cs="Times New Roman"/>
                      <w:b/>
                      <w:bCs/>
                      <w:color w:val="000000" w:themeColor="text1"/>
                      <w:sz w:val="21"/>
                      <w:szCs w:val="21"/>
                      <w:vertAlign w:val="baseline"/>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封场后渗滤液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100"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COD </w:t>
                  </w:r>
                </w:p>
              </w:tc>
              <w:tc>
                <w:tcPr>
                  <w:tcW w:w="2811"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6000~20000</w:t>
                  </w:r>
                </w:p>
              </w:tc>
              <w:tc>
                <w:tcPr>
                  <w:tcW w:w="2824"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2000~10000</w:t>
                  </w:r>
                </w:p>
              </w:tc>
              <w:tc>
                <w:tcPr>
                  <w:tcW w:w="2245"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100"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BOD</w:t>
                  </w:r>
                  <w:r>
                    <w:rPr>
                      <w:rFonts w:hint="default" w:ascii="Times New Roman" w:hAnsi="Times New Roman" w:cs="Times New Roman"/>
                      <w:color w:val="000000" w:themeColor="text1"/>
                      <w:kern w:val="2"/>
                      <w:sz w:val="21"/>
                      <w:szCs w:val="21"/>
                      <w:vertAlign w:val="subscript"/>
                      <w:lang w:val="en-US"/>
                      <w14:textFill>
                        <w14:solidFill>
                          <w14:schemeClr w14:val="tx1"/>
                        </w14:solidFill>
                      </w14:textFill>
                    </w:rPr>
                    <w:t>5</w:t>
                  </w:r>
                </w:p>
              </w:tc>
              <w:tc>
                <w:tcPr>
                  <w:tcW w:w="2811"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3000~10000 </w:t>
                  </w:r>
                </w:p>
              </w:tc>
              <w:tc>
                <w:tcPr>
                  <w:tcW w:w="2824"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1000~4000 </w:t>
                  </w:r>
                </w:p>
              </w:tc>
              <w:tc>
                <w:tcPr>
                  <w:tcW w:w="2245"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100"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-N</w:t>
                  </w:r>
                </w:p>
              </w:tc>
              <w:tc>
                <w:tcPr>
                  <w:tcW w:w="2811"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600~2500</w:t>
                  </w:r>
                </w:p>
              </w:tc>
              <w:tc>
                <w:tcPr>
                  <w:tcW w:w="2824"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800~3000 </w:t>
                  </w:r>
                </w:p>
              </w:tc>
              <w:tc>
                <w:tcPr>
                  <w:tcW w:w="2245"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1000~3000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100"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2811"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500~1500</w:t>
                  </w:r>
                </w:p>
              </w:tc>
              <w:tc>
                <w:tcPr>
                  <w:tcW w:w="2824"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500~1500</w:t>
                  </w:r>
                </w:p>
              </w:tc>
              <w:tc>
                <w:tcPr>
                  <w:tcW w:w="2245"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200~1000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100"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pH值</w:t>
                  </w:r>
                </w:p>
              </w:tc>
              <w:tc>
                <w:tcPr>
                  <w:tcW w:w="2811"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5~8 </w:t>
                  </w:r>
                </w:p>
              </w:tc>
              <w:tc>
                <w:tcPr>
                  <w:tcW w:w="2824"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6~8 </w:t>
                  </w:r>
                </w:p>
              </w:tc>
              <w:tc>
                <w:tcPr>
                  <w:tcW w:w="2245" w:type="dxa"/>
                  <w:tcBorders>
                    <w:tl2br w:val="nil"/>
                    <w:tr2bl w:val="nil"/>
                  </w:tcBorders>
                </w:tcPr>
                <w:p>
                  <w:pPr>
                    <w:pStyle w:val="2"/>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6~9 </w:t>
                  </w:r>
                </w:p>
              </w:tc>
            </w:tr>
          </w:tbl>
          <w:p>
            <w:pPr>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生活垃圾填埋场于2016年1月正式投入运行，其水质随着填埋年限的增加不断变化，因此其水质的确定是一个非常复杂的过程。根据刘苑丽发表的《垃圾填埋场渗滤液处理工程设计研究》学术研究表明，渗滤液水质在1~5年浓度最高，而本项目渗滤液属于前期渗滤液（已运行3年＜5年），C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Cr</w:t>
            </w:r>
            <w:r>
              <w:rPr>
                <w:rFonts w:hint="default" w:ascii="Times New Roman" w:hAnsi="Times New Roman" w:eastAsia="宋体" w:cs="Times New Roman"/>
                <w:color w:val="000000" w:themeColor="text1"/>
                <w:sz w:val="24"/>
                <w:szCs w:val="24"/>
                <w14:textFill>
                  <w14:solidFill>
                    <w14:schemeClr w14:val="tx1"/>
                  </w14:solidFill>
                </w14:textFill>
              </w:rPr>
              <w:t>、BOD浓度及COD/BOD值相对较高。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填埋场渗滤液现状监测数据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结合《生活垃圾卫生填埋处理技术规范》（GB50869-2013）中所提供国内生活垃圾填埋场调节池渗滤液典型水质组成</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以及渗滤液水质浓度还会随场龄增加而降低，故设计进水水质满足一般渗滤液即可，本工程设计进水水质如下表。其中COD/BOD为0.58，满足陈长太等发表的《城市垃圾填埋场渗滤液水质特性及其处理》学术研究中0.5~0.7。故本项目设计进水水质较为合理。</w:t>
            </w: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r>
              <w:rPr>
                <w:rFonts w:hint="default" w:ascii="Times New Roman" w:hAnsi="Times New Roman" w:cs="Times New Roman"/>
                <w:color w:val="000000" w:themeColor="text1"/>
                <w:sz w:val="21"/>
                <w:szCs w:val="24"/>
                <w14:textFill>
                  <w14:solidFill>
                    <w14:schemeClr w14:val="tx1"/>
                  </w14:solidFill>
                </w14:textFill>
              </w:rPr>
              <w:t>表</w:t>
            </w:r>
            <w:r>
              <w:rPr>
                <w:rFonts w:hint="default" w:ascii="Times New Roman" w:hAnsi="Times New Roman" w:cs="Times New Roman"/>
                <w:color w:val="000000" w:themeColor="text1"/>
                <w:sz w:val="21"/>
                <w:szCs w:val="24"/>
                <w:lang w:val="en-US" w:eastAsia="zh-CN"/>
                <w14:textFill>
                  <w14:solidFill>
                    <w14:schemeClr w14:val="tx1"/>
                  </w14:solidFill>
                </w14:textFill>
              </w:rPr>
              <w:t>6</w:t>
            </w:r>
            <w:r>
              <w:rPr>
                <w:rFonts w:hint="default" w:ascii="Times New Roman" w:hAnsi="Times New Roman" w:cs="Times New Roman"/>
                <w:color w:val="000000" w:themeColor="text1"/>
                <w:sz w:val="21"/>
                <w:szCs w:val="24"/>
                <w14:textFill>
                  <w14:solidFill>
                    <w14:schemeClr w14:val="tx1"/>
                  </w14:solidFill>
                </w14:textFill>
              </w:rPr>
              <w:t xml:space="preserve">  渗滤液处理工程设计进水水质一览表  单位：（mg/L）</w:t>
            </w:r>
          </w:p>
          <w:tbl>
            <w:tblPr>
              <w:tblStyle w:val="32"/>
              <w:tblW w:w="9073"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39"/>
              <w:gridCol w:w="2312"/>
              <w:gridCol w:w="2312"/>
              <w:gridCol w:w="23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项目</w:t>
                  </w:r>
                </w:p>
              </w:tc>
              <w:tc>
                <w:tcPr>
                  <w:tcW w:w="2312" w:type="dxa"/>
                  <w:vAlign w:val="center"/>
                </w:tcPr>
                <w:p>
                  <w:pPr>
                    <w:pStyle w:val="122"/>
                    <w:spacing w:line="240" w:lineRule="auto"/>
                    <w:ind w:firstLine="0" w:firstLineChars="0"/>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COD</w:t>
                  </w:r>
                </w:p>
              </w:tc>
              <w:tc>
                <w:tcPr>
                  <w:tcW w:w="2312" w:type="dxa"/>
                  <w:vAlign w:val="center"/>
                </w:tcPr>
                <w:p>
                  <w:pPr>
                    <w:pStyle w:val="122"/>
                    <w:spacing w:line="240" w:lineRule="auto"/>
                    <w:ind w:firstLine="0" w:firstLineChars="0"/>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BOD</w:t>
                  </w:r>
                  <w:r>
                    <w:rPr>
                      <w:rFonts w:hint="default" w:ascii="Times New Roman" w:hAnsi="Times New Roman" w:cs="Times New Roman"/>
                      <w:color w:val="000000" w:themeColor="text1"/>
                      <w:kern w:val="2"/>
                      <w:sz w:val="21"/>
                      <w:szCs w:val="21"/>
                      <w:vertAlign w:val="subscript"/>
                      <w:lang w:val="en-US"/>
                      <w14:textFill>
                        <w14:solidFill>
                          <w14:schemeClr w14:val="tx1"/>
                        </w14:solidFill>
                      </w14:textFill>
                    </w:rPr>
                    <w:t>5</w:t>
                  </w:r>
                </w:p>
              </w:tc>
              <w:tc>
                <w:tcPr>
                  <w:tcW w:w="2310" w:type="dxa"/>
                  <w:vAlign w:val="center"/>
                </w:tcPr>
                <w:p>
                  <w:pPr>
                    <w:pStyle w:val="122"/>
                    <w:spacing w:line="240" w:lineRule="auto"/>
                    <w:ind w:firstLine="0" w:firstLineChars="0"/>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氨氮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进水</w:t>
                  </w:r>
                </w:p>
              </w:tc>
              <w:tc>
                <w:tcPr>
                  <w:tcW w:w="2312"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6000</w:t>
                  </w:r>
                </w:p>
              </w:tc>
              <w:tc>
                <w:tcPr>
                  <w:tcW w:w="2312"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3500</w:t>
                  </w:r>
                </w:p>
              </w:tc>
              <w:tc>
                <w:tcPr>
                  <w:tcW w:w="2310" w:type="dxa"/>
                  <w:vAlign w:val="center"/>
                </w:tcPr>
                <w:p>
                  <w:pPr>
                    <w:pStyle w:val="122"/>
                    <w:spacing w:line="240" w:lineRule="auto"/>
                    <w:ind w:firstLine="0" w:firstLineChars="0"/>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2000</w:t>
                  </w:r>
                </w:p>
              </w:tc>
            </w:tr>
          </w:tbl>
          <w:p>
            <w:pPr>
              <w:pStyle w:val="2"/>
              <w:spacing w:line="560" w:lineRule="exact"/>
              <w:ind w:firstLine="480" w:firstLineChars="200"/>
              <w:jc w:val="both"/>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（2）出水水质</w:t>
            </w:r>
          </w:p>
          <w:p>
            <w:pPr>
              <w:spacing w:line="560" w:lineRule="exact"/>
              <w:ind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根据《生活垃圾填埋场污染控制标准》（GB16889-2008）9.1.3规定：2011年7月1日起，现有全部生活垃圾填埋场应自行处理垃圾渗滤液并执行表2规定的水污染物排放浓度限值。《生活垃圾填埋场污染控制标准》（GB16889-2008）9.1.1中要求渗滤液污水处理达到该规定浓度限值后可直接排放。同时，该尾水能够满足《城市污水再生利用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绿地灌溉</w:t>
            </w:r>
            <w:r>
              <w:rPr>
                <w:rFonts w:hint="default" w:ascii="Times New Roman" w:hAnsi="Times New Roman" w:eastAsia="宋体" w:cs="Times New Roman"/>
                <w:color w:val="000000" w:themeColor="text1"/>
                <w:sz w:val="24"/>
                <w:szCs w:val="24"/>
                <w14:textFill>
                  <w14:solidFill>
                    <w14:schemeClr w14:val="tx1"/>
                  </w14:solidFill>
                </w14:textFill>
              </w:rPr>
              <w:t>水质》（GB2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5499</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）中浓度限值，可</w:t>
            </w:r>
            <w:r>
              <w:rPr>
                <w:rFonts w:hint="default" w:ascii="Times New Roman" w:hAnsi="Times New Roman" w:eastAsia="宋体" w:cs="Times New Roman"/>
                <w:color w:val="000000" w:themeColor="text1"/>
                <w:sz w:val="24"/>
                <w:szCs w:val="24"/>
                <w:lang w:eastAsia="zh-CN"/>
                <w14:textFill>
                  <w14:solidFill>
                    <w14:schemeClr w14:val="tx1"/>
                  </w14:solidFill>
                </w14:textFill>
              </w:rPr>
              <w:t>用于生活垃圾填埋场场区绿化</w:t>
            </w:r>
            <w:r>
              <w:rPr>
                <w:rFonts w:hint="default" w:ascii="Times New Roman" w:hAnsi="Times New Roman" w:eastAsia="宋体" w:cs="Times New Roman"/>
                <w:color w:val="000000" w:themeColor="text1"/>
                <w:sz w:val="24"/>
                <w:szCs w:val="24"/>
                <w14:textFill>
                  <w14:solidFill>
                    <w14:schemeClr w14:val="tx1"/>
                  </w14:solidFill>
                </w14:textFill>
              </w:rPr>
              <w:t>。故本项目处理达标后的尾水用于道路洒水抑尘和厂区周边绿化是可行的。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冬季停产120天，垃圾填埋场渗滤液</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可通过关闭闸阀不排出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，若排出，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根据估算冬季渗滤液量约为</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4.46m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/d，冬季渗滤液总量约为536m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8"/>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渗滤液处理厂</w:t>
            </w:r>
            <w:r>
              <w:rPr>
                <w:rFonts w:hint="default" w:ascii="Times New Roman" w:hAnsi="Times New Roman" w:cs="Times New Roman" w:eastAsiaTheme="minorEastAsia"/>
                <w:color w:val="000000" w:themeColor="text1"/>
                <w:kern w:val="28"/>
                <w:sz w:val="24"/>
                <w:szCs w:val="24"/>
                <w:lang w:val="en-US" w:eastAsia="zh-CN"/>
                <w14:textFill>
                  <w14:solidFill>
                    <w14:schemeClr w14:val="tx1"/>
                  </w14:solidFill>
                </w14:textFill>
              </w:rPr>
              <w:t>现有</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收集</w:t>
            </w:r>
            <w:r>
              <w:rPr>
                <w:rFonts w:hint="default" w:ascii="Times New Roman" w:hAnsi="Times New Roman" w:cs="Times New Roman" w:eastAsiaTheme="minorEastAsia"/>
                <w:color w:val="000000" w:themeColor="text1"/>
                <w:sz w:val="24"/>
                <w14:textFill>
                  <w14:solidFill>
                    <w14:schemeClr w14:val="tx1"/>
                  </w14:solidFill>
                </w14:textFill>
              </w:rPr>
              <w:t>池</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72</w:t>
            </w:r>
            <w:r>
              <w:rPr>
                <w:rFonts w:hint="default" w:ascii="Times New Roman" w:hAnsi="Times New Roman" w:cs="Times New Roman" w:eastAsiaTheme="minorEastAsia"/>
                <w:color w:val="000000" w:themeColor="text1"/>
                <w:sz w:val="24"/>
                <w14:textFill>
                  <w14:solidFill>
                    <w14:schemeClr w14:val="tx1"/>
                  </w14:solidFill>
                </w14:textFill>
              </w:rPr>
              <w:t>0m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能够满足渗滤液</w:t>
            </w:r>
            <w:r>
              <w:rPr>
                <w:rFonts w:hint="default" w:ascii="Times New Roman" w:hAnsi="Times New Roman" w:cs="Times New Roman" w:eastAsiaTheme="minorEastAsia"/>
                <w:color w:val="000000" w:themeColor="text1"/>
                <w:kern w:val="28"/>
                <w:sz w:val="24"/>
                <w:szCs w:val="24"/>
                <w:lang w:val="en-US" w:eastAsia="zh-CN"/>
                <w14:textFill>
                  <w14:solidFill>
                    <w14:schemeClr w14:val="tx1"/>
                  </w14:solidFill>
                </w14:textFill>
              </w:rPr>
              <w:t>冬季存储</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需求</w:t>
            </w:r>
            <w:r>
              <w:rPr>
                <w:rFonts w:hint="default" w:ascii="Times New Roman" w:hAnsi="Times New Roman" w:cs="Times New Roman" w:eastAsiaTheme="minorEastAsia"/>
                <w:color w:val="000000" w:themeColor="text1"/>
                <w:kern w:val="28"/>
                <w:sz w:val="24"/>
                <w:szCs w:val="24"/>
                <w:lang w:val="en-US" w:eastAsia="zh-CN"/>
                <w14:textFill>
                  <w14:solidFill>
                    <w14:schemeClr w14:val="tx1"/>
                  </w14:solidFill>
                </w14:textFill>
              </w:rPr>
              <w:t>。冬季渗滤液不处理不排放。</w:t>
            </w: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r>
              <w:rPr>
                <w:rFonts w:hint="default" w:ascii="Times New Roman" w:hAnsi="Times New Roman" w:cs="Times New Roman"/>
                <w:color w:val="000000" w:themeColor="text1"/>
                <w:sz w:val="21"/>
                <w:szCs w:val="24"/>
                <w14:textFill>
                  <w14:solidFill>
                    <w14:schemeClr w14:val="tx1"/>
                  </w14:solidFill>
                </w14:textFill>
              </w:rPr>
              <w:t>表</w:t>
            </w:r>
            <w:r>
              <w:rPr>
                <w:rFonts w:hint="default" w:ascii="Times New Roman" w:hAnsi="Times New Roman" w:cs="Times New Roman"/>
                <w:color w:val="000000" w:themeColor="text1"/>
                <w:sz w:val="21"/>
                <w:szCs w:val="24"/>
                <w:lang w:val="en-US" w:eastAsia="zh-CN"/>
                <w14:textFill>
                  <w14:solidFill>
                    <w14:schemeClr w14:val="tx1"/>
                  </w14:solidFill>
                </w14:textFill>
              </w:rPr>
              <w:t>7</w:t>
            </w:r>
            <w:r>
              <w:rPr>
                <w:rFonts w:hint="default" w:ascii="Times New Roman" w:hAnsi="Times New Roman" w:cs="Times New Roman"/>
                <w:color w:val="000000" w:themeColor="text1"/>
                <w:sz w:val="21"/>
                <w:szCs w:val="24"/>
                <w14:textFill>
                  <w14:solidFill>
                    <w14:schemeClr w14:val="tx1"/>
                  </w14:solidFill>
                </w14:textFill>
              </w:rPr>
              <w:t xml:space="preserve">  渗滤液处理工程设计出水水质一览表</w:t>
            </w:r>
          </w:p>
          <w:tbl>
            <w:tblPr>
              <w:tblStyle w:val="32"/>
              <w:tblW w:w="898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3264"/>
              <w:gridCol w:w="1762"/>
              <w:gridCol w:w="25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bCs/>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14:textFill>
                        <w14:solidFill>
                          <w14:schemeClr w14:val="tx1"/>
                        </w14:solidFill>
                      </w14:textFill>
                    </w:rPr>
                    <w:t>序号</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bCs/>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zh-CN"/>
                      <w14:textFill>
                        <w14:solidFill>
                          <w14:schemeClr w14:val="tx1"/>
                        </w14:solidFill>
                      </w14:textFill>
                    </w:rPr>
                    <w:t>控制污染物</w:t>
                  </w:r>
                </w:p>
              </w:tc>
              <w:tc>
                <w:tcPr>
                  <w:tcW w:w="1762"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bCs/>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zh-CN"/>
                      <w14:textFill>
                        <w14:solidFill>
                          <w14:schemeClr w14:val="tx1"/>
                        </w14:solidFill>
                      </w14:textFill>
                    </w:rPr>
                    <w:t>排放浓度限值</w:t>
                  </w:r>
                </w:p>
              </w:tc>
              <w:tc>
                <w:tcPr>
                  <w:tcW w:w="2579"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bCs/>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zh-CN"/>
                      <w14:textFill>
                        <w14:solidFill>
                          <w14:schemeClr w14:val="tx1"/>
                        </w14:solidFill>
                      </w14:textFill>
                    </w:rPr>
                    <w:t>污染物排放控制位置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1</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色度（稀释倍数）</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40</w:t>
                  </w:r>
                </w:p>
              </w:tc>
              <w:tc>
                <w:tcPr>
                  <w:tcW w:w="257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常规污水处理设施排放口</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2</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化学需氧量</w:t>
                  </w: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 xml:space="preserve">COD </w:t>
                  </w: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100</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3</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生化需氧量</w:t>
                  </w:r>
                  <w:r>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t>BOD</w:t>
                  </w:r>
                  <w:r>
                    <w:rPr>
                      <w:rFonts w:hint="default" w:ascii="Times New Roman" w:hAnsi="Times New Roman" w:cs="Times New Roman" w:eastAsiaTheme="minorEastAsia"/>
                      <w:b w:val="0"/>
                      <w:bCs w:val="0"/>
                      <w:color w:val="000000" w:themeColor="text1"/>
                      <w:kern w:val="2"/>
                      <w:sz w:val="21"/>
                      <w:szCs w:val="21"/>
                      <w:vertAlign w:val="subscript"/>
                      <w:lang w:val="en-US"/>
                      <w14:textFill>
                        <w14:solidFill>
                          <w14:schemeClr w14:val="tx1"/>
                        </w14:solidFill>
                      </w14:textFill>
                    </w:rPr>
                    <w:t>5</w:t>
                  </w: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0</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4</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悬浮物（mg/L）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30</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5</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总氮（mg/L）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40</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6</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氨氮（mg/L）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2</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7</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总磷（mg/L）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3</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8</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粪大肠菌群数（个/L）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10000</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9</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总汞（mg/L）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0.001</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10</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总镉（mg/L）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0.01</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11</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总铬（mg/L）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0.1</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12</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六价铬（mg/L）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0.05</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13</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总砷（mg/L）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0.1</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375"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14:textFill>
                        <w14:solidFill>
                          <w14:schemeClr w14:val="tx1"/>
                        </w14:solidFill>
                      </w14:textFill>
                    </w:rPr>
                    <w:t>14</w:t>
                  </w:r>
                </w:p>
              </w:tc>
              <w:tc>
                <w:tcPr>
                  <w:tcW w:w="3264" w:type="dxa"/>
                  <w:vAlign w:val="center"/>
                </w:tcPr>
                <w:p>
                  <w:pPr>
                    <w:pStyle w:val="122"/>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总铅（mg/L）</w:t>
                  </w:r>
                </w:p>
              </w:tc>
              <w:tc>
                <w:tcPr>
                  <w:tcW w:w="176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14:textFill>
                        <w14:solidFill>
                          <w14:schemeClr w14:val="tx1"/>
                        </w14:solidFill>
                      </w14:textFill>
                    </w:rPr>
                    <w:t>0.1</w:t>
                  </w:r>
                </w:p>
              </w:tc>
              <w:tc>
                <w:tcPr>
                  <w:tcW w:w="257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bl>
          <w:p>
            <w:pPr>
              <w:spacing w:before="156" w:beforeLines="50" w:line="360" w:lineRule="auto"/>
              <w:ind w:firstLine="562" w:firstLineChars="20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zh-CN"/>
                <w14:textFill>
                  <w14:solidFill>
                    <w14:schemeClr w14:val="tx1"/>
                  </w14:solidFill>
                </w14:textFill>
              </w:rPr>
              <w:t>三、总平面布置</w:t>
            </w:r>
          </w:p>
          <w:p>
            <w:pPr>
              <w:snapToGrid w:val="0"/>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本项目位于垃圾填埋场东北侧，与位于东北侧的渗滤液收集池紧邻布置，通过地埋式管道与厂区东南角调节池连接（约30m），方便水泵抽送至污水处理设施</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连通厂区东北侧的MBR综合池内（包括反硝化池、硝化池、中间水池和清水池），进行污水处理。污泥池位于MBR综合池南侧，方便收集污泥。综合用房位于厂区西北侧，主要包括加药间、膜处理车间、风机房、配电室和控制室等，属于侧风向。厂区大门位于西南角，与填埋场周边道路相连，交通便捷。综上，</w:t>
            </w:r>
            <w:r>
              <w:rPr>
                <w:rFonts w:hint="default" w:ascii="Times New Roman" w:hAnsi="Times New Roman" w:eastAsia="宋体" w:cs="Times New Roman"/>
                <w:bCs/>
                <w:color w:val="000000" w:themeColor="text1"/>
                <w:sz w:val="24"/>
                <w:szCs w:val="24"/>
                <w14:textFill>
                  <w14:solidFill>
                    <w14:schemeClr w14:val="tx1"/>
                  </w14:solidFill>
                </w14:textFill>
              </w:rPr>
              <w:t>各构筑物独立集中，便于维护和管理，平面布置较为合理。项目总平面布置见附图3。</w:t>
            </w:r>
          </w:p>
          <w:p>
            <w:pPr>
              <w:spacing w:before="156" w:beforeLines="50" w:line="360" w:lineRule="auto"/>
              <w:ind w:firstLine="562" w:firstLineChars="200"/>
              <w:rPr>
                <w:rFonts w:hint="default" w:ascii="Times New Roman" w:hAnsi="Times New Roman" w:eastAsia="宋体" w:cs="Times New Roman"/>
                <w:b/>
                <w:bCs/>
                <w:color w:val="000000" w:themeColor="text1"/>
                <w:lang w:val="zh-CN"/>
                <w14:textFill>
                  <w14:solidFill>
                    <w14:schemeClr w14:val="tx1"/>
                  </w14:solidFill>
                </w14:textFill>
              </w:rPr>
            </w:pPr>
            <w:r>
              <w:rPr>
                <w:rFonts w:hint="default" w:ascii="Times New Roman" w:hAnsi="Times New Roman" w:eastAsia="宋体" w:cs="Times New Roman"/>
                <w:b/>
                <w:bCs/>
                <w:color w:val="000000" w:themeColor="text1"/>
                <w:lang w:val="zh-CN"/>
                <w14:textFill>
                  <w14:solidFill>
                    <w14:schemeClr w14:val="tx1"/>
                  </w14:solidFill>
                </w14:textFill>
              </w:rPr>
              <w:t>四、公用工程</w:t>
            </w:r>
          </w:p>
          <w:p>
            <w:pPr>
              <w:adjustRightInd w:val="0"/>
              <w:snapToGrid w:val="0"/>
              <w:spacing w:line="560" w:lineRule="exact"/>
              <w:ind w:firstLine="480" w:firstLineChars="200"/>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1、给排水</w:t>
            </w:r>
          </w:p>
          <w:p>
            <w:pPr>
              <w:snapToGrid w:val="0"/>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本项目依托填埋场现有供水系统供水，能满足本工程需求，生活给水主要是工作人员生活用水，绿化用水。</w:t>
            </w:r>
          </w:p>
          <w:p>
            <w:pPr>
              <w:pStyle w:val="2"/>
              <w:spacing w:line="560" w:lineRule="exact"/>
              <w:ind w:firstLine="480" w:firstLineChars="200"/>
              <w:jc w:val="both"/>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（1）给水</w:t>
            </w:r>
          </w:p>
          <w:p>
            <w:pPr>
              <w:pStyle w:val="2"/>
              <w:spacing w:line="560" w:lineRule="exact"/>
              <w:ind w:firstLine="480" w:firstLineChars="200"/>
              <w:jc w:val="both"/>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14:textFill>
                  <w14:solidFill>
                    <w14:schemeClr w14:val="tx1"/>
                  </w14:solidFill>
                </w14:textFill>
              </w:rPr>
              <w:t>①</w: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14:textFill>
                  <w14:solidFill>
                    <w14:schemeClr w14:val="tx1"/>
                  </w14:solidFill>
                </w14:textFill>
              </w:rPr>
              <w:t>生活用水量</w:t>
            </w:r>
          </w:p>
          <w:p>
            <w:pPr>
              <w:snapToGrid w:val="0"/>
              <w:spacing w:line="560" w:lineRule="exact"/>
              <w:ind w:firstLine="480" w:firstLineChars="20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14:textFill>
                  <w14:solidFill>
                    <w14:schemeClr w14:val="tx1"/>
                  </w14:solidFill>
                </w14:textFill>
              </w:rPr>
              <w:t>根据《新疆维吾尔自治区生活用水定额》规定，本项目职工3人，均为周边居民，故厂区不提供食宿，用水量相对较少，生活用水定额按45L/ d·人，则生活用水量为0.135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snapToGrid w:val="0"/>
                <w:color w:val="000000" w:themeColor="text1"/>
                <w:sz w:val="24"/>
                <w:szCs w:val="24"/>
                <w14:textFill>
                  <w14:solidFill>
                    <w14:schemeClr w14:val="tx1"/>
                  </w14:solidFill>
                </w14:textFill>
              </w:rPr>
              <w:t>（33.075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snapToGrid w:val="0"/>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2"/>
              <w:spacing w:line="560" w:lineRule="exact"/>
              <w:ind w:firstLine="480" w:firstLineChars="200"/>
              <w:jc w:val="both"/>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14:textFill>
                  <w14:solidFill>
                    <w14:schemeClr w14:val="tx1"/>
                  </w14:solidFill>
                </w14:textFill>
              </w:rPr>
              <w:t>②</w: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14:textFill>
                  <w14:solidFill>
                    <w14:schemeClr w14:val="tx1"/>
                  </w14:solidFill>
                </w14:textFill>
              </w:rPr>
              <w:t>洒水抑尘及绿化用水</w:t>
            </w:r>
          </w:p>
          <w:p>
            <w:pPr>
              <w:snapToGrid w:val="0"/>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本项目道路洒水抑尘及周边绿化，主要利用渗滤液处理系统尾水余量，不新增新鲜水。</w:t>
            </w:r>
          </w:p>
          <w:p>
            <w:pPr>
              <w:pStyle w:val="2"/>
              <w:spacing w:line="560" w:lineRule="exact"/>
              <w:ind w:firstLine="436" w:firstLineChars="182"/>
              <w:jc w:val="both"/>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以上洒水抑尘及绿化用水均取自渗滤液处理后出水，不另取新鲜水。</w:t>
            </w:r>
            <w:r>
              <w:rPr>
                <w:rFonts w:hint="default" w:ascii="Times New Roman" w:hAnsi="Times New Roman" w:eastAsia="宋体" w:cs="Times New Roman"/>
                <w:color w:val="000000" w:themeColor="text1"/>
                <w:sz w:val="24"/>
                <w:szCs w:val="24"/>
                <w14:textFill>
                  <w14:solidFill>
                    <w14:schemeClr w14:val="tx1"/>
                  </w14:solidFill>
                </w14:textFill>
              </w:rPr>
              <w:t>本项目总新鲜用水主要为生活用水，为33.075m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p>
          <w:p>
            <w:pPr>
              <w:adjustRightInd w:val="0"/>
              <w:snapToGrid w:val="0"/>
              <w:spacing w:line="52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（2）排水</w:t>
            </w:r>
          </w:p>
          <w:p>
            <w:pPr>
              <w:snapToGrid w:val="0"/>
              <w:spacing w:line="560" w:lineRule="exact"/>
              <w:ind w:firstLine="480" w:firstLineChars="200"/>
              <w:rPr>
                <w:rFonts w:hint="default" w:ascii="Times New Roman" w:hAnsi="Times New Roman" w:eastAsia="宋体" w:cs="Times New Roman"/>
                <w:snapToGrid w:val="0"/>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14:textFill>
                  <w14:solidFill>
                    <w14:schemeClr w14:val="tx1"/>
                  </w14:solidFill>
                </w14:textFill>
              </w:rPr>
              <w:t>根据《新疆维吾尔自治区生活用水定额》规定，生活用水量为33.075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snapToGrid w:val="0"/>
                <w:color w:val="000000" w:themeColor="text1"/>
                <w:sz w:val="24"/>
                <w:szCs w:val="24"/>
                <w14:textFill>
                  <w14:solidFill>
                    <w14:schemeClr w14:val="tx1"/>
                  </w14:solidFill>
                </w14:textFill>
              </w:rPr>
              <w:t>污水量按用水量的80%计算，则生活污水量为26.46</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snapToGrid w:val="0"/>
                <w:color w:val="000000" w:themeColor="text1"/>
                <w:sz w:val="24"/>
                <w:szCs w:val="24"/>
                <w14:textFill>
                  <w14:solidFill>
                    <w14:schemeClr w14:val="tx1"/>
                  </w14:solidFill>
                </w14:textFill>
              </w:rPr>
              <w:t>。该项废水通过本项目渗滤液处理系统进行处理。</w:t>
            </w:r>
          </w:p>
          <w:p>
            <w:pPr>
              <w:snapToGrid w:val="0"/>
              <w:spacing w:line="560" w:lineRule="exact"/>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（3）渗滤液处理</w:t>
            </w:r>
          </w:p>
          <w:p>
            <w:pPr>
              <w:pStyle w:val="2"/>
              <w:spacing w:line="560" w:lineRule="exact"/>
              <w:ind w:firstLine="480" w:firstLineChars="200"/>
              <w:jc w:val="left"/>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14:textFill>
                  <w14:solidFill>
                    <w14:schemeClr w14:val="tx1"/>
                  </w14:solidFill>
                </w14:textFill>
              </w:rPr>
              <w:t>根据设计规模30.0m</w:t>
            </w:r>
            <w:r>
              <w:rPr>
                <w:rFonts w:hint="default" w:ascii="Times New Roman" w:hAnsi="Times New Roman" w:eastAsia="宋体" w:cs="Times New Roman"/>
                <w:color w:val="000000" w:themeColor="text1"/>
                <w:sz w:val="24"/>
                <w:vertAlign w:val="superscript"/>
                <w:lang w:val="en-US"/>
                <w14:textFill>
                  <w14:solidFill>
                    <w14:schemeClr w14:val="tx1"/>
                  </w14:solidFill>
                </w14:textFill>
              </w:rPr>
              <w:t>3</w:t>
            </w:r>
            <w:r>
              <w:rPr>
                <w:rFonts w:hint="default" w:ascii="Times New Roman" w:hAnsi="Times New Roman" w:eastAsia="宋体" w:cs="Times New Roman"/>
                <w:color w:val="000000" w:themeColor="text1"/>
                <w:sz w:val="24"/>
                <w:lang w:val="en-US"/>
                <w14:textFill>
                  <w14:solidFill>
                    <w14:schemeClr w14:val="tx1"/>
                  </w14:solidFill>
                </w14:textFill>
              </w:rPr>
              <w:t>/d（7350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lang w:val="en-US"/>
                <w14:textFill>
                  <w14:solidFill>
                    <w14:schemeClr w14:val="tx1"/>
                  </w14:solidFill>
                </w14:textFill>
              </w:rPr>
              <w:t>），其中有反渗透系统处理环节会产生</w:t>
            </w:r>
            <w:r>
              <w:rPr>
                <w:rFonts w:hint="default"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lang w:val="en-US"/>
                <w14:textFill>
                  <w14:solidFill>
                    <w14:schemeClr w14:val="tx1"/>
                  </w14:solidFill>
                </w14:textFill>
              </w:rPr>
              <w:t>%浓缩液回灌于垃圾填埋场，约</w:t>
            </w:r>
            <w:r>
              <w:rPr>
                <w:rFonts w:hint="default" w:ascii="Times New Roman" w:hAnsi="Times New Roman" w:eastAsia="宋体" w:cs="Times New Roman"/>
                <w:color w:val="000000" w:themeColor="text1"/>
                <w:sz w:val="24"/>
                <w:lang w:val="en-US" w:eastAsia="zh-CN"/>
                <w14:textFill>
                  <w14:solidFill>
                    <w14:schemeClr w14:val="tx1"/>
                  </w14:solidFill>
                </w14:textFill>
              </w:rPr>
              <w:t>1470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/a；其余处理达标后尾水用于洒水抑尘和绿化。厂区东侧有大片人工林，面积约7万m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（约105亩），如绿化用水按《新疆维吾尔自治区工业和生活用水定额》中园林绿化用水600m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/亩•年计，每年每平方绿化需水量约为1.0m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，则该人工林总绿化需水为7万m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/a，而本项目尾水为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eastAsia="宋体" w:cs="Times New Roman"/>
                <w:color w:val="000000" w:themeColor="text1"/>
                <w:sz w:val="24"/>
                <w:szCs w:val="24"/>
                <w:lang w:val="en-US" w:eastAsia="zh-CN"/>
                <w14:textFill>
                  <w14:solidFill>
                    <w14:schemeClr w14:val="tx1"/>
                  </w14:solidFill>
                </w14:textFill>
              </w:rPr>
              <w:t>757.5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/a，水量较少，该人工林绿化足够消纳本项目尾水，故尾水用于洒水抑尘和绿化较为可行。</w:t>
            </w:r>
          </w:p>
          <w:p>
            <w:pPr>
              <w:pStyle w:val="2"/>
              <w:spacing w:line="560" w:lineRule="exact"/>
              <w:ind w:firstLine="480" w:firstLineChars="200"/>
              <w:jc w:val="both"/>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（4）项目水平衡</w:t>
            </w:r>
          </w:p>
          <w:p>
            <w:pPr>
              <w:pStyle w:val="2"/>
              <w:spacing w:line="560" w:lineRule="exac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本项目职工生活污水和垃圾填埋场渗滤液一并收集，由渗滤液处理系统处理后的尾水</w:t>
            </w:r>
            <w:r>
              <w:rPr>
                <w:rFonts w:hint="default" w:ascii="Times New Roman" w:hAnsi="Times New Roman" w:eastAsia="宋体" w:cs="Times New Roman"/>
                <w:color w:val="000000" w:themeColor="text1"/>
                <w:sz w:val="24"/>
                <w:szCs w:val="24"/>
                <w14:textFill>
                  <w14:solidFill>
                    <w14:schemeClr w14:val="tx1"/>
                  </w14:solidFill>
                </w14:textFill>
              </w:rPr>
              <w:t>用于道路洒水抑尘和厂区周边绿化，足够消纳尾水，保证不外排。</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67375" cy="2105025"/>
                  <wp:effectExtent l="0" t="0" r="1905" b="13335"/>
                  <wp:docPr id="4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IMG_256"/>
                          <pic:cNvPicPr>
                            <a:picLocks noChangeAspect="1"/>
                          </pic:cNvPicPr>
                        </pic:nvPicPr>
                        <pic:blipFill>
                          <a:blip r:embed="rId8"/>
                          <a:stretch>
                            <a:fillRect/>
                          </a:stretch>
                        </pic:blipFill>
                        <pic:spPr>
                          <a:xfrm>
                            <a:off x="0" y="0"/>
                            <a:ext cx="5667375" cy="2105025"/>
                          </a:xfrm>
                          <a:prstGeom prst="rect">
                            <a:avLst/>
                          </a:prstGeom>
                          <a:noFill/>
                          <a:ln w="9525">
                            <a:noFill/>
                          </a:ln>
                        </pic:spPr>
                      </pic:pic>
                    </a:graphicData>
                  </a:graphic>
                </wp:inline>
              </w:drawing>
            </w:r>
          </w:p>
          <w:p>
            <w:pPr>
              <w:pStyle w:val="2"/>
              <w:spacing w:line="560" w:lineRule="exact"/>
              <w:rPr>
                <w:rFonts w:hint="default" w:ascii="Times New Roman" w:hAnsi="Times New Roman" w:eastAsia="宋体" w:cs="Times New Roman"/>
                <w:b/>
                <w:color w:val="000000" w:themeColor="text1"/>
                <w:szCs w:val="24"/>
                <w:lang w:val="en-US"/>
                <w14:textFill>
                  <w14:solidFill>
                    <w14:schemeClr w14:val="tx1"/>
                  </w14:solidFill>
                </w14:textFill>
              </w:rPr>
            </w:pPr>
            <w:r>
              <w:rPr>
                <w:rFonts w:hint="default" w:ascii="Times New Roman" w:hAnsi="Times New Roman" w:eastAsia="宋体" w:cs="Times New Roman"/>
                <w:b/>
                <w:color w:val="000000" w:themeColor="text1"/>
                <w:szCs w:val="24"/>
                <w:lang w:val="en-US"/>
                <w14:textFill>
                  <w14:solidFill>
                    <w14:schemeClr w14:val="tx1"/>
                  </w14:solidFill>
                </w14:textFill>
              </w:rPr>
              <w:t>图4  项目水平衡图（m</w:t>
            </w:r>
            <w:r>
              <w:rPr>
                <w:rFonts w:hint="default" w:ascii="Times New Roman" w:hAnsi="Times New Roman" w:eastAsia="宋体" w:cs="Times New Roman"/>
                <w:b/>
                <w:color w:val="000000" w:themeColor="text1"/>
                <w:szCs w:val="24"/>
                <w:vertAlign w:val="superscript"/>
                <w:lang w:val="en-US"/>
                <w14:textFill>
                  <w14:solidFill>
                    <w14:schemeClr w14:val="tx1"/>
                  </w14:solidFill>
                </w14:textFill>
              </w:rPr>
              <w:t>3</w:t>
            </w:r>
            <w:r>
              <w:rPr>
                <w:rFonts w:hint="default" w:ascii="Times New Roman" w:hAnsi="Times New Roman" w:eastAsia="宋体" w:cs="Times New Roman"/>
                <w:b/>
                <w:color w:val="000000" w:themeColor="text1"/>
                <w:szCs w:val="24"/>
                <w:lang w:val="en-US"/>
                <w14:textFill>
                  <w14:solidFill>
                    <w14:schemeClr w14:val="tx1"/>
                  </w14:solidFill>
                </w14:textFill>
              </w:rPr>
              <w:t>/a）</w:t>
            </w:r>
          </w:p>
          <w:p>
            <w:pPr>
              <w:adjustRightInd w:val="0"/>
              <w:snapToGrid w:val="0"/>
              <w:spacing w:line="520" w:lineRule="exact"/>
              <w:ind w:firstLine="480" w:firstLineChars="200"/>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2、供电</w:t>
            </w:r>
          </w:p>
          <w:p>
            <w:pPr>
              <w:adjustRightInd w:val="0"/>
              <w:snapToGrid w:val="0"/>
              <w:spacing w:line="520" w:lineRule="exact"/>
              <w:ind w:firstLine="480" w:firstLineChars="200"/>
              <w:rPr>
                <w:rStyle w:val="98"/>
                <w:rFonts w:hint="default" w:ascii="Times New Roman" w:hAnsi="Times New Roman" w:cs="Times New Roman"/>
                <w:color w:val="000000" w:themeColor="text1"/>
                <w14:textFill>
                  <w14:solidFill>
                    <w14:schemeClr w14:val="tx1"/>
                  </w14:solidFill>
                </w14:textFill>
              </w:rPr>
            </w:pPr>
            <w:r>
              <w:rPr>
                <w:rStyle w:val="98"/>
                <w:rFonts w:hint="default" w:ascii="Times New Roman" w:hAnsi="Times New Roman" w:cs="Times New Roman"/>
                <w:color w:val="000000" w:themeColor="text1"/>
                <w14:textFill>
                  <w14:solidFill>
                    <w14:schemeClr w14:val="tx1"/>
                  </w14:solidFill>
                </w14:textFill>
              </w:rPr>
              <w:t>本项目供电由已建垃圾填埋场电网供给。</w:t>
            </w:r>
          </w:p>
          <w:p>
            <w:pPr>
              <w:pStyle w:val="2"/>
              <w:spacing w:line="520" w:lineRule="exact"/>
              <w:ind w:firstLine="480" w:firstLineChars="200"/>
              <w:jc w:val="both"/>
              <w:rPr>
                <w:rStyle w:val="98"/>
                <w:rFonts w:hint="default" w:ascii="Times New Roman" w:hAnsi="Times New Roman" w:cs="Times New Roman"/>
                <w:snapToGrid/>
                <w:color w:val="000000" w:themeColor="text1"/>
                <w:kern w:val="2"/>
                <w:lang w:val="en-US"/>
                <w14:textFill>
                  <w14:solidFill>
                    <w14:schemeClr w14:val="tx1"/>
                  </w14:solidFill>
                </w14:textFill>
              </w:rPr>
            </w:pPr>
            <w:r>
              <w:rPr>
                <w:rStyle w:val="98"/>
                <w:rFonts w:hint="default" w:ascii="Times New Roman" w:hAnsi="Times New Roman" w:cs="Times New Roman"/>
                <w:snapToGrid/>
                <w:color w:val="000000" w:themeColor="text1"/>
                <w:kern w:val="2"/>
                <w:lang w:val="en-US"/>
                <w14:textFill>
                  <w14:solidFill>
                    <w14:schemeClr w14:val="tx1"/>
                  </w14:solidFill>
                </w14:textFill>
              </w:rPr>
              <w:t>3、供暖</w:t>
            </w:r>
          </w:p>
          <w:p>
            <w:pPr>
              <w:pStyle w:val="2"/>
              <w:spacing w:line="520" w:lineRule="exact"/>
              <w:ind w:firstLine="480" w:firstLineChars="200"/>
              <w:jc w:val="both"/>
              <w:rPr>
                <w:rStyle w:val="98"/>
                <w:rFonts w:hint="default" w:ascii="Times New Roman" w:hAnsi="Times New Roman" w:cs="Times New Roman"/>
                <w:snapToGrid/>
                <w:color w:val="000000" w:themeColor="text1"/>
                <w:kern w:val="2"/>
                <w:lang w:val="en-US"/>
                <w14:textFill>
                  <w14:solidFill>
                    <w14:schemeClr w14:val="tx1"/>
                  </w14:solidFill>
                </w14:textFill>
              </w:rPr>
            </w:pPr>
            <w:r>
              <w:rPr>
                <w:rStyle w:val="98"/>
                <w:rFonts w:hint="default" w:ascii="Times New Roman" w:hAnsi="Times New Roman" w:cs="Times New Roman"/>
                <w:snapToGrid/>
                <w:color w:val="000000" w:themeColor="text1"/>
                <w:kern w:val="2"/>
                <w:lang w:val="en-US"/>
                <w14:textFill>
                  <w14:solidFill>
                    <w14:schemeClr w14:val="tx1"/>
                  </w14:solidFill>
                </w14:textFill>
              </w:rPr>
              <w:t>因冬季渗滤液大部分冻结，渗滤液较少，故渗滤液处理设备不运行，仅值班人员采用电采暖供热。</w:t>
            </w:r>
          </w:p>
          <w:p>
            <w:pPr>
              <w:spacing w:before="156" w:beforeLines="50" w:line="360" w:lineRule="auto"/>
              <w:ind w:firstLine="562" w:firstLineChars="20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五、项目进度</w:t>
            </w:r>
          </w:p>
          <w:p>
            <w:pPr>
              <w:pStyle w:val="84"/>
              <w:ind w:firstLine="600" w:firstLineChars="25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本项目计划2019年10-11月，2020年4-5月，共4个月进行施工建设，2020年6月投入运行。具体计划见下表：</w:t>
            </w: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r>
              <w:rPr>
                <w:rFonts w:hint="default" w:ascii="Times New Roman" w:hAnsi="Times New Roman" w:cs="Times New Roman"/>
                <w:color w:val="000000" w:themeColor="text1"/>
                <w:sz w:val="21"/>
                <w:szCs w:val="24"/>
                <w14:textFill>
                  <w14:solidFill>
                    <w14:schemeClr w14:val="tx1"/>
                  </w14:solidFill>
                </w14:textFill>
              </w:rPr>
              <w:t>表</w:t>
            </w:r>
            <w:r>
              <w:rPr>
                <w:rFonts w:hint="default" w:ascii="Times New Roman" w:hAnsi="Times New Roman" w:cs="Times New Roman"/>
                <w:color w:val="000000" w:themeColor="text1"/>
                <w:sz w:val="21"/>
                <w:szCs w:val="24"/>
                <w:lang w:val="en-US" w:eastAsia="zh-CN"/>
                <w14:textFill>
                  <w14:solidFill>
                    <w14:schemeClr w14:val="tx1"/>
                  </w14:solidFill>
                </w14:textFill>
              </w:rPr>
              <w:t>8</w:t>
            </w:r>
            <w:r>
              <w:rPr>
                <w:rFonts w:hint="default" w:ascii="Times New Roman" w:hAnsi="Times New Roman" w:cs="Times New Roman"/>
                <w:color w:val="000000" w:themeColor="text1"/>
                <w:sz w:val="21"/>
                <w:szCs w:val="24"/>
                <w14:textFill>
                  <w14:solidFill>
                    <w14:schemeClr w14:val="tx1"/>
                  </w14:solidFill>
                </w14:textFill>
              </w:rPr>
              <w:t xml:space="preserve">  项目具体进度计划表</w:t>
            </w:r>
          </w:p>
          <w:tbl>
            <w:tblPr>
              <w:tblStyle w:val="32"/>
              <w:tblpPr w:leftFromText="180" w:rightFromText="180" w:vertAnchor="text" w:horzAnchor="page" w:tblpX="1" w:tblpY="97"/>
              <w:tblOverlap w:val="never"/>
              <w:tblW w:w="89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466"/>
              <w:gridCol w:w="467"/>
              <w:gridCol w:w="467"/>
              <w:gridCol w:w="468"/>
              <w:gridCol w:w="467"/>
              <w:gridCol w:w="467"/>
              <w:gridCol w:w="467"/>
              <w:gridCol w:w="469"/>
              <w:gridCol w:w="469"/>
              <w:gridCol w:w="609"/>
              <w:gridCol w:w="604"/>
              <w:gridCol w:w="417"/>
              <w:gridCol w:w="416"/>
              <w:gridCol w:w="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2310" w:type="dxa"/>
                  <w:vMerge w:val="restart"/>
                  <w:tcBorders>
                    <w:top w:val="single" w:color="auto" w:sz="12" w:space="0"/>
                    <w:bottom w:val="single" w:color="auto" w:sz="4" w:space="0"/>
                    <w:tl2br w:val="single" w:color="auto" w:sz="4" w:space="0"/>
                  </w:tcBorders>
                  <w:vAlign w:val="center"/>
                </w:tcPr>
                <w:p>
                  <w:pPr>
                    <w:tabs>
                      <w:tab w:val="left" w:pos="2940"/>
                      <w:tab w:val="center" w:pos="4630"/>
                    </w:tabs>
                    <w:autoSpaceDE w:val="0"/>
                    <w:autoSpaceDN w:val="0"/>
                    <w:adjustRightInd w:val="0"/>
                    <w:snapToGrid w:val="0"/>
                    <w:jc w:val="righ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时间</w:t>
                  </w:r>
                </w:p>
                <w:p>
                  <w:pPr>
                    <w:tabs>
                      <w:tab w:val="left" w:pos="2940"/>
                      <w:tab w:val="center" w:pos="4630"/>
                    </w:tabs>
                    <w:autoSpaceDE w:val="0"/>
                    <w:autoSpaceDN w:val="0"/>
                    <w:adjustRightInd w:val="0"/>
                    <w:snapToGrid w:val="0"/>
                    <w:rPr>
                      <w:rFonts w:hint="default" w:ascii="Times New Roman" w:hAnsi="Times New Roman" w:eastAsia="宋体" w:cs="Times New Roman"/>
                      <w:color w:val="000000" w:themeColor="text1"/>
                      <w:sz w:val="18"/>
                      <w:szCs w:val="18"/>
                      <w14:textFill>
                        <w14:solidFill>
                          <w14:schemeClr w14:val="tx1"/>
                        </w14:solidFill>
                      </w14:textFill>
                    </w:rPr>
                  </w:pPr>
                </w:p>
                <w:p>
                  <w:pPr>
                    <w:tabs>
                      <w:tab w:val="left" w:pos="2940"/>
                      <w:tab w:val="center" w:pos="4630"/>
                    </w:tabs>
                    <w:autoSpaceDE w:val="0"/>
                    <w:autoSpaceDN w:val="0"/>
                    <w:adjustRightInd w:val="0"/>
                    <w:snapToGrid w:val="0"/>
                    <w:ind w:firstLine="180" w:firstLineChars="10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项目</w:t>
                  </w:r>
                </w:p>
              </w:tc>
              <w:tc>
                <w:tcPr>
                  <w:tcW w:w="5420" w:type="dxa"/>
                  <w:gridSpan w:val="11"/>
                </w:tcPr>
                <w:p>
                  <w:pPr>
                    <w:tabs>
                      <w:tab w:val="left" w:pos="2940"/>
                      <w:tab w:val="center" w:pos="4630"/>
                    </w:tabs>
                    <w:autoSpaceDE w:val="0"/>
                    <w:autoSpaceDN w:val="0"/>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2019年</w:t>
                  </w:r>
                </w:p>
              </w:tc>
              <w:tc>
                <w:tcPr>
                  <w:tcW w:w="1250" w:type="dxa"/>
                  <w:gridSpan w:val="3"/>
                  <w:vAlign w:val="center"/>
                </w:tcPr>
                <w:p>
                  <w:pPr>
                    <w:tabs>
                      <w:tab w:val="left" w:pos="2940"/>
                      <w:tab w:val="center" w:pos="4630"/>
                    </w:tabs>
                    <w:autoSpaceDE w:val="0"/>
                    <w:autoSpaceDN w:val="0"/>
                    <w:adjustRightInd w:val="0"/>
                    <w:snapToGrid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2020年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2310" w:type="dxa"/>
                  <w:vMerge w:val="continue"/>
                  <w:tcBorders>
                    <w:top w:val="single" w:color="auto" w:sz="4" w:space="0"/>
                    <w:bottom w:val="single" w:color="auto" w:sz="4" w:space="0"/>
                    <w:tl2br w:val="single" w:color="auto" w:sz="4" w:space="0"/>
                  </w:tcBorders>
                  <w:vAlign w:val="center"/>
                </w:tcPr>
                <w:p>
                  <w:pPr>
                    <w:widowControl/>
                    <w:jc w:val="left"/>
                    <w:rPr>
                      <w:rFonts w:hint="default" w:ascii="Times New Roman" w:hAnsi="Times New Roman" w:eastAsia="宋体" w:cs="Times New Roman"/>
                      <w:color w:val="000000" w:themeColor="text1"/>
                      <w:sz w:val="18"/>
                      <w:szCs w:val="18"/>
                      <w14:textFill>
                        <w14:solidFill>
                          <w14:schemeClr w14:val="tx1"/>
                        </w14:solidFill>
                      </w14:textFill>
                    </w:rPr>
                  </w:pPr>
                </w:p>
              </w:tc>
              <w:tc>
                <w:tcPr>
                  <w:tcW w:w="466"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w:t>
                  </w: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2</w:t>
                  </w: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3</w:t>
                  </w:r>
                </w:p>
              </w:tc>
              <w:tc>
                <w:tcPr>
                  <w:tcW w:w="468"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4</w:t>
                  </w: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5</w:t>
                  </w: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6</w:t>
                  </w: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7</w:t>
                  </w: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8</w:t>
                  </w: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9</w:t>
                  </w:r>
                </w:p>
              </w:tc>
              <w:tc>
                <w:tcPr>
                  <w:tcW w:w="60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10</w:t>
                  </w:r>
                </w:p>
              </w:tc>
              <w:tc>
                <w:tcPr>
                  <w:tcW w:w="604"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11</w:t>
                  </w:r>
                </w:p>
              </w:tc>
              <w:tc>
                <w:tcPr>
                  <w:tcW w:w="41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4</w:t>
                  </w:r>
                </w:p>
              </w:tc>
              <w:tc>
                <w:tcPr>
                  <w:tcW w:w="416"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5</w:t>
                  </w:r>
                </w:p>
              </w:tc>
              <w:tc>
                <w:tcPr>
                  <w:tcW w:w="41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2310" w:type="dxa"/>
                  <w:tcBorders>
                    <w:top w:val="single" w:color="auto" w:sz="4" w:space="0"/>
                  </w:tcBorders>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项目可研、初设及施工设计及审批</w:t>
                  </w:r>
                </w:p>
              </w:tc>
              <w:tc>
                <w:tcPr>
                  <w:tcW w:w="466"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8"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64135</wp:posOffset>
                            </wp:positionH>
                            <wp:positionV relativeFrom="paragraph">
                              <wp:posOffset>66040</wp:posOffset>
                            </wp:positionV>
                            <wp:extent cx="1137285" cy="0"/>
                            <wp:effectExtent l="0" t="28575" r="5715" b="32385"/>
                            <wp:wrapNone/>
                            <wp:docPr id="2" name="自选图形 3"/>
                            <wp:cNvGraphicFramePr/>
                            <a:graphic xmlns:a="http://schemas.openxmlformats.org/drawingml/2006/main">
                              <a:graphicData uri="http://schemas.microsoft.com/office/word/2010/wordprocessingShape">
                                <wps:wsp>
                                  <wps:cNvCnPr/>
                                  <wps:spPr>
                                    <a:xfrm>
                                      <a:off x="0" y="0"/>
                                      <a:ext cx="1137285" cy="0"/>
                                    </a:xfrm>
                                    <a:prstGeom prst="straightConnector1">
                                      <a:avLst/>
                                    </a:prstGeom>
                                    <a:ln w="571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5.05pt;margin-top:5.2pt;height:0pt;width:89.55pt;z-index:251680768;mso-width-relative:page;mso-height-relative:page;" filled="f" stroked="t" coordsize="21600,21600" o:gfxdata="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4wYHM1QAAAAgBAAAPAAAAAAAA&#10;AAEAIAAAACIAAABkcnMvZG93bnJldi54bWxQSwECFAAUAAAACACHTuJAjzaCj9wBAACWAwAADgAA&#10;AAAAAAABACAAAAAkAQAAZHJzL2Uyb0RvYy54bWxQSwUGAAAAAAYABgBZAQAAcgUAAAAA&#10;">
                            <v:fill on="f" focussize="0,0"/>
                            <v:stroke weight="4.5pt" color="#000000" joinstyle="round"/>
                            <v:imagedata o:title=""/>
                            <o:lock v:ext="edit" aspectratio="f"/>
                          </v:shape>
                        </w:pict>
                      </mc:Fallback>
                    </mc:AlternateContent>
                  </w: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4"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6"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2310"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设备招标及采购</w:t>
                  </w:r>
                </w:p>
              </w:tc>
              <w:tc>
                <w:tcPr>
                  <w:tcW w:w="466"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8"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119380</wp:posOffset>
                            </wp:positionH>
                            <wp:positionV relativeFrom="paragraph">
                              <wp:posOffset>49530</wp:posOffset>
                            </wp:positionV>
                            <wp:extent cx="314325" cy="0"/>
                            <wp:effectExtent l="0" t="28575" r="5715" b="32385"/>
                            <wp:wrapNone/>
                            <wp:docPr id="3" name="自选图形 4"/>
                            <wp:cNvGraphicFramePr/>
                            <a:graphic xmlns:a="http://schemas.openxmlformats.org/drawingml/2006/main">
                              <a:graphicData uri="http://schemas.microsoft.com/office/word/2010/wordprocessingShape">
                                <wps:wsp>
                                  <wps:cNvCnPr/>
                                  <wps:spPr>
                                    <a:xfrm>
                                      <a:off x="0" y="0"/>
                                      <a:ext cx="314325" cy="0"/>
                                    </a:xfrm>
                                    <a:prstGeom prst="straightConnector1">
                                      <a:avLst/>
                                    </a:prstGeom>
                                    <a:ln w="57150"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9.4pt;margin-top:3.9pt;height:0pt;width:24.75pt;z-index:251688960;mso-width-relative:page;mso-height-relative:page;" filled="f" stroked="t" coordsize="21600,21600" o:gfxdata="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KOCkDSAAAABQEAAA8AAAAAAAAAAQAg&#10;AAAAIgAAAGRycy9kb3ducmV2LnhtbFBLAQIUABQAAAAIAIdO4kB73tQ32wEAAJUDAAAOAAAAAAAA&#10;AAEAIAAAACEBAABkcnMvZTJvRG9jLnhtbFBLBQYAAAAABgAGAFkBAABuBQAAAAA=&#10;">
                            <v:fill on="f" focussize="0,0"/>
                            <v:stroke weight="4.5pt" color="#000000" joinstyle="round"/>
                            <v:imagedata o:title=""/>
                            <o:lock v:ext="edit" aspectratio="f"/>
                          </v:shape>
                        </w:pict>
                      </mc:Fallback>
                    </mc:AlternateContent>
                  </w: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4"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6"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310"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施工招标</w:t>
                  </w:r>
                </w:p>
              </w:tc>
              <w:tc>
                <w:tcPr>
                  <w:tcW w:w="466"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8"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-50165</wp:posOffset>
                            </wp:positionH>
                            <wp:positionV relativeFrom="paragraph">
                              <wp:posOffset>69215</wp:posOffset>
                            </wp:positionV>
                            <wp:extent cx="314325" cy="0"/>
                            <wp:effectExtent l="0" t="28575" r="5715" b="32385"/>
                            <wp:wrapNone/>
                            <wp:docPr id="30" name="自选图形 4"/>
                            <wp:cNvGraphicFramePr/>
                            <a:graphic xmlns:a="http://schemas.openxmlformats.org/drawingml/2006/main">
                              <a:graphicData uri="http://schemas.microsoft.com/office/word/2010/wordprocessingShape">
                                <wps:wsp>
                                  <wps:cNvCnPr/>
                                  <wps:spPr>
                                    <a:xfrm>
                                      <a:off x="0" y="0"/>
                                      <a:ext cx="314325" cy="0"/>
                                    </a:xfrm>
                                    <a:prstGeom prst="straightConnector1">
                                      <a:avLst/>
                                    </a:prstGeom>
                                    <a:ln w="57150"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3.95pt;margin-top:5.45pt;height:0pt;width:24.75pt;z-index:251691008;mso-width-relative:page;mso-height-relative:page;" filled="f" stroked="t" coordsize="21600,21600" o:gfxdata="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3Ijx9QAAAAHAQAADwAAAAAAAAAB&#10;ACAAAAAiAAAAZHJzL2Rvd25yZXYueG1sUEsBAhQAFAAAAAgAh07iQMDv9p/bAQAAlgMAAA4AAAAA&#10;AAAAAQAgAAAAIwEAAGRycy9lMm9Eb2MueG1sUEsFBgAAAAAGAAYAWQEAAHAFAAAAAA==&#10;">
                            <v:fill on="f" focussize="0,0"/>
                            <v:stroke weight="4.5pt" color="#000000" joinstyle="round"/>
                            <v:imagedata o:title=""/>
                            <o:lock v:ext="edit" aspectratio="f"/>
                          </v:shape>
                        </w:pict>
                      </mc:Fallback>
                    </mc:AlternateContent>
                  </w:r>
                </w:p>
              </w:tc>
              <w:tc>
                <w:tcPr>
                  <w:tcW w:w="60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4"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6"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310"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土建施工</w:t>
                  </w:r>
                </w:p>
              </w:tc>
              <w:tc>
                <w:tcPr>
                  <w:tcW w:w="466"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8"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-41275</wp:posOffset>
                            </wp:positionH>
                            <wp:positionV relativeFrom="paragraph">
                              <wp:posOffset>71755</wp:posOffset>
                            </wp:positionV>
                            <wp:extent cx="1190625" cy="0"/>
                            <wp:effectExtent l="0" t="28575" r="13335" b="32385"/>
                            <wp:wrapNone/>
                            <wp:docPr id="4" name="自选图形 2"/>
                            <wp:cNvGraphicFramePr/>
                            <a:graphic xmlns:a="http://schemas.openxmlformats.org/drawingml/2006/main">
                              <a:graphicData uri="http://schemas.microsoft.com/office/word/2010/wordprocessingShape">
                                <wps:wsp>
                                  <wps:cNvCnPr/>
                                  <wps:spPr>
                                    <a:xfrm>
                                      <a:off x="0" y="0"/>
                                      <a:ext cx="1190625" cy="0"/>
                                    </a:xfrm>
                                    <a:prstGeom prst="straightConnector1">
                                      <a:avLst/>
                                    </a:prstGeom>
                                    <a:ln w="571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3.25pt;margin-top:5.65pt;height:0pt;width:93.75pt;z-index:251682816;mso-width-relative:page;mso-height-relative:page;" filled="f" stroked="t" coordsize="21600,21600" o:gfxdata="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n73F1QAAAAgBAAAPAAAAAAAA&#10;AAEAIAAAACIAAABkcnMvZG93bnJldi54bWxQSwECFAAUAAAACACHTuJAVa+AltwBAACWAwAADgAA&#10;AAAAAAABACAAAAAkAQAAZHJzL2Uyb0RvYy54bWxQSwUGAAAAAAYABgBZAQAAcgUAAAAA&#10;">
                            <v:fill on="f" focussize="0,0"/>
                            <v:stroke weight="4.5pt" color="#000000" joinstyle="round"/>
                            <v:imagedata o:title=""/>
                            <o:lock v:ext="edit" aspectratio="f"/>
                          </v:shape>
                        </w:pict>
                      </mc:Fallback>
                    </mc:AlternateContent>
                  </w:r>
                </w:p>
              </w:tc>
              <w:tc>
                <w:tcPr>
                  <w:tcW w:w="604"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6"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310"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调试和试运行</w:t>
                  </w:r>
                </w:p>
              </w:tc>
              <w:tc>
                <w:tcPr>
                  <w:tcW w:w="466"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8"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4"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6"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177800</wp:posOffset>
                            </wp:positionH>
                            <wp:positionV relativeFrom="paragraph">
                              <wp:posOffset>153035</wp:posOffset>
                            </wp:positionV>
                            <wp:extent cx="175260" cy="635"/>
                            <wp:effectExtent l="0" t="28575" r="7620" b="31750"/>
                            <wp:wrapNone/>
                            <wp:docPr id="5" name="自选图形 5"/>
                            <wp:cNvGraphicFramePr/>
                            <a:graphic xmlns:a="http://schemas.openxmlformats.org/drawingml/2006/main">
                              <a:graphicData uri="http://schemas.microsoft.com/office/word/2010/wordprocessingShape">
                                <wps:wsp>
                                  <wps:cNvCnPr/>
                                  <wps:spPr>
                                    <a:xfrm>
                                      <a:off x="0" y="0"/>
                                      <a:ext cx="175260" cy="635"/>
                                    </a:xfrm>
                                    <a:prstGeom prst="straightConnector1">
                                      <a:avLst/>
                                    </a:prstGeom>
                                    <a:ln w="57150"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4pt;margin-top:12.05pt;height:0.05pt;width:13.8pt;z-index:251683840;mso-width-relative:page;mso-height-relative:page;" filled="f" stroked="t" coordsize="21600,21600" o:gfxdata="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2teItQAAAAHAQAADwAAAAAAAAAB&#10;ACAAAAAiAAAAZHJzL2Rvd25yZXYueG1sUEsBAhQAFAAAAAgAh07iQIRfug3bAQAAlwMAAA4AAAAA&#10;AAAAAQAgAAAAIwEAAGRycy9lMm9Eb2MueG1sUEsFBgAAAAAGAAYAWQEAAHAFAAAAAA==&#10;">
                            <v:fill on="f" focussize="0,0"/>
                            <v:stroke weight="4.5pt" color="#000000" joinstyle="round"/>
                            <v:imagedata o:title=""/>
                            <o:lock v:ext="edit" aspectratio="f"/>
                          </v:shape>
                        </w:pict>
                      </mc:Fallback>
                    </mc:AlternateContent>
                  </w: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2310"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正式投产</w:t>
                  </w:r>
                </w:p>
              </w:tc>
              <w:tc>
                <w:tcPr>
                  <w:tcW w:w="466"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8"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7"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6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9"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04" w:type="dxa"/>
                  <w:vAlign w:val="center"/>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6"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417" w:type="dxa"/>
                </w:tcPr>
                <w:p>
                  <w:pPr>
                    <w:tabs>
                      <w:tab w:val="left" w:pos="2940"/>
                      <w:tab w:val="center" w:pos="4630"/>
                    </w:tabs>
                    <w:autoSpaceDE w:val="0"/>
                    <w:autoSpaceDN w:val="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36195</wp:posOffset>
                            </wp:positionH>
                            <wp:positionV relativeFrom="paragraph">
                              <wp:posOffset>160020</wp:posOffset>
                            </wp:positionV>
                            <wp:extent cx="144780" cy="635"/>
                            <wp:effectExtent l="0" t="28575" r="7620" b="31750"/>
                            <wp:wrapNone/>
                            <wp:docPr id="6" name="自选图形 439"/>
                            <wp:cNvGraphicFramePr/>
                            <a:graphic xmlns:a="http://schemas.openxmlformats.org/drawingml/2006/main">
                              <a:graphicData uri="http://schemas.microsoft.com/office/word/2010/wordprocessingShape">
                                <wps:wsp>
                                  <wps:cNvCnPr/>
                                  <wps:spPr>
                                    <a:xfrm>
                                      <a:off x="0" y="0"/>
                                      <a:ext cx="144780" cy="635"/>
                                    </a:xfrm>
                                    <a:prstGeom prst="straightConnector1">
                                      <a:avLst/>
                                    </a:prstGeom>
                                    <a:ln w="57150" cap="flat" cmpd="sng">
                                      <a:solidFill>
                                        <a:srgbClr val="000000"/>
                                      </a:solidFill>
                                      <a:prstDash val="solid"/>
                                      <a:headEnd type="none" w="med" len="med"/>
                                      <a:tailEnd type="none" w="med" len="med"/>
                                    </a:ln>
                                  </wps:spPr>
                                  <wps:bodyPr/>
                                </wps:wsp>
                              </a:graphicData>
                            </a:graphic>
                          </wp:anchor>
                        </w:drawing>
                      </mc:Choice>
                      <mc:Fallback>
                        <w:pict>
                          <v:shape id="自选图形 439" o:spid="_x0000_s1026" o:spt="32" type="#_x0000_t32" style="position:absolute;left:0pt;margin-left:2.85pt;margin-top:12.6pt;height:0.05pt;width:11.4pt;z-index:251684864;mso-width-relative:page;mso-height-relative:page;" filled="f" stroked="t" coordsize="21600,21600" o:gfxdata="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Px5d/TAAAABgEAAA8AAAAAAAAA&#10;AQAgAAAAIgAAAGRycy9kb3ducmV2LnhtbFBLAQIUABQAAAAIAIdO4kDxTtmM3QEAAJkDAAAOAAAA&#10;AAAAAAEAIAAAACIBAABkcnMvZTJvRG9jLnhtbFBLBQYAAAAABgAGAFkBAABxBQAAAAA=&#10;">
                            <v:fill on="f" focussize="0,0"/>
                            <v:stroke weight="4.5pt" color="#000000" joinstyle="round"/>
                            <v:imagedata o:title=""/>
                            <o:lock v:ext="edit" aspectratio="f"/>
                          </v:shape>
                        </w:pict>
                      </mc:Fallback>
                    </mc:AlternateContent>
                  </w:r>
                </w:p>
              </w:tc>
            </w:tr>
          </w:tbl>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bookmarkStart w:id="8" w:name="_GoBack"/>
            <w:bookmarkEnd w:id="8"/>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rPr>
                <w:rFonts w:hint="default" w:ascii="Times New Roman" w:hAnsi="Times New Roman" w:cs="Times New Roman"/>
                <w:color w:val="000000" w:themeColor="text1"/>
                <w:sz w:val="21"/>
                <w:szCs w:val="24"/>
                <w14:textFill>
                  <w14:solidFill>
                    <w14:schemeClr w14:val="tx1"/>
                  </w14:solidFill>
                </w14:textFill>
              </w:rPr>
            </w:pPr>
          </w:p>
          <w:p>
            <w:pPr>
              <w:pStyle w:val="177"/>
              <w:spacing w:line="360" w:lineRule="auto"/>
              <w:jc w:val="both"/>
              <w:rPr>
                <w:rFonts w:hint="default" w:ascii="Times New Roman" w:hAnsi="Times New Roman" w:cs="Times New Roman"/>
                <w:color w:val="000000" w:themeColor="text1"/>
                <w:sz w:val="21"/>
                <w:szCs w:val="24"/>
                <w14:textFill>
                  <w14:solidFill>
                    <w14:schemeClr w14:val="tx1"/>
                  </w14:solidFill>
                </w14:textFill>
              </w:rPr>
            </w:pPr>
          </w:p>
          <w:p>
            <w:pPr>
              <w:pStyle w:val="158"/>
              <w:ind w:firstLine="0" w:firstLineChars="0"/>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 w:type="dxa"/>
            <w:bottom w:w="0" w:type="dxa"/>
            <w:right w:w="0" w:type="dxa"/>
          </w:tblCellMar>
        </w:tblPrEx>
        <w:trPr>
          <w:trHeight w:val="13541" w:hRule="atLeast"/>
        </w:trPr>
        <w:tc>
          <w:tcPr>
            <w:tcW w:w="9083" w:type="dxa"/>
            <w:gridSpan w:val="8"/>
            <w:tcBorders>
              <w:bottom w:val="single" w:color="auto" w:sz="4" w:space="0"/>
            </w:tcBorders>
          </w:tcPr>
          <w:p>
            <w:pPr>
              <w:autoSpaceDE w:val="0"/>
              <w:autoSpaceDN w:val="0"/>
              <w:spacing w:line="360" w:lineRule="auto"/>
              <w:ind w:right="326"/>
              <w:rPr>
                <w:rFonts w:hint="default" w:ascii="Times New Roman" w:hAnsi="Times New Roman" w:eastAsia="宋体" w:cs="Times New Roman"/>
                <w:b/>
                <w:iCs/>
                <w:color w:val="000000" w:themeColor="text1"/>
                <w:sz w:val="30"/>
                <w:szCs w:val="30"/>
                <w14:textFill>
                  <w14:solidFill>
                    <w14:schemeClr w14:val="tx1"/>
                  </w14:solidFill>
                </w14:textFill>
              </w:rPr>
            </w:pPr>
            <w:r>
              <w:rPr>
                <w:rFonts w:hint="default" w:ascii="Times New Roman" w:hAnsi="Times New Roman" w:eastAsia="宋体" w:cs="Times New Roman"/>
                <w:b/>
                <w:iCs/>
                <w:color w:val="000000" w:themeColor="text1"/>
                <w:sz w:val="30"/>
                <w:szCs w:val="30"/>
                <w14:textFill>
                  <w14:solidFill>
                    <w14:schemeClr w14:val="tx1"/>
                  </w14:solidFill>
                </w14:textFill>
              </w:rPr>
              <w:t>与本项目有关的原有污染情况及主要环境问题</w:t>
            </w:r>
          </w:p>
          <w:p>
            <w:pPr>
              <w:pStyle w:val="2"/>
              <w:numPr>
                <w:ilvl w:val="0"/>
                <w:numId w:val="1"/>
              </w:numPr>
              <w:spacing w:line="560" w:lineRule="exact"/>
              <w:ind w:firstLine="482" w:firstLineChars="200"/>
              <w:jc w:val="both"/>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项目周边相关现状及问题</w:t>
            </w:r>
          </w:p>
          <w:p>
            <w:pPr>
              <w:pStyle w:val="26"/>
              <w:spacing w:after="0" w:line="560" w:lineRule="exact"/>
              <w:ind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本项目为技术改造项目，</w:t>
            </w:r>
            <w:r>
              <w:rPr>
                <w:rStyle w:val="98"/>
                <w:rFonts w:hint="default" w:ascii="Times New Roman" w:hAnsi="Times New Roman" w:cs="Times New Roman"/>
                <w:color w:val="000000" w:themeColor="text1"/>
                <w14:textFill>
                  <w14:solidFill>
                    <w14:schemeClr w14:val="tx1"/>
                  </w14:solidFill>
                </w14:textFill>
              </w:rPr>
              <w:t>玛纳斯县生活垃圾填埋场一期工程于2012年4月建成，有效库容20.4万立方米， 2016年1月通过验收并正式投入运营。二期工程于2018年11月建成，新增有效库容30.2万立方米。玛纳斯县生活垃圾填埋场</w:t>
            </w:r>
            <w:r>
              <w:rPr>
                <w:rStyle w:val="98"/>
                <w:rFonts w:hint="default" w:ascii="Times New Roman" w:hAnsi="Times New Roman" w:eastAsia="宋体" w:cs="Times New Roman"/>
                <w:color w:val="000000" w:themeColor="text1"/>
                <w:lang w:val="en-US" w:eastAsia="zh-CN"/>
                <w14:textFill>
                  <w14:solidFill>
                    <w14:schemeClr w14:val="tx1"/>
                  </w14:solidFill>
                </w14:textFill>
              </w:rPr>
              <w:t>投入运营至今</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已填埋生活垃圾约30万立方米，</w:t>
            </w:r>
            <w:r>
              <w:rPr>
                <w:rFonts w:hint="default" w:ascii="Times New Roman" w:hAnsi="Times New Roman" w:eastAsia="宋体" w:cs="Times New Roman"/>
                <w:color w:val="000000" w:themeColor="text1"/>
                <w:sz w:val="24"/>
                <w:szCs w:val="24"/>
                <w:lang w:val="en-US"/>
                <w14:textFill>
                  <w14:solidFill>
                    <w14:schemeClr w14:val="tx1"/>
                  </w14:solidFill>
                </w14:textFill>
              </w:rPr>
              <w:t>对周边环境有一定影响。</w:t>
            </w:r>
          </w:p>
          <w:p>
            <w:pPr>
              <w:pStyle w:val="26"/>
              <w:spacing w:after="0" w:line="560" w:lineRule="exact"/>
              <w:ind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 xml:space="preserve">垃圾填埋场产生的废气、废水、噪声和固废污染具体如下： </w:t>
            </w:r>
          </w:p>
          <w:p>
            <w:pPr>
              <w:pStyle w:val="26"/>
              <w:spacing w:after="0" w:line="560" w:lineRule="exact"/>
              <w:ind w:firstLine="482" w:firstLineChars="200"/>
              <w:rPr>
                <w:rFonts w:hint="default" w:ascii="Times New Roman" w:hAnsi="Times New Roman" w:eastAsia="宋体" w:cs="Times New Roman"/>
                <w:b/>
                <w:color w:val="000000" w:themeColor="text1"/>
                <w:sz w:val="24"/>
                <w:szCs w:val="24"/>
                <w:lang w:val="en-US"/>
                <w14:textFill>
                  <w14:solidFill>
                    <w14:schemeClr w14:val="tx1"/>
                  </w14:solidFill>
                </w14:textFill>
              </w:rPr>
            </w:pPr>
            <w:r>
              <w:rPr>
                <w:rFonts w:hint="default" w:ascii="Times New Roman" w:hAnsi="Times New Roman" w:eastAsia="宋体" w:cs="Times New Roman"/>
                <w:b/>
                <w:color w:val="000000" w:themeColor="text1"/>
                <w:sz w:val="24"/>
                <w:szCs w:val="24"/>
                <w:lang w:val="en-US"/>
                <w14:textFill>
                  <w14:solidFill>
                    <w14:schemeClr w14:val="tx1"/>
                  </w14:solidFill>
                </w14:textFill>
              </w:rPr>
              <w:t>1、废气</w:t>
            </w:r>
          </w:p>
          <w:p>
            <w:pPr>
              <w:snapToGrid w:val="0"/>
              <w:spacing w:line="560" w:lineRule="exact"/>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填埋气体是生活垃圾中的有机物质在填埋过程中发酵的产物，其成份和产气量随着垃圾的稳定化进程、垃圾组成、填埋方式和气候等因素变化。在填埋初期，填埋气的主要成份是CO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，随后CO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含量逐渐降低，CH</w:t>
            </w:r>
            <w:r>
              <w:rPr>
                <w:rFonts w:hint="default" w:ascii="Times New Roman" w:hAnsi="Times New Roman" w:eastAsia="宋体" w:cs="Times New Roman"/>
                <w:color w:val="000000" w:themeColor="text1"/>
                <w:sz w:val="24"/>
                <w:szCs w:val="24"/>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含量逐渐增大。在产气的稳定期，填埋气主要成分为CH</w:t>
            </w:r>
            <w:r>
              <w:rPr>
                <w:rFonts w:hint="default" w:ascii="Times New Roman" w:hAnsi="Times New Roman" w:eastAsia="宋体" w:cs="Times New Roman"/>
                <w:color w:val="000000" w:themeColor="text1"/>
                <w:sz w:val="24"/>
                <w:szCs w:val="24"/>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（45～60%）和CO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（40～60%），此外还含有少量的NH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、H</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S等恶臭气体。其中渗滤液收集池为主要恶臭污染源之一。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垃圾填埋场自2016年投入运营后，为减少恶臭气体对周边大气环境和敏感目标的影响，认真做好垃圾覆土、渗滤液收集池的密闭以及项目区周边绿化，恶臭气体达标排放，至今没有环境问题的投诉。</w:t>
            </w:r>
          </w:p>
          <w:p>
            <w:pPr>
              <w:snapToGrid w:val="0"/>
              <w:spacing w:line="560" w:lineRule="exact"/>
              <w:ind w:firstLine="482" w:firstLineChars="20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2、废水</w:t>
            </w:r>
          </w:p>
          <w:p>
            <w:pPr>
              <w:autoSpaceDE w:val="0"/>
              <w:autoSpaceDN w:val="0"/>
              <w:snapToGrid w:val="0"/>
              <w:spacing w:line="560" w:lineRule="exact"/>
              <w:ind w:firstLine="480" w:firstLineChars="200"/>
              <w:rPr>
                <w:rFonts w:hint="default" w:ascii="Times New Roman" w:hAnsi="Times New Roman" w:eastAsia="宋体" w:cs="Times New Roman"/>
                <w:bCs/>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废水主要为渗滤液及生活污水，主要污染因子为COD、SS、BOD</w:t>
            </w:r>
            <w:r>
              <w:rPr>
                <w:rFonts w:hint="default" w:ascii="Times New Roman" w:hAnsi="Times New Roman" w:eastAsia="宋体" w:cs="Times New Roman"/>
                <w:bCs/>
                <w:snapToGrid w:val="0"/>
                <w:color w:val="000000" w:themeColor="text1"/>
                <w:kern w:val="0"/>
                <w:sz w:val="24"/>
                <w:szCs w:val="24"/>
                <w:vertAlign w:val="subscript"/>
                <w14:textFill>
                  <w14:solidFill>
                    <w14:schemeClr w14:val="tx1"/>
                  </w14:solidFill>
                </w14:textFill>
              </w:rPr>
              <w:t>5</w:t>
            </w: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、氨氮、粪大肠菌群等。根据建设单位提供的资料，填埋场采用高密度聚乙烯膜（HDPE）作水平</w:t>
            </w:r>
            <w:r>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和坝体垂直</w:t>
            </w: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防渗。</w:t>
            </w:r>
          </w:p>
          <w:p>
            <w:pPr>
              <w:keepNext w:val="0"/>
              <w:keepLines w:val="0"/>
              <w:pageBreakBefore w:val="0"/>
              <w:widowControl w:val="0"/>
              <w:kinsoku/>
              <w:wordWrap/>
              <w:overflowPunct/>
              <w:topLinePunct w:val="0"/>
              <w:autoSpaceDE w:val="0"/>
              <w:autoSpaceDN w:val="0"/>
              <w:bidi w:val="0"/>
              <w:snapToGrid w:val="0"/>
              <w:spacing w:line="520" w:lineRule="exact"/>
              <w:ind w:firstLine="480" w:firstLineChars="200"/>
              <w:textAlignment w:val="auto"/>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项目区西北侧距离60米的六浮渠，用于灌溉，渠深约2m，因本项目垃圾填埋场是利用原沙坑填埋，垃圾填埋场封场高度约在现有地面以下6m，六浮渠底部高于垃圾填埋场封场高度约4m，垃圾填埋场废水对六浮渠水质基本没有影响。</w:t>
            </w:r>
          </w:p>
          <w:p>
            <w:pPr>
              <w:keepNext w:val="0"/>
              <w:keepLines w:val="0"/>
              <w:pageBreakBefore w:val="0"/>
              <w:widowControl w:val="0"/>
              <w:kinsoku/>
              <w:wordWrap/>
              <w:overflowPunct/>
              <w:topLinePunct w:val="0"/>
              <w:bidi w:val="0"/>
              <w:snapToGrid w:val="0"/>
              <w:spacing w:line="520" w:lineRule="exact"/>
              <w:ind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3、噪声</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目前，垃圾处理场噪声主要来自于垃圾收运车辆、填埋作业机具、污水提升泵等设备运行噪声，噪声源强为65~90dB（A）。运行期间通过选用低噪声设备、基础减振、绿化降噪、合理安排运输车辆时间和路线等未对周边环境造成明显影响。</w:t>
            </w:r>
          </w:p>
          <w:p>
            <w:pPr>
              <w:keepNext w:val="0"/>
              <w:keepLines w:val="0"/>
              <w:pageBreakBefore w:val="0"/>
              <w:widowControl w:val="0"/>
              <w:kinsoku/>
              <w:wordWrap/>
              <w:overflowPunct/>
              <w:topLinePunct w:val="0"/>
              <w:autoSpaceDE/>
              <w:autoSpaceDN/>
              <w:bidi w:val="0"/>
              <w:snapToGrid w:val="0"/>
              <w:spacing w:line="520" w:lineRule="exact"/>
              <w:ind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4、固废</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项目产生的固体废物主要为工作人员的生活垃圾，由垃圾填埋场自身消纳。</w:t>
            </w:r>
          </w:p>
          <w:p>
            <w:pPr>
              <w:keepNext w:val="0"/>
              <w:keepLines w:val="0"/>
              <w:pageBreakBefore w:val="0"/>
              <w:widowControl w:val="0"/>
              <w:numPr>
                <w:ilvl w:val="0"/>
                <w:numId w:val="2"/>
              </w:numPr>
              <w:kinsoku/>
              <w:wordWrap/>
              <w:overflowPunct/>
              <w:topLinePunct w:val="0"/>
              <w:autoSpaceDE/>
              <w:autoSpaceDN/>
              <w:bidi w:val="0"/>
              <w:snapToGrid w:val="0"/>
              <w:spacing w:line="520" w:lineRule="exact"/>
              <w:ind w:firstLine="482" w:firstLineChars="200"/>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卫生防护距离</w:t>
            </w:r>
          </w:p>
          <w:p>
            <w:pPr>
              <w:pStyle w:val="2"/>
              <w:keepNext w:val="0"/>
              <w:keepLines w:val="0"/>
              <w:pageBreakBefore w:val="0"/>
              <w:widowControl w:val="0"/>
              <w:numPr>
                <w:ilvl w:val="0"/>
                <w:numId w:val="0"/>
              </w:numPr>
              <w:kinsoku/>
              <w:wordWrap/>
              <w:overflowPunct/>
              <w:topLinePunct w:val="0"/>
              <w:autoSpaceDE/>
              <w:autoSpaceDN/>
              <w:bidi w:val="0"/>
              <w:spacing w:line="520" w:lineRule="exact"/>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项目根据玛纳斯生活垃圾填埋场环境影响评价报告书的要求，卫生防护距离为500m，</w:t>
            </w:r>
            <w:r>
              <w:rPr>
                <w:rFonts w:hint="default" w:ascii="Times New Roman" w:hAnsi="Times New Roman" w:cs="Times New Roman"/>
                <w:b w:val="0"/>
                <w:bCs w:val="0"/>
                <w:color w:val="000000" w:themeColor="text1"/>
                <w:sz w:val="24"/>
                <w:szCs w:val="24"/>
                <w14:textFill>
                  <w14:solidFill>
                    <w14:schemeClr w14:val="tx1"/>
                  </w14:solidFill>
                </w14:textFill>
              </w:rPr>
              <w:t>本项目卫生防护距离范围内目前无常住居民，符合卫生防护距离的要求。</w:t>
            </w:r>
          </w:p>
          <w:p>
            <w:pPr>
              <w:pStyle w:val="26"/>
              <w:keepNext w:val="0"/>
              <w:keepLines w:val="0"/>
              <w:pageBreakBefore w:val="0"/>
              <w:widowControl w:val="0"/>
              <w:kinsoku/>
              <w:wordWrap/>
              <w:overflowPunct/>
              <w:topLinePunct w:val="0"/>
              <w:autoSpaceDE/>
              <w:autoSpaceDN/>
              <w:bidi w:val="0"/>
              <w:spacing w:after="0" w:line="520" w:lineRule="exact"/>
              <w:ind w:firstLine="480" w:firstLineChars="200"/>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二、</w:t>
            </w:r>
            <w:r>
              <w:rPr>
                <w:rFonts w:hint="default" w:ascii="Times New Roman" w:hAnsi="Times New Roman" w:eastAsia="宋体" w:cs="Times New Roman"/>
                <w:b/>
                <w:color w:val="000000" w:themeColor="text1"/>
                <w:sz w:val="24"/>
                <w:szCs w:val="24"/>
                <w14:textFill>
                  <w14:solidFill>
                    <w14:schemeClr w14:val="tx1"/>
                  </w14:solidFill>
                </w14:textFill>
              </w:rPr>
              <w:t>整改措施</w:t>
            </w:r>
          </w:p>
          <w:p>
            <w:pPr>
              <w:pStyle w:val="2"/>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14:textFill>
                  <w14:solidFill>
                    <w14:schemeClr w14:val="tx1"/>
                  </w14:solidFill>
                </w14:textFill>
              </w:rPr>
              <w:t>本项目通过建设生活垃圾渗滤液处理厂一座，对现有渗滤液进行处理，达到</w:t>
            </w:r>
            <w:r>
              <w:rPr>
                <w:rFonts w:hint="default" w:ascii="Times New Roman" w:hAnsi="Times New Roman" w:eastAsia="宋体" w:cs="Times New Roman"/>
                <w:color w:val="000000" w:themeColor="text1"/>
                <w:sz w:val="24"/>
                <w:szCs w:val="24"/>
                <w14:textFill>
                  <w14:solidFill>
                    <w14:schemeClr w14:val="tx1"/>
                  </w14:solidFill>
                </w14:textFill>
              </w:rPr>
              <w:t>《生活垃圾填埋场污染控制标准》（GB16889-2008）表2中污染物排放浓度后</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 xml:space="preserve">同时，该尾水能够满足《城市污水再生利用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绿地灌溉</w:t>
            </w:r>
            <w:r>
              <w:rPr>
                <w:rFonts w:hint="default" w:ascii="Times New Roman" w:hAnsi="Times New Roman" w:eastAsia="宋体" w:cs="Times New Roman"/>
                <w:color w:val="000000" w:themeColor="text1"/>
                <w:sz w:val="24"/>
                <w:szCs w:val="24"/>
                <w14:textFill>
                  <w14:solidFill>
                    <w14:schemeClr w14:val="tx1"/>
                  </w14:solidFill>
                </w14:textFill>
              </w:rPr>
              <w:t>水质》（GB2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5499</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）中浓度限值，可用于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生活垃圾填埋场场区</w:t>
            </w:r>
            <w:r>
              <w:rPr>
                <w:rFonts w:hint="default" w:ascii="Times New Roman" w:hAnsi="Times New Roman" w:eastAsia="宋体" w:cs="Times New Roman"/>
                <w:color w:val="000000" w:themeColor="text1"/>
                <w:sz w:val="24"/>
                <w:szCs w:val="24"/>
                <w14:textFill>
                  <w14:solidFill>
                    <w14:schemeClr w14:val="tx1"/>
                  </w14:solidFill>
                </w14:textFill>
              </w:rPr>
              <w:t>道路洒水抑尘和厂区周边绿化。同时，处理过程对渗滤液恶臭进行收集，由离子除臭器处理达标后排放。综上，通过本项目对渗滤液及其恶臭进行处理。有效降低了生活垃圾填埋场对地下水及环境空气的影响。</w:t>
            </w:r>
          </w:p>
          <w:p>
            <w:pPr>
              <w:pStyle w:val="2"/>
              <w:rPr>
                <w:rFonts w:hint="default" w:ascii="Times New Roman" w:hAnsi="Times New Roman" w:eastAsia="宋体" w:cs="Times New Roman"/>
                <w:color w:val="000000" w:themeColor="text1"/>
                <w:lang w:val="en-US"/>
                <w14:textFill>
                  <w14:solidFill>
                    <w14:schemeClr w14:val="tx1"/>
                  </w14:solidFill>
                </w14:textFill>
              </w:rPr>
            </w:pPr>
          </w:p>
        </w:tc>
      </w:tr>
    </w:tbl>
    <w:p>
      <w:pPr>
        <w:snapToGrid w:val="0"/>
        <w:outlineLvl w:val="0"/>
        <w:rPr>
          <w:rFonts w:eastAsia="宋体"/>
          <w:b/>
          <w:color w:val="000000" w:themeColor="text1"/>
          <w:sz w:val="30"/>
          <w:szCs w:val="30"/>
          <w14:textFill>
            <w14:solidFill>
              <w14:schemeClr w14:val="tx1"/>
            </w14:solidFill>
          </w14:textFill>
        </w:rPr>
      </w:pPr>
      <w:r>
        <w:rPr>
          <w:rFonts w:eastAsia="宋体"/>
          <w:b/>
          <w:color w:val="000000" w:themeColor="text1"/>
          <w:sz w:val="30"/>
          <w:szCs w:val="30"/>
          <w14:textFill>
            <w14:solidFill>
              <w14:schemeClr w14:val="tx1"/>
            </w14:solidFill>
          </w14:textFill>
        </w:rPr>
        <w:t>建设项目所在地自然环境简况</w:t>
      </w:r>
    </w:p>
    <w:tbl>
      <w:tblPr>
        <w:tblStyle w:val="3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8" w:type="dxa"/>
            <w:tcBorders>
              <w:bottom w:val="single" w:color="auto" w:sz="4" w:space="0"/>
            </w:tcBorders>
          </w:tcPr>
          <w:p>
            <w:pPr>
              <w:spacing w:line="360" w:lineRule="auto"/>
              <w:rPr>
                <w:rFonts w:hint="default" w:ascii="Times New Roman" w:hAnsi="Times New Roman" w:eastAsia="宋体" w:cs="Times New Roman"/>
                <w:b/>
                <w:bCs/>
                <w:color w:val="000000" w:themeColor="text1"/>
                <w:szCs w:val="28"/>
                <w14:textFill>
                  <w14:solidFill>
                    <w14:schemeClr w14:val="tx1"/>
                  </w14:solidFill>
                </w14:textFill>
              </w:rPr>
            </w:pPr>
            <w:r>
              <w:rPr>
                <w:rFonts w:hint="default" w:ascii="Times New Roman" w:hAnsi="Times New Roman" w:eastAsia="宋体" w:cs="Times New Roman"/>
                <w:b/>
                <w:bCs/>
                <w:color w:val="000000" w:themeColor="text1"/>
                <w:szCs w:val="28"/>
                <w14:textFill>
                  <w14:solidFill>
                    <w14:schemeClr w14:val="tx1"/>
                  </w14:solidFill>
                </w14:textFill>
              </w:rPr>
              <w:t>自然环境简况（地形、地貌、地质、气候、气象、水文、植被、生物多样性等）：</w:t>
            </w:r>
          </w:p>
          <w:p>
            <w:pPr>
              <w:pageBreakBefore w:val="0"/>
              <w:widowControl w:val="0"/>
              <w:kinsoku/>
              <w:wordWrap/>
              <w:topLinePunct w:val="0"/>
              <w:bidi w:val="0"/>
              <w:spacing w:line="520" w:lineRule="exact"/>
              <w:ind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一、地理位置</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玛纳斯县隶属于新疆维吾尔自治区昌吉回族自治州，地处新疆腹地，与北部塔城、西部伊宁呈三角鼎立之势，素有乌鲁木齐“西大门”之称。东距新疆首府乌鲁木齐市126公里，距昌吉州政府所在地昌吉市91公里。玛纳斯县位于北疆沿天山中段伊林——哈比尔尕山的北麓，古尔班通古特沙漠南侧，地跨北纬43°28′29″～45°38′52″，东经85°41′16″～86°43′10″。东面以干河子为界与呼图壁县相邻，西以玛纳斯河为界与石河子市、沙湾县相望，北面在沙漠中与阿尔泰地区的布克赛尔、福海县相连，南面在天山中与和静县接壤。南北最大长度241.7km，东西最大宽度88.7km，通过县城的东西宽度30.65km。</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本项目位于玛纳斯县兰州湾镇东北方向，生活垃圾填埋场东北侧预留空地内，周边主要为农田和林地环绕，项目</w:t>
            </w:r>
            <w:r>
              <w:rPr>
                <w:rStyle w:val="98"/>
                <w:rFonts w:hint="default" w:ascii="Times New Roman" w:hAnsi="Times New Roman" w:cs="Times New Roman"/>
                <w:color w:val="000000" w:themeColor="text1"/>
                <w14:textFill>
                  <w14:solidFill>
                    <w14:schemeClr w14:val="tx1"/>
                  </w14:solidFill>
                </w14:textFill>
              </w:rPr>
              <w:t>中心地理坐标为E86°11′32.76″, N44°19′33.72″</w:t>
            </w:r>
            <w:r>
              <w:rPr>
                <w:rFonts w:hint="default" w:ascii="Times New Roman" w:hAnsi="Times New Roman" w:eastAsia="宋体" w:cs="Times New Roman"/>
                <w:bCs/>
                <w:color w:val="000000" w:themeColor="text1"/>
                <w:sz w:val="24"/>
                <w:szCs w:val="24"/>
                <w14:textFill>
                  <w14:solidFill>
                    <w14:schemeClr w14:val="tx1"/>
                  </w14:solidFill>
                </w14:textFill>
              </w:rPr>
              <w:t>。</w:t>
            </w:r>
          </w:p>
          <w:p>
            <w:pPr>
              <w:pageBreakBefore w:val="0"/>
              <w:widowControl w:val="0"/>
              <w:kinsoku/>
              <w:wordWrap/>
              <w:topLinePunct w:val="0"/>
              <w:autoSpaceDE w:val="0"/>
              <w:autoSpaceDN w:val="0"/>
              <w:bidi w:val="0"/>
              <w:adjustRightInd w:val="0"/>
              <w:snapToGrid w:val="0"/>
              <w:spacing w:line="520" w:lineRule="exact"/>
              <w:ind w:firstLine="482" w:firstLineChars="200"/>
              <w:textAlignment w:val="auto"/>
              <w:rPr>
                <w:rFonts w:hint="default" w:ascii="Times New Roman" w:hAnsi="Times New Roman" w:eastAsia="宋体" w:cs="Times New Roman"/>
                <w:b/>
                <w:bCs/>
                <w:color w:val="000000" w:themeColor="text1"/>
                <w:sz w:val="24"/>
                <w:szCs w:val="28"/>
                <w:lang w:val="zh-CN"/>
                <w14:textFill>
                  <w14:solidFill>
                    <w14:schemeClr w14:val="tx1"/>
                  </w14:solidFill>
                </w14:textFill>
              </w:rPr>
            </w:pPr>
            <w:r>
              <w:rPr>
                <w:rFonts w:hint="default" w:ascii="Times New Roman" w:hAnsi="Times New Roman" w:eastAsia="宋体" w:cs="Times New Roman"/>
                <w:b/>
                <w:bCs/>
                <w:color w:val="000000" w:themeColor="text1"/>
                <w:sz w:val="24"/>
                <w:szCs w:val="28"/>
                <w:lang w:val="zh-CN"/>
                <w14:textFill>
                  <w14:solidFill>
                    <w14:schemeClr w14:val="tx1"/>
                  </w14:solidFill>
                </w14:textFill>
              </w:rPr>
              <w:t>二、地形、地貌</w:t>
            </w:r>
          </w:p>
          <w:p>
            <w:pPr>
              <w:pageBreakBefore w:val="0"/>
              <w:widowControl w:val="0"/>
              <w:kinsoku/>
              <w:wordWrap/>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地处准噶尔盆地玛纳斯河山前冲积倾斜平原地中下部位，在玛纳斯河洪冲积扇上。南部为东西走向的天山山脉。拟建场地地势基本平坦、开阔，地貌单一，海拔高度485m。表层土壤为充填土层，主要由粉土、沙砾石组成。地势受区域地形的制约，由南向北倾斜，自然坡度在1%左右。玛纳斯县域可划分为南部山区、山前冲积平原和北部沙漠三个大地貌单元。</w:t>
            </w:r>
          </w:p>
          <w:p>
            <w:pPr>
              <w:pageBreakBefore w:val="0"/>
              <w:widowControl w:val="0"/>
              <w:kinsoku/>
              <w:wordWrap/>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南部山区：由于地形复杂，山势高度相差很大，南部山区可分为后山，中山和前山三个小地貌单元。后山各山峰一般在海拔2800m 以上，最高可达5222.4m，山势雄伟险峻，多悬崖峭壁。中山各山峰均在1500-2800m 之间，山势比较平缓，峰谷相间，由南向北倾斜，冬季有季节性积雪，夏季降水充沛，冬暖夏凉。前山主要有阴山、苏克拜乔克山和竟拉乔克山，海拔高度在500-1500m 之间。由塔西河谷石门子到玛纳斯河谷红坑的断裂带，将本区分成南部低山和北部丘陵两部分。</w:t>
            </w:r>
          </w:p>
          <w:p>
            <w:pPr>
              <w:pageBreakBefore w:val="0"/>
              <w:widowControl w:val="0"/>
              <w:kinsoku/>
              <w:wordWrap/>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中部平原：从前山丘陵至沙漠前沿海拔450-600m 之间为中部平原，整个地势由东南向西北倾斜，南靠为玛纳斯河、塔西河和干河子的冲积扇，坡降1.0-1.5%。此处除一部分戈壁地，由于土层薄，质地粗，渗水严重，除林用和牧用外，其余部分已开垦农用。北部为玛纳斯河、塔西河和干河子的冲积平原和古河道三角洲平原。地势平坦，坡降仅有0.2-0.3%，土地肥沃，除一部分低洼盐碱和十分缺水的地区牧用外，均已开垦农用，此处热量充足，是著名的粮棉油产地。农作物主要有小麦、玉米、水稻、油菜、甜菜和棉花等。</w:t>
            </w:r>
          </w:p>
          <w:p>
            <w:pPr>
              <w:pageBreakBefore w:val="0"/>
              <w:widowControl w:val="0"/>
              <w:kinsoku/>
              <w:wordWrap/>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北部沙漠：玛纳斯县北部262-450m 之间是古尔班通古特大沙漠的一部分，地势由东南向西北倾斜，沙漠被莫索湾湖积低地分成南北两部分，南部沙漠分布在莫索湾垦区与北五岔、六户地乡之间，沙漠宽约10-30km，莫索湾以北的沙漠称为莫北沙漠，面积十分广大。南部沙漠多为沙丘、沙垄和西北东南向的新月形固定和半固定沙丘链。沙丘高度 15m 左右，沙丘，沙垄之间有很多小面积的谷地、凹地，俗称沙窝岛。沙丘之上植被稀少，沙丘之间有胡杨、红柳、梭梭及荒漠植被，覆盖度很小，因缺少人畜饮水，只能在冬季地面积雪后放牧之用。</w:t>
            </w:r>
          </w:p>
          <w:p>
            <w:pPr>
              <w:pageBreakBefore w:val="0"/>
              <w:widowControl w:val="0"/>
              <w:kinsoku/>
              <w:wordWrap/>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处在沙漠之中湖积平原的莫索湾地区，地势平坦，沙丘稀少，土地肥沃，现已开垦农用，盛产棉花、玉米、小麦、瓜果，这就是著名的莫索湾垦区。莫北沙漠北部小盐池周围是平坦的湖滨沙地，小盐池以北是广大的湖积平原除有牧草生长外，还有少量的灌木林，如水源能够解决，可开垦农用。</w:t>
            </w:r>
          </w:p>
          <w:p>
            <w:pPr>
              <w:pageBreakBefore w:val="0"/>
              <w:widowControl w:val="0"/>
              <w:kinsoku/>
              <w:wordWrap/>
              <w:topLinePunct w:val="0"/>
              <w:autoSpaceDE w:val="0"/>
              <w:autoSpaceDN w:val="0"/>
              <w:bidi w:val="0"/>
              <w:adjustRightInd w:val="0"/>
              <w:snapToGrid w:val="0"/>
              <w:spacing w:line="520" w:lineRule="exact"/>
              <w:ind w:firstLine="482" w:firstLineChars="200"/>
              <w:textAlignment w:val="auto"/>
              <w:rPr>
                <w:rFonts w:hint="default" w:ascii="Times New Roman" w:hAnsi="Times New Roman" w:eastAsia="宋体" w:cs="Times New Roman"/>
                <w:b/>
                <w:bCs/>
                <w:color w:val="000000" w:themeColor="text1"/>
                <w:sz w:val="24"/>
                <w:szCs w:val="28"/>
                <w:lang w:val="zh-CN"/>
                <w14:textFill>
                  <w14:solidFill>
                    <w14:schemeClr w14:val="tx1"/>
                  </w14:solidFill>
                </w14:textFill>
              </w:rPr>
            </w:pPr>
            <w:r>
              <w:rPr>
                <w:rFonts w:hint="default" w:ascii="Times New Roman" w:hAnsi="Times New Roman" w:eastAsia="宋体" w:cs="Times New Roman"/>
                <w:b/>
                <w:bCs/>
                <w:color w:val="000000" w:themeColor="text1"/>
                <w:sz w:val="24"/>
                <w:szCs w:val="28"/>
                <w:lang w:val="zh-CN"/>
                <w14:textFill>
                  <w14:solidFill>
                    <w14:schemeClr w14:val="tx1"/>
                  </w14:solidFill>
                </w14:textFill>
              </w:rPr>
              <w:t>三、水文</w:t>
            </w:r>
          </w:p>
          <w:p>
            <w:pPr>
              <w:pageBreakBefore w:val="0"/>
              <w:widowControl w:val="0"/>
              <w:kinsoku/>
              <w:wordWrap/>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玛纳斯县境内主要有玛纳斯河和塔西河两条河流，年总流量14.88亿m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玛纳斯河是玛纳斯县最大的河流，发源于天山中段山结的伊林——哈比尔尕山，汇有清水河、瞎熊沟、芦草沟、大白杨沟、小白杨沟等支流。该河出山后在十里墩分成两支，后于下桥子汇合，流经玛纳斯和沙湾两县，最后注入玛纳斯湖，全长300余 km。玛纳斯河径流主要来源是降水、冰雪融水和地下水，年总流量10.32-l5.57亿m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由于玛纳斯河发源地冰川面积大，流域广，高山积差和地下水有调节流量的作用，所以玛纳斯河流量年际变化小，由于温度和降水的影响，季节变化和日变化大。径流主要集中在6-8月，这三个月的总流量占全年流量的66%，因冬季靠地下水补给，流量小。</w:t>
            </w:r>
          </w:p>
          <w:p>
            <w:pPr>
              <w:pageBreakBefore w:val="0"/>
              <w:widowControl w:val="0"/>
              <w:kinsoku/>
              <w:wordWrap/>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塔西河发源于关山中段阿尔善山北侧，径流主要靠降水、冰雪融水和地下水。流经本县东部，年总流量2.31 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，斗渠口实际引水1.127 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。因为源头短，流域面积小，流量年际变化、季节变化和日变化都大。夏季温度突升或山区有大降水产生，常常出现洪水。</w:t>
            </w:r>
          </w:p>
          <w:p>
            <w:pPr>
              <w:pageBreakBefore w:val="0"/>
              <w:widowControl w:val="0"/>
              <w:kinsoku/>
              <w:wordWrap/>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全县有小水库18座（驻县单位水库除外），设计库容5530万m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。由于泥沙沉积，现蓄水能力只有3580万m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，主要有白土坑水库、新户坪水库、塔西河水库等。</w:t>
            </w:r>
          </w:p>
          <w:p>
            <w:pPr>
              <w:pageBreakBefore w:val="0"/>
              <w:widowControl w:val="0"/>
              <w:kinsoku/>
              <w:wordWrap/>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玛纳斯县地方引用水为玛纳斯河水，多年平均实际引水量1.8亿m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，引水率为 76.27%，地方引用塔西河水水量1.38亿m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，引水量为72.3%，清水河及芦草沟是玛纳斯上游支流，灌溉期引用清水河水1.167亿m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，引用率为73.8%。县属可利用地表水总量为 4.35亿m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，而实际引用量为3.37亿m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，引用率78.9%。地下水：全县地下水资源总量为 1.7484亿m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 xml:space="preserve"> ，可开采量1.6744亿m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pageBreakBefore w:val="0"/>
              <w:widowControl w:val="0"/>
              <w:kinsoku/>
              <w:wordWrap/>
              <w:topLinePunct w:val="0"/>
              <w:autoSpaceDE w:val="0"/>
              <w:autoSpaceDN w:val="0"/>
              <w:bidi w:val="0"/>
              <w:adjustRightInd w:val="0"/>
              <w:snapToGrid w:val="0"/>
              <w:spacing w:line="520" w:lineRule="exact"/>
              <w:ind w:firstLine="482" w:firstLineChars="200"/>
              <w:textAlignment w:val="auto"/>
              <w:rPr>
                <w:rFonts w:hint="default" w:ascii="Times New Roman" w:hAnsi="Times New Roman" w:eastAsia="宋体" w:cs="Times New Roman"/>
                <w:b/>
                <w:bCs/>
                <w:color w:val="000000" w:themeColor="text1"/>
                <w:sz w:val="24"/>
                <w:szCs w:val="28"/>
                <w:lang w:val="zh-CN"/>
                <w14:textFill>
                  <w14:solidFill>
                    <w14:schemeClr w14:val="tx1"/>
                  </w14:solidFill>
                </w14:textFill>
              </w:rPr>
            </w:pPr>
            <w:r>
              <w:rPr>
                <w:rFonts w:hint="default" w:ascii="Times New Roman" w:hAnsi="Times New Roman" w:eastAsia="宋体" w:cs="Times New Roman"/>
                <w:b/>
                <w:bCs/>
                <w:color w:val="000000" w:themeColor="text1"/>
                <w:sz w:val="24"/>
                <w:szCs w:val="28"/>
                <w:lang w:val="zh-CN"/>
                <w14:textFill>
                  <w14:solidFill>
                    <w14:schemeClr w14:val="tx1"/>
                  </w14:solidFill>
                </w14:textFill>
              </w:rPr>
              <w:t>四、气候特征</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玛纳斯县位于大陆腹地，年平均气温为2.9℃～6.8℃，极端最高气温为42.0～43.1℃极端最低气温为-38.0～-42.8℃，年较差为 43.5～44.7℃。年降水总量为117.2～543.5mm，年蒸发量最高可达 1194.4mm。相当于降水量的4～11 倍。冬季严寒，夏季酷热，降水少，空气干燥，是典型的大陆性气候。</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玛纳斯县前山、平原和沙漠地区属于中温带，中山和后山属于寒温带。</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风速：玛纳斯县各地年平均风速以平原为最大，北部沙漠次之，南部山区最小。从季节变化来看平原和沙漠地区平均风速以春夏秋三季为最大，冬季最小。南部山区平均风速全年各月相差不大。</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风向：玛纳斯县各地年最多风向频率，以南部山区为最大，平原次之，沙漠最小。平原和南部山区出现在6-7月。而北部沙漠地区出现在1-3月。</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最多风向频率的风向，靠近天山北麓的平原1-2月、5-12月和南部山区的1-2月、4-12月均为西南风。这种情况说明在一般天气条件下该地区的风向主要受山谷风的影响。北部沙漠地区除夏季外，一年三季盛行东风，主要是冬季和春秋季该地区经常处在蒙古冷高压的西南侧回流之中。6-7月转为西风，是由于经常处在低压或低槽南部。</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春夏秋三季在无天气影响情况下风向有明显的日变化，白天刮上山风（山风），夜间刮下山风（谷风），下山风不但风速大而且出现的次数多。春秋季日变化最为明显，夏季次之，冬季很少出现。春夏秋有日变化，主要是白天沙漠增温很快，空气膨胀，从沙漠中向外流动。夜间沙漠降温快，空气冷却收缩，以及山区空气下滑，向沙漠中心流动造成。冬季沙漠中形成冷湖，温度低日变化小，山区由于逆温比沙漠地区温度高，所以冬季风向日变化不明显。</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气候属内陆干旱区，根据邻近玛纳斯县气象站资料：</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年平均风速： 2.6m/s</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主导风向： SW（频率 16%）</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年均温度： 6.8℃</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绝对最高温度： 42℃</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绝对最低温度： -36.8℃</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年均降水量： 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73.3</w:t>
            </w:r>
            <w:r>
              <w:rPr>
                <w:rFonts w:hint="default" w:ascii="Times New Roman" w:hAnsi="Times New Roman" w:eastAsia="宋体" w:cs="Times New Roman"/>
                <w:color w:val="000000" w:themeColor="text1"/>
                <w:sz w:val="24"/>
                <w:szCs w:val="24"/>
                <w14:textFill>
                  <w14:solidFill>
                    <w14:schemeClr w14:val="tx1"/>
                  </w14:solidFill>
                </w14:textFill>
              </w:rPr>
              <w:t>mm</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年均蒸发量： 1778.9mm</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最大积雪厚度： 400mm</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最大冻土厚度： 125cm</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根据玛纳斯气象站历年观测资料，项目所在区域全年地面风的主导风向是西南风，频率为16%，次主导风向为西风，年均静风频率18%，大风多发生在春、夏、秋季，平均风速最小的一月份也达 2.0m/s。</w:t>
            </w:r>
          </w:p>
          <w:p>
            <w:pPr>
              <w:pageBreakBefore w:val="0"/>
              <w:widowControl w:val="0"/>
              <w:kinsoku/>
              <w:wordWrap/>
              <w:topLinePunct w:val="0"/>
              <w:bidi w:val="0"/>
              <w:adjustRightInd w:val="0"/>
              <w:snapToGrid w:val="0"/>
              <w:spacing w:line="520" w:lineRule="exact"/>
              <w:ind w:firstLine="482"/>
              <w:textAlignment w:val="auto"/>
              <w:rPr>
                <w:rFonts w:hint="default" w:ascii="Times New Roman" w:hAnsi="Times New Roman" w:eastAsia="宋体" w:cs="Times New Roman"/>
                <w:b/>
                <w:bCs/>
                <w:color w:val="000000" w:themeColor="text1"/>
                <w:sz w:val="24"/>
                <w:szCs w:val="28"/>
                <w:lang w:val="zh-CN"/>
                <w14:textFill>
                  <w14:solidFill>
                    <w14:schemeClr w14:val="tx1"/>
                  </w14:solidFill>
                </w14:textFill>
              </w:rPr>
            </w:pPr>
            <w:r>
              <w:rPr>
                <w:rFonts w:hint="default" w:ascii="Times New Roman" w:hAnsi="Times New Roman" w:eastAsia="宋体" w:cs="Times New Roman"/>
                <w:b/>
                <w:bCs/>
                <w:color w:val="000000" w:themeColor="text1"/>
                <w:sz w:val="24"/>
                <w:szCs w:val="28"/>
                <w:lang w:val="zh-CN"/>
                <w14:textFill>
                  <w14:solidFill>
                    <w14:schemeClr w14:val="tx1"/>
                  </w14:solidFill>
                </w14:textFill>
              </w:rPr>
              <w:t>五、自然资源</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1、土地资源</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拥有100万亩耕地、750万亩天然草场、460万亩林地。玛纳斯县的土壤共分7个类型，即灌淤土、潮土、灰漠土、栗钙土、棕钙土、风沙土、盐土。七个土壤类型的主要分布区域：灌淤土，在全县灌溉农区均有分布，是玛纳斯的基本农田，面积达236227亩。潮土，分布于玛纳斯县中部冲积扇北缘与河漫滩等地形低洼处，当地群众称之为“下潮地”。灰漠土，主要分布在玛纳斯河、塔西河两河冲积扇中部和上部。栗钙土、棕钙土，是半干旱草原地区形成的热带性土壤，分布在县南部前山丘陵地区，其中前山丘陵地区的南半部主要为栗钙土。风沙土，分布于北五岔乡、六户地乡北部及准噶尔盆地的腹地，属于古玛纳斯盆地的一部分。盐土，是玛纳斯县平原地区分布最广的荒地土壤，常与耕作土壤形成复区，面积为392832.5亩。</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2、矿产资源</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境内有煤炭、石油、天然气、硫铁矿、碧玉、砂金、石灰石等20多种矿产资源。已探明煤炭储量100亿吨，石油1.4亿吨，天然气128亿立方米。特别玛纳斯碧玉，颜色鲜艳，玉质细腻，光泽良好，闻名中外。玛纳斯作为世界三大碧玉产地之一，自古就是碧玉的重要产地，史料可查清乾隆年间就有开采记录。故宫博物馆至今仍完好保存着聚珍图等一批玛纳斯玉雕精品。2011年成功申报“中国碧玉之都”。其黄金出产量，居昌吉州之首。</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3、动物资源</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玛纳斯县境内野生动物有雪豹、熊、野驴、狼、跑鹿、黄羊、野猪、野兔、狐狸、旱獭、松鼠、雪鸡、鹰、班鸠、等数10种。</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4、植物资源</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截至2013年，玛纳斯县境内药用植物有210种，其中分布在山区182种，平原区189种。珠茅蓼、野葱、水芹菜、荠菜等可作蔬菜食用；乌头、狼毒、大戟、白头翁等可制农药；蔷薇、白榆等可炼胶；荨麻、冰草、独话、柴胡、小叶薄荷可提取芳香油。历史上，玛纳斯是西北地区三大药材集散地之一，所产贝母为大宗，产量多，质量好，远销国内外。黄芪品种多，分布广。常用及名贵药材有甘草、大荔子、锁阳、红花、大云、鹿茸等。每年收购药材约50个品种，3万公斤左右。</w:t>
            </w:r>
          </w:p>
          <w:p>
            <w:pPr>
              <w:pageBreakBefore w:val="0"/>
              <w:widowControl w:val="0"/>
              <w:kinsoku/>
              <w:wordWrap/>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根据现场踏勘，项目区不在自然保护区、风景名胜区、水源地准保护区内；区域内不包含基本农田、基本草原和天然林，项目区现状为平整好的预留空地。</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eastAsia" w:eastAsia="宋体" w:cs="Times New Roman"/>
                <w:color w:val="000000" w:themeColor="text1"/>
                <w:sz w:val="24"/>
                <w:szCs w:val="24"/>
                <w:lang w:val="en-US" w:eastAsia="zh-CN"/>
                <w14:textFill>
                  <w14:solidFill>
                    <w14:schemeClr w14:val="tx1"/>
                  </w14:solidFill>
                </w14:textFill>
              </w:rPr>
              <w:t>六、</w:t>
            </w:r>
            <w:r>
              <w:rPr>
                <w:rFonts w:hint="default" w:ascii="Times New Roman" w:hAnsi="Times New Roman" w:eastAsia="宋体" w:cs="Times New Roman"/>
                <w:color w:val="000000" w:themeColor="text1"/>
                <w:sz w:val="24"/>
                <w:szCs w:val="24"/>
                <w:lang w:val="zh-CN"/>
                <w14:textFill>
                  <w14:solidFill>
                    <w14:schemeClr w14:val="tx1"/>
                  </w14:solidFill>
                </w14:textFill>
              </w:rPr>
              <w:t>水文地质条件</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（1）地下水形成和赋存规律</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玛纳斯河流域区内地质构造单元，从南向北为天山褶皱带，山前拗陷带和准噶尔地块。由于受燕山运动和喜马拉雅山运动的影响，山前拗陷区的中、新生代地层发生褶皱和断裂，形成了轴向与天山平行的一系列褶皱和断裂构造，尤其是前山第三纪地层组成的东西背斜构造，犹如一道天然屏障，阻隔了山区地下水与平原地下水的相互联系。河流在通过切割的背斜构造而进入平原径流过程中，地下水与地表水具有一定的相互转化关系，并使得地下水埋藏分布遵循着地貌岩相带的分布规律。</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①山前洼地</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在背斜构造之间的山间洼地内，堆积着巨厚的下更新统西域砾岩，构成了一个天然的地下调节水库。地下水沿深切的河谷，以侵蚀下降泉的形式汇入河流中，构成了地下水的“第一循环带”。洼地位于西凉户、石灰窑、东湾和博尔通古东西一带，总面积约900k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。地下水埋深在河床附近和谷地中间部位较浅，其他部位相应较深。</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②平原区</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河流携带的大量碎屑物质，在出山口后由于地形坡度变缓，堆积在山前拗陷区，构成了巨厚的第四系松散层，为地下水储存和运移提供了良好的空间，河水又为地下水提供了充足的补给源，于是构成了地下水的“第二循环带”。潜水埋深自扇顶的150m左右，向北逐渐变浅，约在石河子市北430m地形等高线附近呈现泉水溢出。在红山嘴与四级电站之间，由于断层存在，导致地下水位出现一个约130m的落差，即所谓的</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地下跌水</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在凉州户—玛河大桥—石河子市—沙湾安集海一线的以南地区，即山前倾斜平原区，潜水埋深大50m，岩性颗粒粗大，径流条件好。乌伊公路北，岩性颗粒变细，潜水开始溢出，向北岩性颗粒较细，潜水埋深开始增大。</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流域地下水分布规律表现为：</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流域的山前倾斜平原潜水径流带，由于各条河流的冲、洪积扇含水层巨厚，颗粒粗大，以及上游区侧向以及河流入渗补给量大，富水性较强，水位埋深通常在20m以上。特别是呈连续面状分布的玛纳斯洪积扇卵砾石层富水性最好，从而扇前溢出带也最为宽广；金沟河因为流量较小，含水层呈不连续带状分布，巴音沟河也由于西部独山子洪积扇隆起和构造作用的改道影响，形成的安集海冲洪积扇堆积物质较细，含水层富水性表现都差一些。从东部石河子经过143团到西部安集海，含水层岩性由卵砾石变为砂砾石渗透系数变化从126m/d、98.4m/d减小到31.2m/d，单位涌水量变化从5620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/d•m、3154m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/d•m减小到764m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/d•m。</w:t>
            </w:r>
          </w:p>
          <w:p>
            <w:pPr>
              <w:pageBreakBefore w:val="0"/>
              <w:widowControl w:val="0"/>
              <w:kinsoku/>
              <w:wordWrap/>
              <w:topLinePunct w:val="0"/>
              <w:bidi w:val="0"/>
              <w:spacing w:line="52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（2）含水层结构特征</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区域水文地质条件受到大地构造控制，与现代地貌条件吻合较好。第四系松散沉积物具有较大的供水意义，根据地层岩性、地貌，大体可分为如下几个岩相带（图</w:t>
            </w:r>
            <w:r>
              <w:rPr>
                <w:rFonts w:hint="eastAsia"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14:textFill>
                  <w14:solidFill>
                    <w14:schemeClr w14:val="tx1"/>
                  </w14:solidFill>
                </w14:textFill>
              </w:rPr>
              <w:t>、图</w:t>
            </w:r>
            <w:r>
              <w:rPr>
                <w:rFonts w:hint="eastAsia" w:cs="Times New Roman" w:eastAsiaTheme="minorEastAsia"/>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卵砾石、砂砾石岩相带，主要分布在山麓、山间和河谷地区，以山前冲洪积倾斜平原为主体，多系洪积成因，属于富水性较强的潜水区。</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砂、砂砾石、粗砂岩相带，主要分布在山前倾斜平原的下部或冲积平原的上部。多系冲积成因，部分冲积、湖积。属于潜水溢出带，地下水富水性强的潜水及高压自流水层。</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粉细砂、粉砂岩相带，主要分布在广大冲洪积平原的中下部，属于富水性较弱的潜水及低压自流水区。</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流域内水文地质特征明显，从上游山区、中游平原到下游沙漠构成了一个完整的水文地质体系，在纵向、横向、垂直三个方向均具有明显的变化特点。</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纵向变化：与河流流向或者地下水流向大致平行的方向上的变化，该方向上的水文地质条件变化非常显著，含水层颗粒由粗变细，层次由少变多，厚度由厚变薄，潜水位埋深由深变浅，地下水流速由快变慢。</w:t>
            </w:r>
          </w:p>
          <w:p>
            <w:pPr>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横向变化：与主要河流或者地下水流向垂直方向上的变化，其变化范围有大有小，多数显示局部性特征，其水文地质条件不如纵向变化那样有规律，并且差异性较大。</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垂直变化：主要指勘探深度在200m以内的变化，在冲洪积平原中下游这种变化较为明显，标志性变化比较突出的反映在水质、水动力状态上，一般表层30m至50m以内的水质较差，与大气降水、灌溉水、渠系水等自然因素的影响有紧密联系；而50m以下的地下水，水质较好，为矿化度小于1g/L的淡水，大多具有承压性质，水力连通性侧向强于垂向。</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269865" cy="4956810"/>
                  <wp:effectExtent l="9525" t="9525" r="24130"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rcRect b="5183"/>
                          <a:stretch>
                            <a:fillRect/>
                          </a:stretch>
                        </pic:blipFill>
                        <pic:spPr>
                          <a:xfrm>
                            <a:off x="0" y="0"/>
                            <a:ext cx="5269865" cy="4956810"/>
                          </a:xfrm>
                          <a:prstGeom prst="rect">
                            <a:avLst/>
                          </a:prstGeom>
                          <a:noFill/>
                          <a:ln>
                            <a:solidFill>
                              <a:schemeClr val="tx1"/>
                            </a:solidFill>
                          </a:ln>
                        </pic:spPr>
                      </pic:pic>
                    </a:graphicData>
                  </a:graphic>
                </wp:inline>
              </w:drawing>
            </w:r>
          </w:p>
          <w:p>
            <w:pPr>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图</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5 </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评价区水文地质简图</w:t>
            </w:r>
          </w:p>
          <w:p>
            <w:pPr>
              <w:spacing w:line="480" w:lineRule="exact"/>
              <w:rPr>
                <w:rFonts w:hint="default" w:ascii="Times New Roman" w:hAnsi="Times New Roman" w:cs="Times New Roman"/>
                <w:color w:val="000000" w:themeColor="text1"/>
                <w:sz w:val="26"/>
                <w:szCs w:val="26"/>
                <w14:textFill>
                  <w14:solidFill>
                    <w14:schemeClr w14:val="tx1"/>
                  </w14:solidFill>
                </w14:textFill>
              </w:rPr>
            </w:pPr>
          </w:p>
          <w:p>
            <w:pPr>
              <w:ind w:firstLine="480"/>
              <w:jc w:val="center"/>
              <w:rPr>
                <w:rFonts w:hint="default" w:ascii="Times New Roman" w:hAnsi="Times New Roman" w:cs="Times New Roman"/>
                <w:color w:val="000000" w:themeColor="text1"/>
                <w14:textFill>
                  <w14:solidFill>
                    <w14:schemeClr w14:val="tx1"/>
                  </w14:solidFill>
                </w14:textFill>
              </w:rPr>
            </w:pPr>
          </w:p>
          <w:p>
            <w:pPr>
              <w:ind w:firstLine="480"/>
              <w:jc w:val="center"/>
              <w:rPr>
                <w:rFonts w:hint="default" w:ascii="Times New Roman" w:hAnsi="Times New Roman" w:cs="Times New Roman"/>
                <w:color w:val="000000" w:themeColor="text1"/>
                <w14:textFill>
                  <w14:solidFill>
                    <w14:schemeClr w14:val="tx1"/>
                  </w14:solidFill>
                </w14:textFill>
              </w:rPr>
            </w:pPr>
          </w:p>
          <w:p>
            <w:pPr>
              <w:ind w:firstLine="480"/>
              <w:jc w:val="center"/>
              <w:rPr>
                <w:rFonts w:hint="default" w:ascii="Times New Roman" w:hAnsi="Times New Roman" w:cs="Times New Roman"/>
                <w:color w:val="000000" w:themeColor="text1"/>
                <w:sz w:val="26"/>
                <w:szCs w:val="26"/>
                <w14:textFill>
                  <w14:solidFill>
                    <w14:schemeClr w14:val="tx1"/>
                  </w14:solidFill>
                </w14:textFill>
              </w:rPr>
            </w:pPr>
          </w:p>
          <w:p>
            <w:pPr>
              <w:pStyle w:val="158"/>
              <w:ind w:firstLine="0" w:firstLineChars="0"/>
              <w:rPr>
                <w:rFonts w:hint="default" w:ascii="Times New Roman" w:hAnsi="Times New Roman" w:eastAsia="宋体" w:cs="Times New Roman"/>
                <w:color w:val="000000" w:themeColor="text1"/>
                <w14:textFill>
                  <w14:solidFill>
                    <w14:schemeClr w14:val="tx1"/>
                  </w14:solidFill>
                </w14:textFill>
              </w:rPr>
            </w:pPr>
          </w:p>
          <w:p>
            <w:pPr>
              <w:pStyle w:val="158"/>
              <w:ind w:firstLine="0" w:firstLineChars="0"/>
              <w:rPr>
                <w:rFonts w:hint="default" w:ascii="Times New Roman" w:hAnsi="Times New Roman" w:eastAsia="宋体" w:cs="Times New Roman"/>
                <w:color w:val="000000" w:themeColor="text1"/>
                <w14:textFill>
                  <w14:solidFill>
                    <w14:schemeClr w14:val="tx1"/>
                  </w14:solidFill>
                </w14:textFill>
              </w:rPr>
            </w:pPr>
          </w:p>
          <w:p>
            <w:pPr>
              <w:pStyle w:val="158"/>
              <w:ind w:firstLine="0" w:firstLineChars="0"/>
              <w:rPr>
                <w:rFonts w:hint="default" w:ascii="Times New Roman" w:hAnsi="Times New Roman" w:eastAsia="宋体" w:cs="Times New Roman"/>
                <w:color w:val="000000" w:themeColor="text1"/>
                <w14:textFill>
                  <w14:solidFill>
                    <w14:schemeClr w14:val="tx1"/>
                  </w14:solidFill>
                </w14:textFill>
              </w:rPr>
            </w:pPr>
          </w:p>
          <w:p>
            <w:pPr>
              <w:pStyle w:val="158"/>
              <w:ind w:firstLine="0" w:firstLineChars="0"/>
              <w:rPr>
                <w:rFonts w:hint="default" w:ascii="Times New Roman" w:hAnsi="Times New Roman" w:eastAsia="宋体" w:cs="Times New Roman"/>
                <w:color w:val="000000" w:themeColor="text1"/>
                <w14:textFill>
                  <w14:solidFill>
                    <w14:schemeClr w14:val="tx1"/>
                  </w14:solidFill>
                </w14:textFill>
              </w:rPr>
            </w:pPr>
          </w:p>
          <w:p>
            <w:pPr>
              <w:pStyle w:val="158"/>
              <w:ind w:firstLine="0" w:firstLineChars="0"/>
              <w:rPr>
                <w:rFonts w:hint="default" w:ascii="Times New Roman" w:hAnsi="Times New Roman" w:eastAsia="宋体" w:cs="Times New Roman"/>
                <w:color w:val="000000" w:themeColor="text1"/>
                <w14:textFill>
                  <w14:solidFill>
                    <w14:schemeClr w14:val="tx1"/>
                  </w14:solidFill>
                </w14:textFill>
              </w:rPr>
            </w:pPr>
          </w:p>
        </w:tc>
      </w:tr>
    </w:tbl>
    <w:p>
      <w:pPr>
        <w:snapToGrid w:val="0"/>
        <w:outlineLvl w:val="0"/>
        <w:rPr>
          <w:rFonts w:eastAsia="宋体"/>
          <w:b/>
          <w:color w:val="000000" w:themeColor="text1"/>
          <w:sz w:val="30"/>
          <w:szCs w:val="30"/>
          <w14:textFill>
            <w14:solidFill>
              <w14:schemeClr w14:val="tx1"/>
            </w14:solidFill>
          </w14:textFill>
        </w:rPr>
        <w:sectPr>
          <w:headerReference r:id="rId3" w:type="default"/>
          <w:footerReference r:id="rId5" w:type="default"/>
          <w:headerReference r:id="rId4" w:type="even"/>
          <w:footerReference r:id="rId6" w:type="even"/>
          <w:pgSz w:w="11906" w:h="16838"/>
          <w:pgMar w:top="1440" w:right="1416" w:bottom="1440"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rPr>
          <w:color w:val="000000" w:themeColor="text1"/>
          <w14:textFill>
            <w14:solidFill>
              <w14:schemeClr w14:val="tx1"/>
            </w14:solidFill>
          </w14:textFill>
        </w:rPr>
      </w:pPr>
    </w:p>
    <w:tbl>
      <w:tblPr>
        <w:tblStyle w:val="33"/>
        <w:tblW w:w="14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7" w:hRule="atLeast"/>
        </w:trPr>
        <w:tc>
          <w:tcPr>
            <w:tcW w:w="14039" w:type="dxa"/>
          </w:tcPr>
          <w:p>
            <w:pPr>
              <w:pStyle w:val="2"/>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drawing>
                <wp:anchor distT="0" distB="0" distL="114300" distR="114300" simplePos="0" relativeHeight="251674624" behindDoc="0" locked="0" layoutInCell="1" allowOverlap="1">
                  <wp:simplePos x="0" y="0"/>
                  <wp:positionH relativeFrom="column">
                    <wp:posOffset>2558415</wp:posOffset>
                  </wp:positionH>
                  <wp:positionV relativeFrom="paragraph">
                    <wp:posOffset>-6146800</wp:posOffset>
                  </wp:positionV>
                  <wp:extent cx="3477260" cy="8594090"/>
                  <wp:effectExtent l="9525" t="9525" r="22225" b="18415"/>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0"/>
                          <a:srcRect r="8319"/>
                          <a:stretch>
                            <a:fillRect/>
                          </a:stretch>
                        </pic:blipFill>
                        <pic:spPr>
                          <a:xfrm rot="5400000">
                            <a:off x="0" y="0"/>
                            <a:ext cx="3477260" cy="8594090"/>
                          </a:xfrm>
                          <a:prstGeom prst="rect">
                            <a:avLst/>
                          </a:prstGeom>
                          <a:noFill/>
                          <a:ln>
                            <a:solidFill>
                              <a:schemeClr val="tx1"/>
                            </a:solidFill>
                          </a:ln>
                        </pic:spPr>
                      </pic:pic>
                    </a:graphicData>
                  </a:graphic>
                </wp:anchor>
              </w:drawing>
            </w:r>
            <w:r>
              <w:rPr>
                <w:rFonts w:hint="default" w:ascii="Times New Roman" w:hAnsi="Times New Roman" w:cs="Times New Roman" w:eastAsiaTheme="minorEastAsia"/>
                <w:b/>
                <w:bCs/>
                <w:color w:val="000000" w:themeColor="text1"/>
                <w:sz w:val="21"/>
                <w:szCs w:val="21"/>
                <w14:textFill>
                  <w14:solidFill>
                    <w14:schemeClr w14:val="tx1"/>
                  </w14:solidFill>
                </w14:textFill>
              </w:rPr>
              <w:t>图</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评价区水文地质剖面图</w:t>
            </w:r>
          </w:p>
          <w:p>
            <w:pPr>
              <w:pStyle w:val="2"/>
              <w:rPr>
                <w:color w:val="000000" w:themeColor="text1"/>
                <w:sz w:val="26"/>
                <w:szCs w:val="26"/>
                <w14:textFill>
                  <w14:solidFill>
                    <w14:schemeClr w14:val="tx1"/>
                  </w14:solidFill>
                </w14:textFill>
              </w:rPr>
            </w:pPr>
          </w:p>
          <w:p>
            <w:pPr>
              <w:pStyle w:val="2"/>
              <w:rPr>
                <w:color w:val="000000" w:themeColor="text1"/>
                <w:sz w:val="26"/>
                <w:szCs w:val="26"/>
                <w14:textFill>
                  <w14:solidFill>
                    <w14:schemeClr w14:val="tx1"/>
                  </w14:solidFill>
                </w14:textFill>
              </w:rPr>
            </w:pPr>
          </w:p>
          <w:p>
            <w:pPr>
              <w:pStyle w:val="2"/>
              <w:rPr>
                <w:color w:val="000000" w:themeColor="text1"/>
                <w:sz w:val="26"/>
                <w:szCs w:val="26"/>
                <w14:textFill>
                  <w14:solidFill>
                    <w14:schemeClr w14:val="tx1"/>
                  </w14:solidFill>
                </w14:textFill>
              </w:rPr>
            </w:pPr>
          </w:p>
          <w:p>
            <w:pPr>
              <w:pStyle w:val="2"/>
              <w:rPr>
                <w:color w:val="000000" w:themeColor="text1"/>
                <w:vertAlign w:val="baseline"/>
                <w14:textFill>
                  <w14:solidFill>
                    <w14:schemeClr w14:val="tx1"/>
                  </w14:solidFill>
                </w14:textFill>
              </w:rPr>
            </w:pPr>
          </w:p>
        </w:tc>
      </w:tr>
    </w:tbl>
    <w:p>
      <w:pPr>
        <w:pStyle w:val="2"/>
        <w:rPr>
          <w:color w:val="000000" w:themeColor="text1"/>
          <w14:textFill>
            <w14:solidFill>
              <w14:schemeClr w14:val="tx1"/>
            </w14:solidFill>
          </w14:textFill>
        </w:rPr>
        <w:sectPr>
          <w:pgSz w:w="16838" w:h="11906" w:orient="landscape"/>
          <w:pgMar w:top="1417" w:right="1440" w:bottom="1417" w:left="1440" w:header="851" w:footer="992" w:gutter="0"/>
          <w:pgBorders>
            <w:top w:val="none" w:sz="0" w:space="0"/>
            <w:left w:val="none" w:sz="0" w:space="0"/>
            <w:bottom w:val="none" w:sz="0" w:space="0"/>
            <w:right w:val="none" w:sz="0" w:space="0"/>
          </w:pgBorders>
          <w:pgNumType w:fmt="decimal"/>
          <w:cols w:space="0" w:num="1"/>
          <w:rtlGutter w:val="0"/>
          <w:docGrid w:type="lines" w:linePitch="394" w:charSpace="0"/>
        </w:sectPr>
      </w:pPr>
    </w:p>
    <w:tbl>
      <w:tblPr>
        <w:tblStyle w:val="3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8" w:type="dxa"/>
          </w:tcPr>
          <w:p>
            <w:pPr>
              <w:pageBreakBefore w:val="0"/>
              <w:widowControl w:val="0"/>
              <w:kinsoku/>
              <w:wordWrap/>
              <w:topLinePunct w:val="0"/>
              <w:bidi w:val="0"/>
              <w:spacing w:line="520" w:lineRule="exact"/>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（3）地下水补径排特征</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流域内地形基本为南高北低，东高西低，使地下水经历了补给、径流和排泄三个循环阶段（图</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①地下水的补给：</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流域内的地下水补给主要发生在山区和平原区。山区地下水由于受到第一排构造的阻隔，很少能够直接补给南山洼地地下水库，地下水的主要补给来源为河流的垂向渗漏补给，降水补给由于受到地表覆盖厚度较大黄土层的阻隔，补给地下水的量非常有限，春季气温升高后，山区积雪缓慢融化，大量融水渗入南山洼地，少量融水汇集流入玛纳斯河，夏季暴雨的来势较猛，少量渗入地下，大部分汇入河道流向下游。山前平原区的地下水形成和运移主要受到地质构造、地形地貌和水文地质条件的影响。玛纳斯河与流域内的塔西河、宁家河、金沟河、巴音沟河等灌区连成一片，地下水主要的补给来源为河流和渠道的渗漏，其次为田间灌溉入渗、融水入渗、平原水库入渗和降水入渗等。在整个平原地区，从地下水资源补给组成上，渠系水入渗、水库水入渗、灌溉水回归占主要份额。</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②地下水的径流：</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地下水径流，受沉积物岩性、结构分布影响，呈现出明显的分带规律，由南向北，强度由强到弱，水力坡降为1</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5%，地下水的流向与地面坡度相同，到下游明显偏西北。在山区地下水库洼地内，地下水流在水平方向上存在两个流向：即由南向北(由上游向下游)的纵向运动，以及东西两侧向玛纳斯河河谷的横向水流，地下水库中水位由于上述双向流动，水面不是水平的，而是总体向着玛纳斯河出口处倾斜的天然降落漏斗。在平原区乌伊公路以南的扇区中上部，含水层颗粒粗大，径流条件良好，地下水以平缓的坡度向扇缘运移，玛纳斯河扇轴两侧水力坡度仅0.5‰，至石河子市区变为2.5‰。乌伊公路以北随着含水层颗粒变细，透水性减弱，水力坡度增至3.33.9‰，溢出带附近可达6.4‰。区内地下水总体由南东向北西运移。乌伊公路以南地下水大致向NW45°方向运移；公路以北向北偏转，玛纳斯河以东转向0°~NW20°，玛纳斯河以西转向NW20°~NW40°。受宁家河冲洪积扇地下水的补给，流域西侧地下水流向为NE25°~NE35°。</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③地下水的排泄：</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流域内地下水的排泄方式主要有：泉水溢出、潜水蒸发、人工开采以及侧向流出。在山区地下水库以水平形式为主，垂向极少，在水平排泄形式中以泉水溢出占绝对优势，河床潜流及裂隙水侧渗排泄很少。泉水是地下水库水位受河床深切后形成的露头，以下降泉为主，在第二排构造前因水流受阻溢出形成接触型泉。玛纳斯河河谷在红山嘴长度达4km的地段，有连续不断的泉群溢出，其两岸出露位置甚至高于河床10余米，此段河床成了地下水集中的溢出带，金沟河山口段前方也有类似情况，宁家河与塔西河山口亦有泉水溢出。在平原区地下水主要以泉水溢出、潜水蒸发、人工开采、侧向流出以及河道排泄为主。泉水溢出带主要分布在乌伊公路以北，海拔410~430m的扇缘部位。在潜水埋深&lt;5m的广大区域，蒸发作用较为强烈，地下水大部分消耗于蒸腾蒸发，年蒸发蒸腾量约3×10</w:t>
            </w:r>
            <w:r>
              <w:rPr>
                <w:rFonts w:hint="eastAsia" w:asciiTheme="minorEastAsia" w:hAnsiTheme="minorEastAsia" w:eastAsiaTheme="minorEastAsia" w:cstheme="minorEastAsia"/>
                <w:color w:val="000000" w:themeColor="text1"/>
                <w:sz w:val="24"/>
                <w:szCs w:val="24"/>
                <w:vertAlign w:val="superscript"/>
                <w14:textFill>
                  <w14:solidFill>
                    <w14:schemeClr w14:val="tx1"/>
                  </w14:solidFill>
                </w14:textFill>
              </w:rPr>
              <w:t>8</w:t>
            </w:r>
            <w:r>
              <w:rPr>
                <w:rFonts w:hint="eastAsia" w:asciiTheme="minorEastAsia" w:hAnsiTheme="minorEastAsia" w:eastAsiaTheme="minorEastAsia" w:cstheme="minorEastAsia"/>
                <w:color w:val="000000" w:themeColor="text1"/>
                <w:sz w:val="24"/>
                <w:szCs w:val="24"/>
                <w14:textFill>
                  <w14:solidFill>
                    <w14:schemeClr w14:val="tx1"/>
                  </w14:solidFill>
                </w14:textFill>
              </w:rPr>
              <w:t>m</w:t>
            </w:r>
            <w:r>
              <w:rPr>
                <w:rFonts w:hint="eastAsia" w:asciiTheme="minorEastAsia" w:hAnsiTheme="minorEastAsia" w:eastAsiaTheme="minorEastAsia" w:cstheme="minorEastAsia"/>
                <w:color w:val="000000" w:themeColor="text1"/>
                <w:sz w:val="24"/>
                <w:szCs w:val="24"/>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74310" cy="3890645"/>
                  <wp:effectExtent l="0" t="0" r="13970" b="1079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1"/>
                          <a:stretch>
                            <a:fillRect/>
                          </a:stretch>
                        </pic:blipFill>
                        <pic:spPr>
                          <a:xfrm>
                            <a:off x="0" y="0"/>
                            <a:ext cx="5274310" cy="389064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图</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评价区地下水流场图</w:t>
            </w:r>
          </w:p>
          <w:p>
            <w:pPr>
              <w:pageBreakBefore w:val="0"/>
              <w:widowControl w:val="0"/>
              <w:kinsoku/>
              <w:wordWrap/>
              <w:topLinePunct w:val="0"/>
              <w:bidi w:val="0"/>
              <w:spacing w:line="520" w:lineRule="exact"/>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（4）地下水动态类型及特征</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地下水位动态是天然因素和人类活动综合作用的结果，即受到水文、气象、岩性和人类活动共同作用的影响。流域内地下水动态有水文型、气象型、人工开采型和灌溉入渗型四种基本类型：</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①水文型动态</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在冲洪积扇上，地下水的主要补给源是玛纳斯河等五条主要河流的渗漏补给。在每年6~9月份，玛纳斯河洪水期地下水补给量增加，地下水位持续上升，10月份，即玛纳斯河洪峰结束前，地下水补给量与排泄量平衡，水位达到最高点，以后排泄量大于补给量，地下水位不断下降，翌年5~7月为枯水期，，地下水位的峰值变化与玛纳斯河流量具有明显的对应关系，但是随着距离玛纳斯河远近的不同，各地的峰值出现的时间及变幅度亦不相同，具有距河愈远，滞后期愈长，变幅愈小；反之，则滞后期愈短，变幅愈大的规律。每年6月，随着洪水的到来，近河地段地下水迅速抬升，使位于玛纳斯河河床内的孔水位高峰与河水洪峰基本上一致，变幅可达6m，而距玛纳斯河东岸4km</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玛纳斯县城西北</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，高水位期则出现在10月，滞后2个月，水位变幅2.6m，距玛纳斯河西岸7.2km</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独立团</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高水位出现在10月，水位变幅l.5m，这种规律反映在平面上，在溢出带以上就形成以玛纳斯河为中轴线的变幅带，其中心是沿河形成的南北向椭圆形变幅最大带，水位变幅达3~6m，该带也正是玛纳斯河洪水的强烈渗漏补给带，由此带向外，随着补给途径的增大，水位变幅依次递减为2~3m和1~2m；至扇缘以下，水位变幅普遍小于lm，椭圆形变幅带消失，这与该区地层颗粒变细，渗透性降低，河水渗漏补给量逐渐减少有关。</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综上所述，冲积洪积扇上地下水位的年内变化是很有规律的，与河水流量随时间变化密切相关，地下水位的变幅距河流中轴线愈远而越来越小，至中下游带则与河水径流分配关系明显减弱。</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②气象型动态</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气候变化对浅层潜水动态有着直接的影响。据气象部门资料，每年11月至翌年3月的负温季节，地下水缺乏垂直入渗补给及蒸发蒸腾，水位处于较稳定状态。3月.份后，随着气温的升高，地面积雪融化渗入地下，使地下水位有所抬高。5~7月份随着蒸发不断增强及农灌抽水量明显增加，地下水位持续下降，7月份最低。在蒸发和开采量逐渐减少后，地下水位又开始回升，到11月份达到最高。</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③人工动态</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人类活动对地下水动态的影响主要反映在地下水位的持续下降和上升两个方面。</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1)地下水位下降(人工开采型)</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随着水利工程配套的完善，防渗渠道标准的提高以及地下水开采量日益增加，地下水位日渐趋于下降趋势。</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a冲积洪积扇</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根据1964年与1993年水位资料对比，由于长期开采地下水，石河子市区地下水位已下降了12.58~17.06m，平均每年下降0.43~0.59m，特别是1987年以后，由于开采量的增加，平均每年下降0.72~1.07m。其中西工业区下降幅度大于东区，距玛纳斯河愈近，下降幅度愈小。</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安集海1号水源地位于巴音沟河冲积洪积扇下部，由于长期开采，地下水位逐年下降，根据1986年与1993年水位资料对比，下降了3.45~8.98m，平均每年下降0.49~1.28m。</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b冲积洪积平原</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在冲积洪积平原集中开采区，地下水位也呈现下降趋势，如147团、石总场等集中开采区。</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2)地下水位上升</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灌溉入渗型</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在平原灌区，地下水动态主要受灌溉影响。在开垦前地下水位普遍较深，开垦以后由于灌溉而导致地下水位逐年上升，由于只灌不排，开始几年内，地下水位上升的速度相当快，其上升幅度为0.2~ 1.0m/a，土壤次生盐碱化愈见严重。</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近年来采取了一系列水利措施，包括降低灌溉定额，渠道防渗及开挖明排，使大部分地区地下水反升为降或者处于停止，进一步形成新的稳定状态，一部分地区因开采加大，有下降趋势。</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综上所述，潜水动态，对埋深较浅的潜水主要为气候型动态，所有地下水都可以受到人类活动影响而呈现出人工型动态，随着时间和地域的不同，地下水动态的主要影响因素可以发生相互转化，影响方式亦不相同，如石河子市、147团、石总场、安集海1号水源地等集中开采区，受人为因素影响极大，但是这种影响主要表现为地下水位下降，年内季节变化仍主要受水文、气象等因素影响，如冲积洪积扇地下水位年内变化主要受河道流量的控制，两者有很好的对应关系。冲积洪积扇平原地下水位年内变化，每年11月至次年3月其动态主要受气候因素控制，3~10月除受气候因素影响外，还受到人工开采及灌溉的影响。</w:t>
            </w:r>
          </w:p>
          <w:p>
            <w:pPr>
              <w:pageBreakBefore w:val="0"/>
              <w:widowControl w:val="0"/>
              <w:kinsoku/>
              <w:wordWrap/>
              <w:topLinePunct w:val="0"/>
              <w:bidi w:val="0"/>
              <w:spacing w:line="520" w:lineRule="exact"/>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（5）地下水水化学特征</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平原区潜水的水化学类型具有明显的南北分带性，即由南向北矿化度逐渐增高，至平原区下游渐变为高矿化度咸水，其分带如下：</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w:t>
            </w:r>
            <w:r>
              <w:rPr>
                <w:rFonts w:hint="eastAsia" w:asciiTheme="minorEastAsia" w:hAnsiTheme="minorEastAsia" w:eastAsiaTheme="minorEastAsia" w:cstheme="minorEastAsia"/>
                <w:color w:val="000000" w:themeColor="text1"/>
                <w:sz w:val="24"/>
                <w:szCs w:val="24"/>
                <w14:textFill>
                  <w14:solidFill>
                    <w14:schemeClr w14:val="tx1"/>
                  </w14:solidFill>
                </w14:textFill>
              </w:rPr>
              <w:t>南山洼地：旱卡子滩、石灰窑、东湾、西戈壁一带，即南山洼地地下水库潜水，为HCO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-Ca~HCO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-Ca型水，矿化度小于0.5g/L。</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14:textFill>
                  <w14:solidFill>
                    <w14:schemeClr w14:val="tx1"/>
                  </w14:solidFill>
                </w14:textFill>
              </w:rPr>
              <w:t>各河冲积扇中部溢出带区是地下水平径流区，玛纳斯县、石河子市、沙湾县、安集海一代，潜水矿化度低，一般小于0.8g/L，为HCO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-Ca~HCO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-Ca型水。</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14:textFill>
                  <w14:solidFill>
                    <w14:schemeClr w14:val="tx1"/>
                  </w14:solidFill>
                </w14:textFill>
              </w:rPr>
              <w:t>溢出带以北冲积平原地区，由于水力特征和径流条件发生了变化，潜水以垂直交替为主，受蒸发浓缩，水质也随之不断变化，矿化度明显升高，如莫索湾灌区，水化学类型为SO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-Cl-Na~C1-SO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-Na~C1-Na型水，矿化度一般在5g/L以上，局部高达30~50g/L，安集海灌区141团、142团以北以及144团为SO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-C1-Na~ C1-SO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-Na~SO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-Na型水，矿化度多在5~30g/L。下野地灌区位于冲积平原之下部，潜水矿化度在3g/L以上，其中多为10~20g/L，水化学类型为SO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-C1-Na型水，只有在古河道地段及渠道附近有局部潜水带。121团地区潜水矿化度一般在20g/L以上；下游玛纳斯河故道附近，矿化度可达0.5g/L，以SO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-Cl-Na型水为主。</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④</w:t>
            </w:r>
            <w:r>
              <w:rPr>
                <w:rFonts w:hint="eastAsia" w:asciiTheme="minorEastAsia" w:hAnsiTheme="minorEastAsia" w:eastAsiaTheme="minorEastAsia" w:cstheme="minorEastAsia"/>
                <w:color w:val="000000" w:themeColor="text1"/>
                <w:sz w:val="24"/>
                <w:szCs w:val="24"/>
                <w14:textFill>
                  <w14:solidFill>
                    <w14:schemeClr w14:val="tx1"/>
                  </w14:solidFill>
                </w14:textFill>
              </w:rPr>
              <w:t>山前地带由于受到第三系基岩裂隙水的影响，水化学特征比较复杂，为SO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-Cl-Ca，SO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-C~-Na，SO</w:t>
            </w:r>
            <w:r>
              <w:rPr>
                <w:rFonts w:hint="eastAsia" w:asciiTheme="minorEastAsia" w:hAnsiTheme="minorEastAsia" w:eastAsiaTheme="minorEastAsia" w:cstheme="minorEastAsia"/>
                <w:color w:val="000000" w:themeColor="text1"/>
                <w:sz w:val="24"/>
                <w:szCs w:val="24"/>
                <w:vertAlign w:val="subscript"/>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-C1-Na-Ca型水，矿化度高达2.5g/L，呈一条带状分布于山前，宽1~2km，由于扇区第四系含水层中地下水的强烈淡化作用，该水化学异常带发育不宽，在短距离内即弥散消失。</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综合全区潜水的化学成分和矿化度，具有洪积扇潜水的一般规律和特点。</w:t>
            </w:r>
          </w:p>
          <w:p>
            <w:pPr>
              <w:pStyle w:val="2"/>
              <w:rPr>
                <w:color w:val="000000" w:themeColor="text1"/>
                <w:vertAlign w:val="baseline"/>
                <w14:textFill>
                  <w14:solidFill>
                    <w14:schemeClr w14:val="tx1"/>
                  </w14:solidFill>
                </w14:textFill>
              </w:rPr>
            </w:pPr>
          </w:p>
        </w:tc>
      </w:tr>
    </w:tbl>
    <w:p>
      <w:pPr>
        <w:pStyle w:val="2"/>
        <w:rPr>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snapToGrid w:val="0"/>
        <w:textAlignment w:val="auto"/>
        <w:outlineLvl w:val="0"/>
        <w:rPr>
          <w:rFonts w:eastAsia="宋体"/>
          <w:b/>
          <w:color w:val="000000" w:themeColor="text1"/>
          <w:sz w:val="30"/>
          <w:szCs w:val="30"/>
          <w14:textFill>
            <w14:solidFill>
              <w14:schemeClr w14:val="tx1"/>
            </w14:solidFill>
          </w14:textFill>
        </w:rPr>
      </w:pPr>
      <w:r>
        <w:rPr>
          <w:rFonts w:eastAsia="宋体"/>
          <w:b/>
          <w:color w:val="000000" w:themeColor="text1"/>
          <w:sz w:val="30"/>
          <w:szCs w:val="30"/>
          <w14:textFill>
            <w14:solidFill>
              <w14:schemeClr w14:val="tx1"/>
            </w14:solidFill>
          </w14:textFill>
        </w:rPr>
        <w:t>环境质量状况</w:t>
      </w:r>
    </w:p>
    <w:tbl>
      <w:tblPr>
        <w:tblStyle w:val="3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trPr>
        <w:tc>
          <w:tcPr>
            <w:tcW w:w="9288" w:type="dxa"/>
          </w:tcPr>
          <w:p>
            <w:pPr>
              <w:spacing w:line="360" w:lineRule="auto"/>
              <w:rPr>
                <w:rFonts w:eastAsia="宋体"/>
                <w:b/>
                <w:bCs/>
                <w:color w:val="000000" w:themeColor="text1"/>
                <w:szCs w:val="28"/>
                <w14:textFill>
                  <w14:solidFill>
                    <w14:schemeClr w14:val="tx1"/>
                  </w14:solidFill>
                </w14:textFill>
              </w:rPr>
            </w:pPr>
            <w:r>
              <w:rPr>
                <w:rFonts w:eastAsia="宋体"/>
                <w:b/>
                <w:bCs/>
                <w:color w:val="000000" w:themeColor="text1"/>
                <w:szCs w:val="28"/>
                <w14:textFill>
                  <w14:solidFill>
                    <w14:schemeClr w14:val="tx1"/>
                  </w14:solidFill>
                </w14:textFill>
              </w:rPr>
              <w:t>建设项目所在地区域环境质量现状及主要环境问题（环境空气、地面水、地下水、声环境、生态环境等）</w:t>
            </w:r>
          </w:p>
          <w:p>
            <w:pPr>
              <w:spacing w:line="560" w:lineRule="exact"/>
              <w:ind w:firstLine="482" w:firstLineChars="200"/>
              <w:rPr>
                <w:rFonts w:eastAsia="宋体"/>
                <w:b/>
                <w:color w:val="000000" w:themeColor="text1"/>
                <w:sz w:val="24"/>
                <w:szCs w:val="28"/>
                <w14:textFill>
                  <w14:solidFill>
                    <w14:schemeClr w14:val="tx1"/>
                  </w14:solidFill>
                </w14:textFill>
              </w:rPr>
            </w:pPr>
            <w:r>
              <w:rPr>
                <w:rFonts w:eastAsia="宋体"/>
                <w:b/>
                <w:color w:val="000000" w:themeColor="text1"/>
                <w:sz w:val="24"/>
                <w:szCs w:val="28"/>
                <w14:textFill>
                  <w14:solidFill>
                    <w14:schemeClr w14:val="tx1"/>
                  </w14:solidFill>
                </w14:textFill>
              </w:rPr>
              <w:t>1、环境空气质量现状</w:t>
            </w:r>
          </w:p>
          <w:p>
            <w:pPr>
              <w:adjustRightInd w:val="0"/>
              <w:snapToGrid w:val="0"/>
              <w:spacing w:line="560" w:lineRule="exact"/>
              <w:ind w:firstLine="480" w:firstLineChars="20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根据《环境影响评价技术导则 大气环境》（HJ2.2-2018），大气常规因子可直接采用国家或地方生态环保主管部门公开发布的评价基准年环境质量公告或环境质量报告中的数据或结论。因距离本项目区最近的监测站点位于石河子市（本项目区西南方向9.4公里处），故引用石河子市监测站点的2018年环境质量数据和结论能够反映本项目区环境空气质量现状，较为可行。</w:t>
            </w:r>
          </w:p>
          <w:p>
            <w:pPr>
              <w:adjustRightInd w:val="0"/>
              <w:snapToGrid w:val="0"/>
              <w:spacing w:line="560" w:lineRule="exact"/>
              <w:ind w:firstLine="480" w:firstLineChars="2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为了解</w:t>
            </w:r>
            <w:r>
              <w:rPr>
                <w:rFonts w:hint="eastAsia" w:eastAsia="宋体"/>
                <w:color w:val="000000" w:themeColor="text1"/>
                <w:sz w:val="24"/>
                <w14:textFill>
                  <w14:solidFill>
                    <w14:schemeClr w14:val="tx1"/>
                  </w14:solidFill>
                </w14:textFill>
              </w:rPr>
              <w:t>本</w:t>
            </w:r>
            <w:r>
              <w:rPr>
                <w:rFonts w:eastAsia="宋体"/>
                <w:color w:val="000000" w:themeColor="text1"/>
                <w:sz w:val="24"/>
                <w14:textFill>
                  <w14:solidFill>
                    <w14:schemeClr w14:val="tx1"/>
                  </w14:solidFill>
                </w14:textFill>
              </w:rPr>
              <w:t>项目区环境空气质量现状</w:t>
            </w:r>
            <w:r>
              <w:rPr>
                <w:rFonts w:hint="eastAsia" w:eastAsia="宋体"/>
                <w:color w:val="000000" w:themeColor="text1"/>
                <w:sz w:val="24"/>
                <w14:textFill>
                  <w14:solidFill>
                    <w14:schemeClr w14:val="tx1"/>
                  </w14:solidFill>
                </w14:textFill>
              </w:rPr>
              <w:t>（特征因子</w:t>
            </w:r>
            <w:r>
              <w:rPr>
                <w:rFonts w:hint="eastAsia" w:eastAsia="宋体"/>
                <w:color w:val="000000" w:themeColor="text1"/>
                <w:sz w:val="24"/>
                <w:szCs w:val="24"/>
                <w14:textFill>
                  <w14:solidFill>
                    <w14:schemeClr w14:val="tx1"/>
                  </w14:solidFill>
                </w14:textFill>
              </w:rPr>
              <w:t>H</w:t>
            </w:r>
            <w:r>
              <w:rPr>
                <w:rFonts w:hint="eastAsia" w:eastAsia="宋体"/>
                <w:color w:val="000000" w:themeColor="text1"/>
                <w:sz w:val="24"/>
                <w:szCs w:val="24"/>
                <w:vertAlign w:val="subscript"/>
                <w14:textFill>
                  <w14:solidFill>
                    <w14:schemeClr w14:val="tx1"/>
                  </w14:solidFill>
                </w14:textFill>
              </w:rPr>
              <w:t>2</w:t>
            </w:r>
            <w:r>
              <w:rPr>
                <w:rFonts w:hint="eastAsia" w:eastAsia="宋体"/>
                <w:color w:val="000000" w:themeColor="text1"/>
                <w:sz w:val="24"/>
                <w:szCs w:val="24"/>
                <w14:textFill>
                  <w14:solidFill>
                    <w14:schemeClr w14:val="tx1"/>
                  </w14:solidFill>
                </w14:textFill>
              </w:rPr>
              <w:t>S和NH</w:t>
            </w:r>
            <w:r>
              <w:rPr>
                <w:rFonts w:hint="eastAsia" w:eastAsia="宋体"/>
                <w:color w:val="000000" w:themeColor="text1"/>
                <w:sz w:val="24"/>
                <w:szCs w:val="24"/>
                <w:vertAlign w:val="subscript"/>
                <w14:textFill>
                  <w14:solidFill>
                    <w14:schemeClr w14:val="tx1"/>
                  </w14:solidFill>
                </w14:textFill>
              </w:rPr>
              <w:t>3</w:t>
            </w:r>
            <w:r>
              <w:rPr>
                <w:rFonts w:hint="eastAsia" w:eastAsia="宋体"/>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，本次环评</w:t>
            </w:r>
            <w:r>
              <w:rPr>
                <w:rFonts w:hint="eastAsia" w:eastAsia="宋体"/>
                <w:color w:val="000000" w:themeColor="text1"/>
                <w:sz w:val="24"/>
                <w14:textFill>
                  <w14:solidFill>
                    <w14:schemeClr w14:val="tx1"/>
                  </w14:solidFill>
                </w14:textFill>
              </w:rPr>
              <w:t>委托</w:t>
            </w:r>
            <w:r>
              <w:rPr>
                <w:rFonts w:hint="eastAsia" w:eastAsia="宋体"/>
                <w:color w:val="000000" w:themeColor="text1"/>
                <w:sz w:val="24"/>
                <w:szCs w:val="24"/>
                <w14:textFill>
                  <w14:solidFill>
                    <w14:schemeClr w14:val="tx1"/>
                  </w14:solidFill>
                </w14:textFill>
              </w:rPr>
              <w:t>新疆锡水金山环境科技有限公司对项目区</w:t>
            </w:r>
            <w:r>
              <w:rPr>
                <w:rFonts w:eastAsia="宋体"/>
                <w:color w:val="000000" w:themeColor="text1"/>
                <w:sz w:val="24"/>
                <w14:textFill>
                  <w14:solidFill>
                    <w14:schemeClr w14:val="tx1"/>
                  </w14:solidFill>
                </w14:textFill>
              </w:rPr>
              <w:t>环境空气质量现状</w:t>
            </w:r>
            <w:r>
              <w:rPr>
                <w:rFonts w:hint="eastAsia" w:eastAsia="宋体"/>
                <w:color w:val="000000" w:themeColor="text1"/>
                <w:sz w:val="24"/>
                <w14:textFill>
                  <w14:solidFill>
                    <w14:schemeClr w14:val="tx1"/>
                  </w14:solidFill>
                </w14:textFill>
              </w:rPr>
              <w:t>（特征因子</w:t>
            </w:r>
            <w:r>
              <w:rPr>
                <w:rFonts w:hint="eastAsia" w:eastAsia="宋体"/>
                <w:color w:val="000000" w:themeColor="text1"/>
                <w:sz w:val="24"/>
                <w:szCs w:val="24"/>
                <w14:textFill>
                  <w14:solidFill>
                    <w14:schemeClr w14:val="tx1"/>
                  </w14:solidFill>
                </w14:textFill>
              </w:rPr>
              <w:t>H</w:t>
            </w:r>
            <w:r>
              <w:rPr>
                <w:rFonts w:hint="eastAsia" w:eastAsia="宋体"/>
                <w:color w:val="000000" w:themeColor="text1"/>
                <w:sz w:val="24"/>
                <w:szCs w:val="24"/>
                <w:vertAlign w:val="subscript"/>
                <w14:textFill>
                  <w14:solidFill>
                    <w14:schemeClr w14:val="tx1"/>
                  </w14:solidFill>
                </w14:textFill>
              </w:rPr>
              <w:t>2</w:t>
            </w:r>
            <w:r>
              <w:rPr>
                <w:rFonts w:hint="eastAsia" w:eastAsia="宋体"/>
                <w:color w:val="000000" w:themeColor="text1"/>
                <w:sz w:val="24"/>
                <w:szCs w:val="24"/>
                <w14:textFill>
                  <w14:solidFill>
                    <w14:schemeClr w14:val="tx1"/>
                  </w14:solidFill>
                </w14:textFill>
              </w:rPr>
              <w:t>S和NH</w:t>
            </w:r>
            <w:r>
              <w:rPr>
                <w:rFonts w:hint="eastAsia" w:eastAsia="宋体"/>
                <w:color w:val="000000" w:themeColor="text1"/>
                <w:sz w:val="24"/>
                <w:szCs w:val="24"/>
                <w:vertAlign w:val="subscript"/>
                <w14:textFill>
                  <w14:solidFill>
                    <w14:schemeClr w14:val="tx1"/>
                  </w14:solidFill>
                </w14:textFill>
              </w:rPr>
              <w:t>3</w:t>
            </w:r>
            <w:r>
              <w:rPr>
                <w:rFonts w:hint="eastAsia" w:eastAsia="宋体"/>
                <w:color w:val="000000" w:themeColor="text1"/>
                <w:sz w:val="24"/>
                <w14:textFill>
                  <w14:solidFill>
                    <w14:schemeClr w14:val="tx1"/>
                  </w14:solidFill>
                </w14:textFill>
              </w:rPr>
              <w:t>）</w:t>
            </w:r>
            <w:r>
              <w:rPr>
                <w:rFonts w:hint="eastAsia" w:eastAsia="宋体"/>
                <w:color w:val="000000" w:themeColor="text1"/>
                <w:sz w:val="24"/>
                <w:szCs w:val="24"/>
                <w14:textFill>
                  <w14:solidFill>
                    <w14:schemeClr w14:val="tx1"/>
                  </w14:solidFill>
                </w14:textFill>
              </w:rPr>
              <w:t>进行</w:t>
            </w:r>
            <w:r>
              <w:rPr>
                <w:rFonts w:eastAsia="宋体"/>
                <w:color w:val="000000" w:themeColor="text1"/>
                <w:sz w:val="24"/>
                <w:szCs w:val="24"/>
                <w14:textFill>
                  <w14:solidFill>
                    <w14:schemeClr w14:val="tx1"/>
                  </w14:solidFill>
                </w14:textFill>
              </w:rPr>
              <w:t>监测</w:t>
            </w:r>
            <w:r>
              <w:rPr>
                <w:rFonts w:hint="eastAsia" w:eastAsia="宋体"/>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监测布点图详见图</w:t>
            </w:r>
            <w:r>
              <w:rPr>
                <w:rFonts w:hint="eastAsia" w:eastAsia="宋体"/>
                <w:color w:val="000000" w:themeColor="text1"/>
                <w:sz w:val="24"/>
                <w:lang w:val="en-US" w:eastAsia="zh-CN"/>
                <w14:textFill>
                  <w14:solidFill>
                    <w14:schemeClr w14:val="tx1"/>
                  </w14:solidFill>
                </w14:textFill>
              </w:rPr>
              <w:t>8</w:t>
            </w:r>
            <w:r>
              <w:rPr>
                <w:rFonts w:eastAsia="宋体"/>
                <w:color w:val="000000" w:themeColor="text1"/>
                <w:sz w:val="24"/>
                <w14:textFill>
                  <w14:solidFill>
                    <w14:schemeClr w14:val="tx1"/>
                  </w14:solidFill>
                </w14:textFill>
              </w:rPr>
              <w:t>。</w:t>
            </w:r>
          </w:p>
          <w:p>
            <w:pPr>
              <w:adjustRightInd w:val="0"/>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（1）监测项目</w:t>
            </w:r>
          </w:p>
          <w:p>
            <w:pPr>
              <w:adjustRightInd w:val="0"/>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SO</w:t>
            </w:r>
            <w:r>
              <w:rPr>
                <w:rFonts w:eastAsia="宋体"/>
                <w:color w:val="000000" w:themeColor="text1"/>
                <w:sz w:val="24"/>
                <w:szCs w:val="24"/>
                <w:vertAlign w:val="subscript"/>
                <w14:textFill>
                  <w14:solidFill>
                    <w14:schemeClr w14:val="tx1"/>
                  </w14:solidFill>
                </w14:textFill>
              </w:rPr>
              <w:t>2</w:t>
            </w:r>
            <w:r>
              <w:rPr>
                <w:rFonts w:eastAsia="宋体"/>
                <w:color w:val="000000" w:themeColor="text1"/>
                <w:sz w:val="24"/>
                <w:szCs w:val="24"/>
                <w14:textFill>
                  <w14:solidFill>
                    <w14:schemeClr w14:val="tx1"/>
                  </w14:solidFill>
                </w14:textFill>
              </w:rPr>
              <w:t>、NO</w:t>
            </w:r>
            <w:r>
              <w:rPr>
                <w:rFonts w:eastAsia="宋体"/>
                <w:color w:val="000000" w:themeColor="text1"/>
                <w:sz w:val="24"/>
                <w:szCs w:val="24"/>
                <w:vertAlign w:val="subscript"/>
                <w14:textFill>
                  <w14:solidFill>
                    <w14:schemeClr w14:val="tx1"/>
                  </w14:solidFill>
                </w14:textFill>
              </w:rPr>
              <w:t>2</w:t>
            </w:r>
            <w:r>
              <w:rPr>
                <w:rFonts w:eastAsia="宋体"/>
                <w:color w:val="000000" w:themeColor="text1"/>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PM</w:t>
            </w:r>
            <w:r>
              <w:rPr>
                <w:rFonts w:eastAsia="宋体"/>
                <w:color w:val="000000" w:themeColor="text1"/>
                <w:kern w:val="0"/>
                <w:sz w:val="24"/>
                <w:szCs w:val="24"/>
                <w:vertAlign w:val="subscript"/>
                <w14:textFill>
                  <w14:solidFill>
                    <w14:schemeClr w14:val="tx1"/>
                  </w14:solidFill>
                </w14:textFill>
              </w:rPr>
              <w:t>10</w:t>
            </w:r>
            <w:r>
              <w:rPr>
                <w:rFonts w:eastAsia="宋体"/>
                <w:color w:val="000000" w:themeColor="text1"/>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PM</w:t>
            </w:r>
            <w:r>
              <w:rPr>
                <w:rFonts w:hint="eastAsia" w:eastAsia="宋体"/>
                <w:color w:val="000000" w:themeColor="text1"/>
                <w:kern w:val="0"/>
                <w:sz w:val="24"/>
                <w:szCs w:val="24"/>
                <w:vertAlign w:val="subscript"/>
                <w14:textFill>
                  <w14:solidFill>
                    <w14:schemeClr w14:val="tx1"/>
                  </w14:solidFill>
                </w14:textFill>
              </w:rPr>
              <w:t>2.5</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CO</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O</w:t>
            </w:r>
            <w:r>
              <w:rPr>
                <w:rFonts w:hint="eastAsia" w:eastAsia="宋体"/>
                <w:color w:val="000000" w:themeColor="text1"/>
                <w:sz w:val="24"/>
                <w:szCs w:val="24"/>
                <w:vertAlign w:val="subscript"/>
                <w14:textFill>
                  <w14:solidFill>
                    <w14:schemeClr w14:val="tx1"/>
                  </w14:solidFill>
                </w14:textFill>
              </w:rPr>
              <w:t>3</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H</w:t>
            </w:r>
            <w:r>
              <w:rPr>
                <w:rFonts w:hint="eastAsia" w:eastAsia="宋体"/>
                <w:color w:val="000000" w:themeColor="text1"/>
                <w:sz w:val="24"/>
                <w:szCs w:val="24"/>
                <w:vertAlign w:val="subscript"/>
                <w14:textFill>
                  <w14:solidFill>
                    <w14:schemeClr w14:val="tx1"/>
                  </w14:solidFill>
                </w14:textFill>
              </w:rPr>
              <w:t>2</w:t>
            </w:r>
            <w:r>
              <w:rPr>
                <w:rFonts w:hint="eastAsia" w:eastAsia="宋体"/>
                <w:color w:val="000000" w:themeColor="text1"/>
                <w:sz w:val="24"/>
                <w:szCs w:val="24"/>
                <w14:textFill>
                  <w14:solidFill>
                    <w14:schemeClr w14:val="tx1"/>
                  </w14:solidFill>
                </w14:textFill>
              </w:rPr>
              <w:t>S、NH</w:t>
            </w:r>
            <w:r>
              <w:rPr>
                <w:rFonts w:hint="eastAsia" w:eastAsia="宋体"/>
                <w:color w:val="000000" w:themeColor="text1"/>
                <w:sz w:val="24"/>
                <w:szCs w:val="24"/>
                <w:vertAlign w:val="subscript"/>
                <w14:textFill>
                  <w14:solidFill>
                    <w14:schemeClr w14:val="tx1"/>
                  </w14:solidFill>
                </w14:textFill>
              </w:rPr>
              <w:t>3</w:t>
            </w:r>
          </w:p>
          <w:p>
            <w:pPr>
              <w:adjustRightInd w:val="0"/>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2</w:t>
            </w:r>
            <w:r>
              <w:rPr>
                <w:rFonts w:eastAsia="宋体"/>
                <w:color w:val="000000" w:themeColor="text1"/>
                <w:sz w:val="24"/>
                <w:szCs w:val="24"/>
                <w14:textFill>
                  <w14:solidFill>
                    <w14:schemeClr w14:val="tx1"/>
                  </w14:solidFill>
                </w14:textFill>
              </w:rPr>
              <w:t>）评价标准</w:t>
            </w:r>
          </w:p>
          <w:p>
            <w:pPr>
              <w:adjustRightInd w:val="0"/>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本次环境空气质量现状评价采用《环境空气质量标准》（GB3095-2012）中的二级标准。</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（3）监测时间及频次</w:t>
            </w:r>
          </w:p>
          <w:p>
            <w:pPr>
              <w:adjustRightInd w:val="0"/>
              <w:spacing w:line="560" w:lineRule="exact"/>
              <w:ind w:firstLine="480" w:firstLineChars="200"/>
              <w:rPr>
                <w:rFonts w:eastAsia="宋体"/>
                <w:color w:val="000000" w:themeColor="text1"/>
                <w:sz w:val="24"/>
                <w14:textFill>
                  <w14:solidFill>
                    <w14:schemeClr w14:val="tx1"/>
                  </w14:solidFill>
                </w14:textFill>
              </w:rPr>
            </w:pPr>
            <w:r>
              <w:rPr>
                <w:rFonts w:eastAsia="宋体"/>
                <w:color w:val="000000" w:themeColor="text1"/>
                <w:sz w:val="24"/>
                <w:szCs w:val="24"/>
                <w14:textFill>
                  <w14:solidFill>
                    <w14:schemeClr w14:val="tx1"/>
                  </w14:solidFill>
                </w14:textFill>
              </w:rPr>
              <w:t>SO</w:t>
            </w:r>
            <w:r>
              <w:rPr>
                <w:rFonts w:eastAsia="宋体"/>
                <w:color w:val="000000" w:themeColor="text1"/>
                <w:sz w:val="24"/>
                <w:szCs w:val="24"/>
                <w:vertAlign w:val="subscript"/>
                <w14:textFill>
                  <w14:solidFill>
                    <w14:schemeClr w14:val="tx1"/>
                  </w14:solidFill>
                </w14:textFill>
              </w:rPr>
              <w:t>2</w:t>
            </w:r>
            <w:r>
              <w:rPr>
                <w:rFonts w:eastAsia="宋体"/>
                <w:color w:val="000000" w:themeColor="text1"/>
                <w:sz w:val="24"/>
                <w:szCs w:val="24"/>
                <w14:textFill>
                  <w14:solidFill>
                    <w14:schemeClr w14:val="tx1"/>
                  </w14:solidFill>
                </w14:textFill>
              </w:rPr>
              <w:t>、NO</w:t>
            </w:r>
            <w:r>
              <w:rPr>
                <w:rFonts w:eastAsia="宋体"/>
                <w:color w:val="000000" w:themeColor="text1"/>
                <w:sz w:val="24"/>
                <w:szCs w:val="24"/>
                <w:vertAlign w:val="subscript"/>
                <w14:textFill>
                  <w14:solidFill>
                    <w14:schemeClr w14:val="tx1"/>
                  </w14:solidFill>
                </w14:textFill>
              </w:rPr>
              <w:t>2</w:t>
            </w:r>
            <w:r>
              <w:rPr>
                <w:rFonts w:eastAsia="宋体"/>
                <w:color w:val="000000" w:themeColor="text1"/>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PM</w:t>
            </w:r>
            <w:r>
              <w:rPr>
                <w:rFonts w:eastAsia="宋体"/>
                <w:color w:val="000000" w:themeColor="text1"/>
                <w:kern w:val="0"/>
                <w:sz w:val="24"/>
                <w:szCs w:val="24"/>
                <w:vertAlign w:val="subscript"/>
                <w14:textFill>
                  <w14:solidFill>
                    <w14:schemeClr w14:val="tx1"/>
                  </w14:solidFill>
                </w14:textFill>
              </w:rPr>
              <w:t>10</w:t>
            </w:r>
            <w:r>
              <w:rPr>
                <w:rFonts w:eastAsia="宋体"/>
                <w:color w:val="000000" w:themeColor="text1"/>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PM</w:t>
            </w:r>
            <w:r>
              <w:rPr>
                <w:rFonts w:hint="eastAsia" w:eastAsia="宋体"/>
                <w:color w:val="000000" w:themeColor="text1"/>
                <w:kern w:val="0"/>
                <w:sz w:val="24"/>
                <w:szCs w:val="24"/>
                <w:vertAlign w:val="subscript"/>
                <w14:textFill>
                  <w14:solidFill>
                    <w14:schemeClr w14:val="tx1"/>
                  </w14:solidFill>
                </w14:textFill>
              </w:rPr>
              <w:t>2.5</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CO</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O</w:t>
            </w:r>
            <w:r>
              <w:rPr>
                <w:rFonts w:hint="eastAsia" w:eastAsia="宋体"/>
                <w:color w:val="000000" w:themeColor="text1"/>
                <w:sz w:val="24"/>
                <w:szCs w:val="24"/>
                <w:vertAlign w:val="subscript"/>
                <w14:textFill>
                  <w14:solidFill>
                    <w14:schemeClr w14:val="tx1"/>
                  </w14:solidFill>
                </w14:textFill>
              </w:rPr>
              <w:t>3</w:t>
            </w:r>
            <w:r>
              <w:rPr>
                <w:rFonts w:hint="eastAsia" w:eastAsia="宋体"/>
                <w:color w:val="000000" w:themeColor="text1"/>
                <w:sz w:val="24"/>
                <w:szCs w:val="24"/>
                <w14:textFill>
                  <w14:solidFill>
                    <w14:schemeClr w14:val="tx1"/>
                  </w14:solidFill>
                </w14:textFill>
              </w:rPr>
              <w:t>监测时间为</w:t>
            </w:r>
            <w:r>
              <w:rPr>
                <w:rFonts w:eastAsia="宋体"/>
                <w:color w:val="000000" w:themeColor="text1"/>
                <w:sz w:val="24"/>
                <w:szCs w:val="24"/>
                <w14:textFill>
                  <w14:solidFill>
                    <w14:schemeClr w14:val="tx1"/>
                  </w14:solidFill>
                </w14:textFill>
              </w:rPr>
              <w:t>201</w:t>
            </w:r>
            <w:r>
              <w:rPr>
                <w:rFonts w:hint="eastAsia" w:eastAsia="宋体"/>
                <w:color w:val="000000" w:themeColor="text1"/>
                <w:sz w:val="24"/>
                <w:szCs w:val="24"/>
                <w14:textFill>
                  <w14:solidFill>
                    <w14:schemeClr w14:val="tx1"/>
                  </w14:solidFill>
                </w14:textFill>
              </w:rPr>
              <w:t>8</w:t>
            </w:r>
            <w:r>
              <w:rPr>
                <w:rFonts w:eastAsia="宋体"/>
                <w:color w:val="000000" w:themeColor="text1"/>
                <w:sz w:val="24"/>
                <w:szCs w:val="24"/>
                <w14:textFill>
                  <w14:solidFill>
                    <w14:schemeClr w14:val="tx1"/>
                  </w14:solidFill>
                </w14:textFill>
              </w:rPr>
              <w:t>年</w:t>
            </w:r>
            <w:r>
              <w:rPr>
                <w:rFonts w:hint="eastAsia" w:eastAsia="宋体"/>
                <w:color w:val="000000" w:themeColor="text1"/>
                <w:sz w:val="24"/>
                <w:szCs w:val="24"/>
                <w14:textFill>
                  <w14:solidFill>
                    <w14:schemeClr w14:val="tx1"/>
                  </w14:solidFill>
                </w14:textFill>
              </w:rPr>
              <w:t>，属于环境主管部门数据；</w:t>
            </w:r>
            <w:r>
              <w:rPr>
                <w:rFonts w:eastAsia="宋体"/>
                <w:color w:val="000000" w:themeColor="text1"/>
                <w:sz w:val="24"/>
                <w:szCs w:val="24"/>
                <w14:textFill>
                  <w14:solidFill>
                    <w14:schemeClr w14:val="tx1"/>
                  </w14:solidFill>
                </w14:textFill>
              </w:rPr>
              <w:t>NH</w:t>
            </w:r>
            <w:r>
              <w:rPr>
                <w:rFonts w:eastAsia="宋体"/>
                <w:color w:val="000000" w:themeColor="text1"/>
                <w:sz w:val="24"/>
                <w:szCs w:val="24"/>
                <w:vertAlign w:val="subscript"/>
                <w14:textFill>
                  <w14:solidFill>
                    <w14:schemeClr w14:val="tx1"/>
                  </w14:solidFill>
                </w14:textFill>
              </w:rPr>
              <w:t>3</w:t>
            </w:r>
            <w:r>
              <w:rPr>
                <w:rFonts w:eastAsia="宋体"/>
                <w:color w:val="000000" w:themeColor="text1"/>
                <w:sz w:val="24"/>
                <w:szCs w:val="24"/>
                <w14:textFill>
                  <w14:solidFill>
                    <w14:schemeClr w14:val="tx1"/>
                  </w14:solidFill>
                </w14:textFill>
              </w:rPr>
              <w:t>、H</w:t>
            </w:r>
            <w:r>
              <w:rPr>
                <w:rFonts w:eastAsia="宋体"/>
                <w:color w:val="000000" w:themeColor="text1"/>
                <w:sz w:val="24"/>
                <w:szCs w:val="24"/>
                <w:vertAlign w:val="subscript"/>
                <w14:textFill>
                  <w14:solidFill>
                    <w14:schemeClr w14:val="tx1"/>
                  </w14:solidFill>
                </w14:textFill>
              </w:rPr>
              <w:t>2</w:t>
            </w:r>
            <w:r>
              <w:rPr>
                <w:rFonts w:eastAsia="宋体"/>
                <w:color w:val="000000" w:themeColor="text1"/>
                <w:sz w:val="24"/>
                <w:szCs w:val="24"/>
                <w14:textFill>
                  <w14:solidFill>
                    <w14:schemeClr w14:val="tx1"/>
                  </w14:solidFill>
                </w14:textFill>
              </w:rPr>
              <w:t>S</w:t>
            </w:r>
            <w:r>
              <w:rPr>
                <w:rFonts w:hint="eastAsia" w:eastAsia="宋体"/>
                <w:color w:val="000000" w:themeColor="text1"/>
                <w:sz w:val="24"/>
                <w:szCs w:val="24"/>
                <w14:textFill>
                  <w14:solidFill>
                    <w14:schemeClr w14:val="tx1"/>
                  </w14:solidFill>
                </w14:textFill>
              </w:rPr>
              <w:t>监测时间为</w:t>
            </w:r>
            <w:r>
              <w:rPr>
                <w:rFonts w:eastAsia="宋体"/>
                <w:color w:val="000000" w:themeColor="text1"/>
                <w:sz w:val="24"/>
                <w14:textFill>
                  <w14:solidFill>
                    <w14:schemeClr w14:val="tx1"/>
                  </w14:solidFill>
                </w14:textFill>
              </w:rPr>
              <w:t>201</w:t>
            </w:r>
            <w:r>
              <w:rPr>
                <w:rFonts w:hint="eastAsia" w:eastAsia="宋体"/>
                <w:color w:val="000000" w:themeColor="text1"/>
                <w:sz w:val="24"/>
                <w14:textFill>
                  <w14:solidFill>
                    <w14:schemeClr w14:val="tx1"/>
                  </w14:solidFill>
                </w14:textFill>
              </w:rPr>
              <w:t>9</w:t>
            </w:r>
            <w:r>
              <w:rPr>
                <w:rFonts w:eastAsia="宋体"/>
                <w:color w:val="000000" w:themeColor="text1"/>
                <w:sz w:val="24"/>
                <w14:textFill>
                  <w14:solidFill>
                    <w14:schemeClr w14:val="tx1"/>
                  </w14:solidFill>
                </w14:textFill>
              </w:rPr>
              <w:t>年</w:t>
            </w:r>
            <w:r>
              <w:rPr>
                <w:rFonts w:hint="eastAsia" w:eastAsia="宋体"/>
                <w:color w:val="000000" w:themeColor="text1"/>
                <w:sz w:val="24"/>
                <w14:textFill>
                  <w14:solidFill>
                    <w14:schemeClr w14:val="tx1"/>
                  </w14:solidFill>
                </w14:textFill>
              </w:rPr>
              <w:t>8月18-24日</w:t>
            </w:r>
            <w:r>
              <w:rPr>
                <w:rFonts w:hint="eastAsia" w:eastAsia="宋体"/>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每日采样</w:t>
            </w:r>
            <w:r>
              <w:rPr>
                <w:rFonts w:hint="eastAsia" w:eastAsia="宋体"/>
                <w:color w:val="000000" w:themeColor="text1"/>
                <w:sz w:val="24"/>
                <w:szCs w:val="24"/>
                <w14:textFill>
                  <w14:solidFill>
                    <w14:schemeClr w14:val="tx1"/>
                  </w14:solidFill>
                </w14:textFill>
              </w:rPr>
              <w:t>4次</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每次</w:t>
            </w:r>
            <w:r>
              <w:rPr>
                <w:rFonts w:eastAsia="宋体"/>
                <w:color w:val="000000" w:themeColor="text1"/>
                <w:sz w:val="24"/>
                <w:szCs w:val="24"/>
                <w14:textFill>
                  <w14:solidFill>
                    <w14:schemeClr w14:val="tx1"/>
                  </w14:solidFill>
                </w14:textFill>
              </w:rPr>
              <w:t>连</w:t>
            </w:r>
            <w:r>
              <w:rPr>
                <w:rFonts w:hint="eastAsia" w:eastAsia="宋体"/>
                <w:color w:val="000000" w:themeColor="text1"/>
                <w:sz w:val="24"/>
                <w:szCs w:val="24"/>
                <w14:textFill>
                  <w14:solidFill>
                    <w14:schemeClr w14:val="tx1"/>
                  </w14:solidFill>
                </w14:textFill>
              </w:rPr>
              <w:t>续采样时间1h。</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（4）</w:t>
            </w:r>
            <w:r>
              <w:rPr>
                <w:rFonts w:eastAsia="宋体"/>
                <w:color w:val="000000" w:themeColor="text1"/>
                <w:sz w:val="24"/>
                <w:szCs w:val="24"/>
                <w14:textFill>
                  <w14:solidFill>
                    <w14:schemeClr w14:val="tx1"/>
                  </w14:solidFill>
                </w14:textFill>
              </w:rPr>
              <w:t>分析方法</w:t>
            </w:r>
          </w:p>
          <w:p>
            <w:pPr>
              <w:adjustRightIn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监测分析方法均按国家有关标准、规定执行，具体见</w:t>
            </w:r>
            <w:r>
              <w:rPr>
                <w:rFonts w:hint="eastAsia" w:eastAsia="宋体"/>
                <w:color w:val="000000" w:themeColor="text1"/>
                <w:sz w:val="24"/>
                <w:szCs w:val="24"/>
                <w14:textFill>
                  <w14:solidFill>
                    <w14:schemeClr w14:val="tx1"/>
                  </w14:solidFill>
                </w14:textFill>
              </w:rPr>
              <w:t>下表</w:t>
            </w:r>
            <w:r>
              <w:rPr>
                <w:rFonts w:eastAsia="宋体"/>
                <w:color w:val="000000" w:themeColor="text1"/>
                <w:sz w:val="24"/>
                <w:szCs w:val="24"/>
                <w14:textFill>
                  <w14:solidFill>
                    <w14:schemeClr w14:val="tx1"/>
                  </w14:solidFill>
                </w14:textFill>
              </w:rPr>
              <w:t>。</w:t>
            </w:r>
          </w:p>
          <w:p>
            <w:pPr>
              <w:autoSpaceDE w:val="0"/>
              <w:autoSpaceDN w:val="0"/>
              <w:adjustRightInd w:val="0"/>
              <w:snapToGrid w:val="0"/>
              <w:spacing w:before="156" w:beforeLines="50"/>
              <w:jc w:val="center"/>
              <w:rPr>
                <w:rFonts w:eastAsia="宋体"/>
                <w:b/>
                <w:bCs/>
                <w:color w:val="000000" w:themeColor="text1"/>
                <w:sz w:val="21"/>
                <w:szCs w:val="24"/>
                <w14:textFill>
                  <w14:solidFill>
                    <w14:schemeClr w14:val="tx1"/>
                  </w14:solidFill>
                </w14:textFill>
              </w:rPr>
            </w:pPr>
            <w:r>
              <w:rPr>
                <w:rFonts w:eastAsia="宋体"/>
                <w:b/>
                <w:bCs/>
                <w:color w:val="000000" w:themeColor="text1"/>
                <w:sz w:val="21"/>
                <w:szCs w:val="24"/>
                <w14:textFill>
                  <w14:solidFill>
                    <w14:schemeClr w14:val="tx1"/>
                  </w14:solidFill>
                </w14:textFill>
              </w:rPr>
              <w:t>表</w:t>
            </w:r>
            <w:r>
              <w:rPr>
                <w:rFonts w:hint="eastAsia" w:eastAsia="宋体"/>
                <w:b/>
                <w:bCs/>
                <w:color w:val="000000" w:themeColor="text1"/>
                <w:sz w:val="21"/>
                <w:szCs w:val="24"/>
                <w:lang w:val="en-US" w:eastAsia="zh-CN"/>
                <w14:textFill>
                  <w14:solidFill>
                    <w14:schemeClr w14:val="tx1"/>
                  </w14:solidFill>
                </w14:textFill>
              </w:rPr>
              <w:t xml:space="preserve">9   </w:t>
            </w:r>
            <w:r>
              <w:rPr>
                <w:rFonts w:eastAsia="宋体"/>
                <w:b/>
                <w:bCs/>
                <w:color w:val="000000" w:themeColor="text1"/>
                <w:sz w:val="21"/>
                <w:szCs w:val="24"/>
                <w14:textFill>
                  <w14:solidFill>
                    <w14:schemeClr w14:val="tx1"/>
                  </w14:solidFill>
                </w14:textFill>
              </w:rPr>
              <w:t xml:space="preserve"> 环境空气</w:t>
            </w:r>
            <w:r>
              <w:rPr>
                <w:rFonts w:hint="eastAsia" w:eastAsia="宋体"/>
                <w:b/>
                <w:bCs/>
                <w:color w:val="000000" w:themeColor="text1"/>
                <w:sz w:val="21"/>
                <w:szCs w:val="24"/>
                <w14:textFill>
                  <w14:solidFill>
                    <w14:schemeClr w14:val="tx1"/>
                  </w14:solidFill>
                </w14:textFill>
              </w:rPr>
              <w:t>监测</w:t>
            </w:r>
            <w:r>
              <w:rPr>
                <w:rFonts w:eastAsia="宋体"/>
                <w:b/>
                <w:bCs/>
                <w:color w:val="000000" w:themeColor="text1"/>
                <w:sz w:val="21"/>
                <w:szCs w:val="24"/>
                <w14:textFill>
                  <w14:solidFill>
                    <w14:schemeClr w14:val="tx1"/>
                  </w14:solidFill>
                </w14:textFill>
              </w:rPr>
              <w:t>分析方法</w:t>
            </w:r>
          </w:p>
          <w:tbl>
            <w:tblPr>
              <w:tblStyle w:val="32"/>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3182"/>
              <w:gridCol w:w="192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09" w:type="dxa"/>
                  <w:tcBorders>
                    <w:top w:val="single" w:color="auto" w:sz="12" w:space="0"/>
                    <w:left w:val="nil"/>
                  </w:tcBorders>
                  <w:vAlign w:val="center"/>
                </w:tcPr>
                <w:p>
                  <w:pPr>
                    <w:widowControl/>
                    <w:adjustRightInd w:val="0"/>
                    <w:snapToGrid w:val="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序号</w:t>
                  </w:r>
                </w:p>
              </w:tc>
              <w:tc>
                <w:tcPr>
                  <w:tcW w:w="1134" w:type="dxa"/>
                  <w:tcBorders>
                    <w:top w:val="single" w:color="auto" w:sz="12" w:space="0"/>
                  </w:tcBorders>
                  <w:vAlign w:val="center"/>
                </w:tcPr>
                <w:p>
                  <w:pPr>
                    <w:widowControl/>
                    <w:adjustRightInd w:val="0"/>
                    <w:snapToGrid w:val="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监测项目</w:t>
                  </w:r>
                </w:p>
              </w:tc>
              <w:tc>
                <w:tcPr>
                  <w:tcW w:w="3182" w:type="dxa"/>
                  <w:tcBorders>
                    <w:top w:val="single" w:color="auto" w:sz="12" w:space="0"/>
                  </w:tcBorders>
                  <w:vAlign w:val="center"/>
                </w:tcPr>
                <w:p>
                  <w:pPr>
                    <w:widowControl/>
                    <w:adjustRightInd w:val="0"/>
                    <w:snapToGrid w:val="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分析方法</w:t>
                  </w:r>
                </w:p>
              </w:tc>
              <w:tc>
                <w:tcPr>
                  <w:tcW w:w="1921" w:type="dxa"/>
                  <w:tcBorders>
                    <w:top w:val="single" w:color="auto" w:sz="12" w:space="0"/>
                  </w:tcBorders>
                  <w:vAlign w:val="center"/>
                </w:tcPr>
                <w:p>
                  <w:pPr>
                    <w:widowControl/>
                    <w:adjustRightInd w:val="0"/>
                    <w:snapToGrid w:val="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分析方法检出限</w:t>
                  </w:r>
                </w:p>
              </w:tc>
              <w:tc>
                <w:tcPr>
                  <w:tcW w:w="2126" w:type="dxa"/>
                  <w:tcBorders>
                    <w:top w:val="single" w:color="auto" w:sz="12" w:space="0"/>
                    <w:right w:val="nil"/>
                  </w:tcBorders>
                  <w:vAlign w:val="center"/>
                </w:tcPr>
                <w:p>
                  <w:pPr>
                    <w:widowControl/>
                    <w:adjustRightInd w:val="0"/>
                    <w:snapToGrid w:val="0"/>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09" w:type="dxa"/>
                  <w:tcBorders>
                    <w:left w:val="nil"/>
                  </w:tcBorders>
                  <w:vAlign w:val="center"/>
                </w:tcPr>
                <w:p>
                  <w:pPr>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p>
              </w:tc>
              <w:tc>
                <w:tcPr>
                  <w:tcW w:w="1134" w:type="dxa"/>
                  <w:vAlign w:val="center"/>
                </w:tcPr>
                <w:p>
                  <w:pPr>
                    <w:tabs>
                      <w:tab w:val="right" w:leader="dot" w:pos="8296"/>
                    </w:tabs>
                    <w:jc w:val="center"/>
                    <w:textAlignment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H</w:t>
                  </w:r>
                  <w:r>
                    <w:rPr>
                      <w:rFonts w:eastAsia="宋体"/>
                      <w:bCs/>
                      <w:color w:val="000000" w:themeColor="text1"/>
                      <w:sz w:val="21"/>
                      <w:szCs w:val="21"/>
                      <w:vertAlign w:val="subscript"/>
                      <w14:textFill>
                        <w14:solidFill>
                          <w14:schemeClr w14:val="tx1"/>
                        </w14:solidFill>
                      </w14:textFill>
                    </w:rPr>
                    <w:t>2</w:t>
                  </w:r>
                  <w:r>
                    <w:rPr>
                      <w:rFonts w:eastAsia="宋体"/>
                      <w:bCs/>
                      <w:color w:val="000000" w:themeColor="text1"/>
                      <w:sz w:val="21"/>
                      <w:szCs w:val="21"/>
                      <w14:textFill>
                        <w14:solidFill>
                          <w14:schemeClr w14:val="tx1"/>
                        </w14:solidFill>
                      </w14:textFill>
                    </w:rPr>
                    <w:t>S</w:t>
                  </w:r>
                </w:p>
              </w:tc>
              <w:tc>
                <w:tcPr>
                  <w:tcW w:w="3182" w:type="dxa"/>
                  <w:vAlign w:val="center"/>
                </w:tcPr>
                <w:p>
                  <w:pPr>
                    <w:tabs>
                      <w:tab w:val="right" w:leader="dot" w:pos="8296"/>
                    </w:tabs>
                    <w:jc w:val="center"/>
                    <w:textAlignment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亚甲蓝分光光度法</w:t>
                  </w:r>
                </w:p>
              </w:tc>
              <w:tc>
                <w:tcPr>
                  <w:tcW w:w="1921" w:type="dxa"/>
                  <w:vAlign w:val="center"/>
                </w:tcPr>
                <w:p>
                  <w:pPr>
                    <w:tabs>
                      <w:tab w:val="right" w:leader="dot" w:pos="8296"/>
                    </w:tabs>
                    <w:ind w:firstLine="199" w:firstLineChars="95"/>
                    <w:jc w:val="center"/>
                    <w:textAlignment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0.003 mg/m</w:t>
                  </w:r>
                  <w:r>
                    <w:rPr>
                      <w:rFonts w:eastAsia="宋体"/>
                      <w:bCs/>
                      <w:color w:val="000000" w:themeColor="text1"/>
                      <w:sz w:val="21"/>
                      <w:szCs w:val="21"/>
                      <w:vertAlign w:val="superscript"/>
                      <w14:textFill>
                        <w14:solidFill>
                          <w14:schemeClr w14:val="tx1"/>
                        </w14:solidFill>
                      </w14:textFill>
                    </w:rPr>
                    <w:t>3</w:t>
                  </w:r>
                </w:p>
              </w:tc>
              <w:tc>
                <w:tcPr>
                  <w:tcW w:w="2126" w:type="dxa"/>
                  <w:tcBorders>
                    <w:right w:val="nil"/>
                  </w:tcBorders>
                  <w:vAlign w:val="center"/>
                </w:tcPr>
                <w:p>
                  <w:pPr>
                    <w:tabs>
                      <w:tab w:val="right" w:leader="dot" w:pos="8296"/>
                    </w:tabs>
                    <w:jc w:val="center"/>
                    <w:textAlignment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GB11742-89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09" w:type="dxa"/>
                  <w:tcBorders>
                    <w:left w:val="nil"/>
                  </w:tcBorders>
                  <w:vAlign w:val="center"/>
                </w:tcPr>
                <w:p>
                  <w:pPr>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2</w:t>
                  </w:r>
                </w:p>
              </w:tc>
              <w:tc>
                <w:tcPr>
                  <w:tcW w:w="1134" w:type="dxa"/>
                  <w:vAlign w:val="center"/>
                </w:tcPr>
                <w:p>
                  <w:pPr>
                    <w:tabs>
                      <w:tab w:val="right" w:leader="dot" w:pos="8296"/>
                    </w:tabs>
                    <w:jc w:val="center"/>
                    <w:textAlignment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NH</w:t>
                  </w:r>
                  <w:r>
                    <w:rPr>
                      <w:rFonts w:eastAsia="宋体"/>
                      <w:bCs/>
                      <w:color w:val="000000" w:themeColor="text1"/>
                      <w:sz w:val="21"/>
                      <w:szCs w:val="21"/>
                      <w:vertAlign w:val="subscript"/>
                      <w14:textFill>
                        <w14:solidFill>
                          <w14:schemeClr w14:val="tx1"/>
                        </w14:solidFill>
                      </w14:textFill>
                    </w:rPr>
                    <w:t>3</w:t>
                  </w:r>
                </w:p>
              </w:tc>
              <w:tc>
                <w:tcPr>
                  <w:tcW w:w="3182" w:type="dxa"/>
                  <w:vAlign w:val="center"/>
                </w:tcPr>
                <w:p>
                  <w:pPr>
                    <w:autoSpaceDE w:val="0"/>
                    <w:autoSpaceDN w:val="0"/>
                    <w:jc w:val="center"/>
                    <w:textAlignment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纳氏试剂分光光度法</w:t>
                  </w:r>
                </w:p>
              </w:tc>
              <w:tc>
                <w:tcPr>
                  <w:tcW w:w="1921" w:type="dxa"/>
                  <w:vAlign w:val="center"/>
                </w:tcPr>
                <w:p>
                  <w:pPr>
                    <w:ind w:firstLine="199" w:firstLineChars="95"/>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0.01 mg/m</w:t>
                  </w:r>
                  <w:r>
                    <w:rPr>
                      <w:rFonts w:eastAsia="宋体"/>
                      <w:bCs/>
                      <w:color w:val="000000" w:themeColor="text1"/>
                      <w:sz w:val="21"/>
                      <w:szCs w:val="21"/>
                      <w:vertAlign w:val="superscript"/>
                      <w14:textFill>
                        <w14:solidFill>
                          <w14:schemeClr w14:val="tx1"/>
                        </w14:solidFill>
                      </w14:textFill>
                    </w:rPr>
                    <w:t>3</w:t>
                  </w:r>
                </w:p>
              </w:tc>
              <w:tc>
                <w:tcPr>
                  <w:tcW w:w="2126" w:type="dxa"/>
                  <w:tcBorders>
                    <w:right w:val="nil"/>
                  </w:tcBorders>
                  <w:vAlign w:val="center"/>
                </w:tcPr>
                <w:p>
                  <w:pPr>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HJ533-2009</w:t>
                  </w:r>
                </w:p>
              </w:tc>
            </w:tr>
          </w:tbl>
          <w:p>
            <w:pPr>
              <w:adjustRightInd w:val="0"/>
              <w:snapToGrid w:val="0"/>
              <w:spacing w:line="560" w:lineRule="exact"/>
              <w:ind w:firstLine="480" w:firstLineChars="2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5</w:t>
            </w:r>
            <w:r>
              <w:rPr>
                <w:rFonts w:eastAsia="宋体"/>
                <w:color w:val="000000" w:themeColor="text1"/>
                <w:sz w:val="24"/>
                <w14:textFill>
                  <w14:solidFill>
                    <w14:schemeClr w14:val="tx1"/>
                  </w14:solidFill>
                </w14:textFill>
              </w:rPr>
              <w:t>）评价方法</w:t>
            </w:r>
          </w:p>
          <w:p>
            <w:pPr>
              <w:adjustRightInd w:val="0"/>
              <w:snapToGrid w:val="0"/>
              <w:spacing w:line="560" w:lineRule="exact"/>
              <w:ind w:firstLine="480" w:firstLineChars="2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评价方法采用最大质量浓度占相应标准质量浓度限值的百分比</w:t>
            </w:r>
            <w:r>
              <w:rPr>
                <w:rFonts w:hint="eastAsia" w:eastAsia="宋体"/>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及超标率对监测结果进行评价分析。计算公式如下：</w:t>
            </w:r>
          </w:p>
          <w:p>
            <w:pPr>
              <w:spacing w:line="560" w:lineRule="exact"/>
              <w:ind w:firstLine="3120" w:firstLineChars="13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P</w:t>
            </w:r>
            <w:r>
              <w:rPr>
                <w:rFonts w:eastAsia="宋体"/>
                <w:color w:val="000000" w:themeColor="text1"/>
                <w:sz w:val="24"/>
                <w:vertAlign w:val="subscript"/>
                <w14:textFill>
                  <w14:solidFill>
                    <w14:schemeClr w14:val="tx1"/>
                  </w14:solidFill>
                </w14:textFill>
              </w:rPr>
              <w:t>i</w:t>
            </w:r>
            <w:r>
              <w:rPr>
                <w:rFonts w:eastAsia="宋体"/>
                <w:color w:val="000000" w:themeColor="text1"/>
                <w:sz w:val="24"/>
                <w14:textFill>
                  <w14:solidFill>
                    <w14:schemeClr w14:val="tx1"/>
                  </w14:solidFill>
                </w14:textFill>
              </w:rPr>
              <w:t>=C</w:t>
            </w:r>
            <w:r>
              <w:rPr>
                <w:rFonts w:eastAsia="宋体"/>
                <w:color w:val="000000" w:themeColor="text1"/>
                <w:sz w:val="24"/>
                <w:vertAlign w:val="subscript"/>
                <w14:textFill>
                  <w14:solidFill>
                    <w14:schemeClr w14:val="tx1"/>
                  </w14:solidFill>
                </w14:textFill>
              </w:rPr>
              <w:t>i</w:t>
            </w:r>
            <w:r>
              <w:rPr>
                <w:rFonts w:eastAsia="宋体"/>
                <w:color w:val="000000" w:themeColor="text1"/>
                <w:sz w:val="24"/>
                <w14:textFill>
                  <w14:solidFill>
                    <w14:schemeClr w14:val="tx1"/>
                  </w14:solidFill>
                </w14:textFill>
              </w:rPr>
              <w:t>/C</w:t>
            </w:r>
            <w:r>
              <w:rPr>
                <w:rFonts w:eastAsia="宋体"/>
                <w:color w:val="000000" w:themeColor="text1"/>
                <w:sz w:val="24"/>
                <w:vertAlign w:val="subscript"/>
                <w14:textFill>
                  <w14:solidFill>
                    <w14:schemeClr w14:val="tx1"/>
                  </w14:solidFill>
                </w14:textFill>
              </w:rPr>
              <w:t>oi</w:t>
            </w:r>
            <w:r>
              <w:rPr>
                <w:rFonts w:eastAsia="宋体"/>
                <w:color w:val="000000" w:themeColor="text1"/>
                <w:sz w:val="24"/>
                <w14:textFill>
                  <w14:solidFill>
                    <w14:schemeClr w14:val="tx1"/>
                  </w14:solidFill>
                </w14:textFill>
              </w:rPr>
              <w:t>×100%</w:t>
            </w:r>
          </w:p>
          <w:p>
            <w:pPr>
              <w:spacing w:line="560" w:lineRule="exact"/>
              <w:ind w:firstLine="480" w:firstLineChars="2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式中：P</w:t>
            </w:r>
            <w:r>
              <w:rPr>
                <w:rFonts w:eastAsia="宋体"/>
                <w:color w:val="000000" w:themeColor="text1"/>
                <w:sz w:val="24"/>
                <w:vertAlign w:val="subscript"/>
                <w14:textFill>
                  <w14:solidFill>
                    <w14:schemeClr w14:val="tx1"/>
                  </w14:solidFill>
                </w14:textFill>
              </w:rPr>
              <w:t>i</w:t>
            </w:r>
            <w:r>
              <w:rPr>
                <w:rFonts w:eastAsia="宋体"/>
                <w:color w:val="000000" w:themeColor="text1"/>
                <w:sz w:val="24"/>
                <w14:textFill>
                  <w14:solidFill>
                    <w14:schemeClr w14:val="tx1"/>
                  </w14:solidFill>
                </w14:textFill>
              </w:rPr>
              <w:t>—某种污染物的最大地面质量浓度占标率，%；</w:t>
            </w:r>
          </w:p>
          <w:p>
            <w:pPr>
              <w:spacing w:line="560" w:lineRule="exact"/>
              <w:ind w:firstLine="1200" w:firstLineChars="5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C</w:t>
            </w:r>
            <w:r>
              <w:rPr>
                <w:rFonts w:eastAsia="宋体"/>
                <w:color w:val="000000" w:themeColor="text1"/>
                <w:sz w:val="24"/>
                <w:vertAlign w:val="subscript"/>
                <w14:textFill>
                  <w14:solidFill>
                    <w14:schemeClr w14:val="tx1"/>
                  </w14:solidFill>
                </w14:textFill>
              </w:rPr>
              <w:t>i</w:t>
            </w:r>
            <w:r>
              <w:rPr>
                <w:rFonts w:eastAsia="宋体"/>
                <w:color w:val="000000" w:themeColor="text1"/>
                <w:sz w:val="24"/>
                <w14:textFill>
                  <w14:solidFill>
                    <w14:schemeClr w14:val="tx1"/>
                  </w14:solidFill>
                </w14:textFill>
              </w:rPr>
              <w:t>—某种污染物的实际监测浓度，mg/m</w:t>
            </w:r>
            <w:r>
              <w:rPr>
                <w:rFonts w:eastAsia="宋体"/>
                <w:color w:val="000000" w:themeColor="text1"/>
                <w:sz w:val="24"/>
                <w:vertAlign w:val="superscript"/>
                <w14:textFill>
                  <w14:solidFill>
                    <w14:schemeClr w14:val="tx1"/>
                  </w14:solidFill>
                </w14:textFill>
              </w:rPr>
              <w:t>3</w:t>
            </w:r>
            <w:r>
              <w:rPr>
                <w:rFonts w:eastAsia="宋体"/>
                <w:color w:val="000000" w:themeColor="text1"/>
                <w:sz w:val="24"/>
                <w14:textFill>
                  <w14:solidFill>
                    <w14:schemeClr w14:val="tx1"/>
                  </w14:solidFill>
                </w14:textFill>
              </w:rPr>
              <w:t>；</w:t>
            </w:r>
          </w:p>
          <w:p>
            <w:pPr>
              <w:spacing w:line="560" w:lineRule="exact"/>
              <w:ind w:firstLine="1200" w:firstLineChars="5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C</w:t>
            </w:r>
            <w:r>
              <w:rPr>
                <w:rFonts w:eastAsia="宋体"/>
                <w:color w:val="000000" w:themeColor="text1"/>
                <w:sz w:val="24"/>
                <w:vertAlign w:val="subscript"/>
                <w14:textFill>
                  <w14:solidFill>
                    <w14:schemeClr w14:val="tx1"/>
                  </w14:solidFill>
                </w14:textFill>
              </w:rPr>
              <w:t>oi</w:t>
            </w:r>
            <w:r>
              <w:rPr>
                <w:rFonts w:eastAsia="宋体"/>
                <w:color w:val="000000" w:themeColor="text1"/>
                <w:sz w:val="24"/>
                <w14:textFill>
                  <w14:solidFill>
                    <w14:schemeClr w14:val="tx1"/>
                  </w14:solidFill>
                </w14:textFill>
              </w:rPr>
              <w:t>—某种污染物的环境空气标准浓度，mg/m</w:t>
            </w:r>
            <w:r>
              <w:rPr>
                <w:rFonts w:eastAsia="宋体"/>
                <w:color w:val="000000" w:themeColor="text1"/>
                <w:sz w:val="24"/>
                <w:vertAlign w:val="superscript"/>
                <w14:textFill>
                  <w14:solidFill>
                    <w14:schemeClr w14:val="tx1"/>
                  </w14:solidFill>
                </w14:textFill>
              </w:rPr>
              <w:t>3</w:t>
            </w:r>
            <w:r>
              <w:rPr>
                <w:rFonts w:eastAsia="宋体"/>
                <w:color w:val="000000" w:themeColor="text1"/>
                <w:sz w:val="24"/>
                <w14:textFill>
                  <w14:solidFill>
                    <w14:schemeClr w14:val="tx1"/>
                  </w14:solidFill>
                </w14:textFill>
              </w:rPr>
              <w:t>。</w:t>
            </w:r>
          </w:p>
          <w:p>
            <w:pPr>
              <w:adjustRightInd w:val="0"/>
              <w:snapToGrid w:val="0"/>
              <w:spacing w:line="560" w:lineRule="exact"/>
              <w:ind w:firstLine="480" w:firstLineChars="2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6</w:t>
            </w:r>
            <w:r>
              <w:rPr>
                <w:rFonts w:eastAsia="宋体"/>
                <w:color w:val="000000" w:themeColor="text1"/>
                <w:sz w:val="24"/>
                <w14:textFill>
                  <w14:solidFill>
                    <w14:schemeClr w14:val="tx1"/>
                  </w14:solidFill>
                </w14:textFill>
              </w:rPr>
              <w:t>）监测结果及评价</w:t>
            </w:r>
          </w:p>
          <w:p>
            <w:pPr>
              <w:adjustRightInd w:val="0"/>
              <w:snapToGrid w:val="0"/>
              <w:spacing w:line="560" w:lineRule="exact"/>
              <w:ind w:firstLine="480" w:firstLineChars="2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本次监测结果及分析评价见</w:t>
            </w:r>
            <w:r>
              <w:rPr>
                <w:rFonts w:hint="eastAsia" w:eastAsia="宋体"/>
                <w:color w:val="000000" w:themeColor="text1"/>
                <w:sz w:val="24"/>
                <w14:textFill>
                  <w14:solidFill>
                    <w14:schemeClr w14:val="tx1"/>
                  </w14:solidFill>
                </w14:textFill>
              </w:rPr>
              <w:t>下表</w:t>
            </w:r>
            <w:r>
              <w:rPr>
                <w:rFonts w:eastAsia="宋体"/>
                <w:color w:val="000000" w:themeColor="text1"/>
                <w:sz w:val="24"/>
                <w14:textFill>
                  <w14:solidFill>
                    <w14:schemeClr w14:val="tx1"/>
                  </w14:solidFill>
                </w14:textFill>
              </w:rPr>
              <w:t>。</w:t>
            </w:r>
          </w:p>
          <w:p>
            <w:pPr>
              <w:pStyle w:val="158"/>
              <w:spacing w:before="156" w:beforeLines="50" w:line="240" w:lineRule="auto"/>
              <w:ind w:firstLine="0" w:firstLineChars="0"/>
              <w:jc w:val="center"/>
              <w:rPr>
                <w:rFonts w:ascii="Times New Roman" w:hAnsi="Times New Roman" w:eastAsia="宋体"/>
                <w:b/>
                <w:color w:val="000000" w:themeColor="text1"/>
                <w:sz w:val="21"/>
                <w14:textFill>
                  <w14:solidFill>
                    <w14:schemeClr w14:val="tx1"/>
                  </w14:solidFill>
                </w14:textFill>
              </w:rPr>
            </w:pPr>
            <w:bookmarkStart w:id="0" w:name="OLE_LINK1"/>
            <w:bookmarkStart w:id="1" w:name="OLE_LINK2"/>
            <w:r>
              <w:rPr>
                <w:rFonts w:ascii="Times New Roman" w:hAnsi="Times New Roman" w:eastAsia="宋体"/>
                <w:b/>
                <w:color w:val="000000" w:themeColor="text1"/>
                <w:sz w:val="21"/>
                <w14:textFill>
                  <w14:solidFill>
                    <w14:schemeClr w14:val="tx1"/>
                  </w14:solidFill>
                </w14:textFill>
              </w:rPr>
              <w:t>表</w:t>
            </w:r>
            <w:r>
              <w:rPr>
                <w:rFonts w:hint="eastAsia" w:ascii="Times New Roman" w:hAnsi="Times New Roman" w:eastAsia="宋体"/>
                <w:b/>
                <w:color w:val="000000" w:themeColor="text1"/>
                <w:sz w:val="21"/>
                <w:lang w:val="en-US" w:eastAsia="zh-CN"/>
                <w14:textFill>
                  <w14:solidFill>
                    <w14:schemeClr w14:val="tx1"/>
                  </w14:solidFill>
                </w14:textFill>
              </w:rPr>
              <w:t>10</w:t>
            </w:r>
            <w:r>
              <w:rPr>
                <w:rFonts w:hint="eastAsia" w:ascii="Times New Roman" w:hAnsi="Times New Roman" w:eastAsia="宋体"/>
                <w:b/>
                <w:color w:val="000000" w:themeColor="text1"/>
                <w:sz w:val="21"/>
                <w14:textFill>
                  <w14:solidFill>
                    <w14:schemeClr w14:val="tx1"/>
                  </w14:solidFill>
                </w14:textFill>
              </w:rPr>
              <w:t xml:space="preserve">  </w:t>
            </w:r>
            <w:r>
              <w:rPr>
                <w:rFonts w:hint="eastAsia" w:ascii="Times New Roman" w:hAnsi="Times New Roman" w:eastAsia="宋体"/>
                <w:b/>
                <w:bCs/>
                <w:color w:val="000000" w:themeColor="text1"/>
                <w:sz w:val="21"/>
                <w14:textFill>
                  <w14:solidFill>
                    <w14:schemeClr w14:val="tx1"/>
                  </w14:solidFill>
                </w14:textFill>
              </w:rPr>
              <w:t>环境空气常规因子现状监测及评价结果</w:t>
            </w:r>
            <w:r>
              <w:rPr>
                <w:rFonts w:hint="eastAsia" w:ascii="Times New Roman" w:hAnsi="Times New Roman" w:eastAsia="宋体"/>
                <w:b/>
                <w:color w:val="000000" w:themeColor="text1"/>
                <w:sz w:val="21"/>
                <w14:textFill>
                  <w14:solidFill>
                    <w14:schemeClr w14:val="tx1"/>
                  </w14:solidFill>
                </w14:textFill>
              </w:rPr>
              <w:t xml:space="preserve">  </w:t>
            </w:r>
            <w:r>
              <w:rPr>
                <w:rFonts w:ascii="Times New Roman" w:hAnsi="Times New Roman" w:eastAsia="宋体"/>
                <w:b/>
                <w:color w:val="000000" w:themeColor="text1"/>
                <w:sz w:val="21"/>
                <w14:textFill>
                  <w14:solidFill>
                    <w14:schemeClr w14:val="tx1"/>
                  </w14:solidFill>
                </w14:textFill>
              </w:rPr>
              <w:t>单位：mg/m</w:t>
            </w:r>
            <w:r>
              <w:rPr>
                <w:rFonts w:ascii="Times New Roman" w:hAnsi="Times New Roman" w:eastAsia="宋体"/>
                <w:b/>
                <w:color w:val="000000" w:themeColor="text1"/>
                <w:sz w:val="21"/>
                <w:vertAlign w:val="superscript"/>
                <w14:textFill>
                  <w14:solidFill>
                    <w14:schemeClr w14:val="tx1"/>
                  </w14:solidFill>
                </w14:textFill>
              </w:rPr>
              <w:t>3</w:t>
            </w:r>
            <w:bookmarkEnd w:id="0"/>
            <w:bookmarkEnd w:id="1"/>
          </w:p>
          <w:tbl>
            <w:tblPr>
              <w:tblStyle w:val="32"/>
              <w:tblW w:w="907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3"/>
              <w:gridCol w:w="884"/>
              <w:gridCol w:w="2553"/>
              <w:gridCol w:w="1277"/>
              <w:gridCol w:w="1136"/>
              <w:gridCol w:w="1277"/>
              <w:gridCol w:w="12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17" w:hRule="atLeast"/>
                <w:jc w:val="center"/>
              </w:trPr>
              <w:tc>
                <w:tcPr>
                  <w:tcW w:w="673"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序号</w:t>
                  </w:r>
                </w:p>
              </w:tc>
              <w:tc>
                <w:tcPr>
                  <w:tcW w:w="884"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项目</w:t>
                  </w:r>
                </w:p>
              </w:tc>
              <w:tc>
                <w:tcPr>
                  <w:tcW w:w="2553"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平均时间</w:t>
                  </w:r>
                </w:p>
              </w:tc>
              <w:tc>
                <w:tcPr>
                  <w:tcW w:w="127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标准值</w:t>
                  </w:r>
                </w:p>
              </w:tc>
              <w:tc>
                <w:tcPr>
                  <w:tcW w:w="1136"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监测值</w:t>
                  </w:r>
                </w:p>
              </w:tc>
              <w:tc>
                <w:tcPr>
                  <w:tcW w:w="127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占标率</w:t>
                  </w:r>
                </w:p>
              </w:tc>
              <w:tc>
                <w:tcPr>
                  <w:tcW w:w="127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5" w:hRule="atLeast"/>
                <w:jc w:val="center"/>
              </w:trPr>
              <w:tc>
                <w:tcPr>
                  <w:tcW w:w="673"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884"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SO</w:t>
                  </w:r>
                  <w:r>
                    <w:rPr>
                      <w:rFonts w:eastAsia="宋体"/>
                      <w:color w:val="000000" w:themeColor="text1"/>
                      <w:sz w:val="21"/>
                      <w:szCs w:val="21"/>
                      <w:vertAlign w:val="subscript"/>
                      <w14:textFill>
                        <w14:solidFill>
                          <w14:schemeClr w14:val="tx1"/>
                        </w14:solidFill>
                      </w14:textFill>
                    </w:rPr>
                    <w:t>2</w:t>
                  </w:r>
                </w:p>
              </w:tc>
              <w:tc>
                <w:tcPr>
                  <w:tcW w:w="2553" w:type="dxa"/>
                  <w:vAlign w:val="center"/>
                </w:tcPr>
                <w:p>
                  <w:pPr>
                    <w:jc w:val="center"/>
                    <w:rPr>
                      <w:rFonts w:eastAsia="宋体"/>
                      <w:color w:val="000000" w:themeColor="text1"/>
                      <w:sz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27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0.06</w:t>
                  </w:r>
                </w:p>
              </w:tc>
              <w:tc>
                <w:tcPr>
                  <w:tcW w:w="1136"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0.012</w:t>
                  </w:r>
                </w:p>
              </w:tc>
              <w:tc>
                <w:tcPr>
                  <w:tcW w:w="1277" w:type="dxa"/>
                  <w:vAlign w:val="bottom"/>
                </w:tcPr>
                <w:p>
                  <w:pPr>
                    <w:jc w:val="center"/>
                    <w:rPr>
                      <w:rFonts w:eastAsia="宋体" w:cs="宋体"/>
                      <w:color w:val="000000" w:themeColor="text1"/>
                      <w:sz w:val="21"/>
                      <w:szCs w:val="21"/>
                      <w14:textFill>
                        <w14:solidFill>
                          <w14:schemeClr w14:val="tx1"/>
                        </w14:solidFill>
                      </w14:textFill>
                    </w:rPr>
                  </w:pPr>
                  <w:r>
                    <w:rPr>
                      <w:rFonts w:hint="eastAsia" w:eastAsia="宋体" w:cs="宋体"/>
                      <w:color w:val="000000" w:themeColor="text1"/>
                      <w:sz w:val="21"/>
                      <w:szCs w:val="21"/>
                      <w14:textFill>
                        <w14:solidFill>
                          <w14:schemeClr w14:val="tx1"/>
                        </w14:solidFill>
                      </w14:textFill>
                    </w:rPr>
                    <w:t>20.0%</w:t>
                  </w:r>
                </w:p>
              </w:tc>
              <w:tc>
                <w:tcPr>
                  <w:tcW w:w="127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5" w:hRule="atLeast"/>
                <w:jc w:val="center"/>
              </w:trPr>
              <w:tc>
                <w:tcPr>
                  <w:tcW w:w="673"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p>
              </w:tc>
              <w:tc>
                <w:tcPr>
                  <w:tcW w:w="884"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NO</w:t>
                  </w:r>
                  <w:r>
                    <w:rPr>
                      <w:rFonts w:eastAsia="宋体"/>
                      <w:color w:val="000000" w:themeColor="text1"/>
                      <w:sz w:val="21"/>
                      <w:szCs w:val="21"/>
                      <w:vertAlign w:val="subscript"/>
                      <w14:textFill>
                        <w14:solidFill>
                          <w14:schemeClr w14:val="tx1"/>
                        </w14:solidFill>
                      </w14:textFill>
                    </w:rPr>
                    <w:t>2</w:t>
                  </w:r>
                </w:p>
              </w:tc>
              <w:tc>
                <w:tcPr>
                  <w:tcW w:w="2553" w:type="dxa"/>
                  <w:vAlign w:val="center"/>
                </w:tcPr>
                <w:p>
                  <w:pPr>
                    <w:jc w:val="center"/>
                    <w:rPr>
                      <w:rFonts w:eastAsia="宋体"/>
                      <w:color w:val="000000" w:themeColor="text1"/>
                      <w:sz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27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0.04</w:t>
                  </w:r>
                </w:p>
              </w:tc>
              <w:tc>
                <w:tcPr>
                  <w:tcW w:w="1136"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0.035</w:t>
                  </w:r>
                </w:p>
              </w:tc>
              <w:tc>
                <w:tcPr>
                  <w:tcW w:w="1277" w:type="dxa"/>
                  <w:vAlign w:val="bottom"/>
                </w:tcPr>
                <w:p>
                  <w:pPr>
                    <w:jc w:val="center"/>
                    <w:rPr>
                      <w:rFonts w:eastAsia="宋体" w:cs="宋体"/>
                      <w:color w:val="000000" w:themeColor="text1"/>
                      <w:sz w:val="21"/>
                      <w:szCs w:val="21"/>
                      <w14:textFill>
                        <w14:solidFill>
                          <w14:schemeClr w14:val="tx1"/>
                        </w14:solidFill>
                      </w14:textFill>
                    </w:rPr>
                  </w:pPr>
                  <w:r>
                    <w:rPr>
                      <w:rFonts w:hint="eastAsia" w:eastAsia="宋体" w:cs="宋体"/>
                      <w:color w:val="000000" w:themeColor="text1"/>
                      <w:sz w:val="21"/>
                      <w:szCs w:val="21"/>
                      <w14:textFill>
                        <w14:solidFill>
                          <w14:schemeClr w14:val="tx1"/>
                        </w14:solidFill>
                      </w14:textFill>
                    </w:rPr>
                    <w:t>87.5%</w:t>
                  </w:r>
                </w:p>
              </w:tc>
              <w:tc>
                <w:tcPr>
                  <w:tcW w:w="1272" w:type="dxa"/>
                  <w:vAlign w:val="center"/>
                </w:tcPr>
                <w:p>
                  <w:pPr>
                    <w:jc w:val="center"/>
                    <w:rPr>
                      <w:rFonts w:eastAsia="宋体"/>
                      <w:color w:val="000000" w:themeColor="text1"/>
                      <w:sz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5" w:hRule="atLeast"/>
                <w:jc w:val="center"/>
              </w:trPr>
              <w:tc>
                <w:tcPr>
                  <w:tcW w:w="673"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884"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PM</w:t>
                  </w:r>
                  <w:r>
                    <w:rPr>
                      <w:rFonts w:hint="eastAsia" w:eastAsia="宋体"/>
                      <w:color w:val="000000" w:themeColor="text1"/>
                      <w:sz w:val="21"/>
                      <w:szCs w:val="21"/>
                      <w:vertAlign w:val="subscript"/>
                      <w14:textFill>
                        <w14:solidFill>
                          <w14:schemeClr w14:val="tx1"/>
                        </w14:solidFill>
                      </w14:textFill>
                    </w:rPr>
                    <w:t>10</w:t>
                  </w:r>
                </w:p>
              </w:tc>
              <w:tc>
                <w:tcPr>
                  <w:tcW w:w="2553" w:type="dxa"/>
                  <w:vAlign w:val="center"/>
                </w:tcPr>
                <w:p>
                  <w:pPr>
                    <w:jc w:val="center"/>
                    <w:rPr>
                      <w:rFonts w:eastAsia="宋体"/>
                      <w:color w:val="000000" w:themeColor="text1"/>
                      <w:sz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27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0.07</w:t>
                  </w:r>
                </w:p>
              </w:tc>
              <w:tc>
                <w:tcPr>
                  <w:tcW w:w="1136"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0.094</w:t>
                  </w:r>
                </w:p>
              </w:tc>
              <w:tc>
                <w:tcPr>
                  <w:tcW w:w="1277" w:type="dxa"/>
                  <w:vAlign w:val="bottom"/>
                </w:tcPr>
                <w:p>
                  <w:pPr>
                    <w:jc w:val="center"/>
                    <w:rPr>
                      <w:rFonts w:eastAsia="宋体" w:cs="宋体"/>
                      <w:color w:val="000000" w:themeColor="text1"/>
                      <w:sz w:val="21"/>
                      <w:szCs w:val="21"/>
                      <w14:textFill>
                        <w14:solidFill>
                          <w14:schemeClr w14:val="tx1"/>
                        </w14:solidFill>
                      </w14:textFill>
                    </w:rPr>
                  </w:pPr>
                  <w:r>
                    <w:rPr>
                      <w:rFonts w:hint="eastAsia" w:eastAsia="宋体" w:cs="宋体"/>
                      <w:color w:val="000000" w:themeColor="text1"/>
                      <w:sz w:val="21"/>
                      <w:szCs w:val="21"/>
                      <w14:textFill>
                        <w14:solidFill>
                          <w14:schemeClr w14:val="tx1"/>
                        </w14:solidFill>
                      </w14:textFill>
                    </w:rPr>
                    <w:t>134.3%</w:t>
                  </w:r>
                </w:p>
              </w:tc>
              <w:tc>
                <w:tcPr>
                  <w:tcW w:w="1272" w:type="dxa"/>
                  <w:vAlign w:val="center"/>
                </w:tcPr>
                <w:p>
                  <w:pPr>
                    <w:jc w:val="center"/>
                    <w:rPr>
                      <w:rFonts w:eastAsia="宋体"/>
                      <w:color w:val="000000" w:themeColor="text1"/>
                      <w:sz w:val="21"/>
                      <w14:textFill>
                        <w14:solidFill>
                          <w14:schemeClr w14:val="tx1"/>
                        </w14:solidFill>
                      </w14:textFill>
                    </w:rPr>
                  </w:pPr>
                  <w:r>
                    <w:rPr>
                      <w:rFonts w:hint="eastAsia" w:eastAsia="宋体"/>
                      <w:color w:val="000000" w:themeColor="text1"/>
                      <w:sz w:val="21"/>
                      <w:szCs w:val="21"/>
                      <w14:textFill>
                        <w14:solidFill>
                          <w14:schemeClr w14:val="tx1"/>
                        </w14:solidFill>
                      </w14:textFill>
                    </w:rPr>
                    <w:t>不达标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5" w:hRule="atLeast"/>
                <w:jc w:val="center"/>
              </w:trPr>
              <w:tc>
                <w:tcPr>
                  <w:tcW w:w="673"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p>
              </w:tc>
              <w:tc>
                <w:tcPr>
                  <w:tcW w:w="884"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PM</w:t>
                  </w:r>
                  <w:r>
                    <w:rPr>
                      <w:rFonts w:hint="eastAsia" w:eastAsia="宋体"/>
                      <w:color w:val="000000" w:themeColor="text1"/>
                      <w:kern w:val="0"/>
                      <w:sz w:val="21"/>
                      <w:szCs w:val="21"/>
                      <w:vertAlign w:val="subscript"/>
                      <w14:textFill>
                        <w14:solidFill>
                          <w14:schemeClr w14:val="tx1"/>
                        </w14:solidFill>
                      </w14:textFill>
                    </w:rPr>
                    <w:t>2.5</w:t>
                  </w:r>
                </w:p>
              </w:tc>
              <w:tc>
                <w:tcPr>
                  <w:tcW w:w="2553" w:type="dxa"/>
                  <w:vAlign w:val="center"/>
                </w:tcPr>
                <w:p>
                  <w:pPr>
                    <w:jc w:val="center"/>
                    <w:rPr>
                      <w:rFonts w:eastAsia="宋体"/>
                      <w:color w:val="000000" w:themeColor="text1"/>
                      <w:sz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27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0.035</w:t>
                  </w:r>
                </w:p>
              </w:tc>
              <w:tc>
                <w:tcPr>
                  <w:tcW w:w="1136"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0.060</w:t>
                  </w:r>
                </w:p>
              </w:tc>
              <w:tc>
                <w:tcPr>
                  <w:tcW w:w="1277" w:type="dxa"/>
                  <w:vAlign w:val="bottom"/>
                </w:tcPr>
                <w:p>
                  <w:pPr>
                    <w:jc w:val="center"/>
                    <w:rPr>
                      <w:rFonts w:eastAsia="宋体" w:cs="宋体"/>
                      <w:color w:val="000000" w:themeColor="text1"/>
                      <w:sz w:val="21"/>
                      <w:szCs w:val="21"/>
                      <w14:textFill>
                        <w14:solidFill>
                          <w14:schemeClr w14:val="tx1"/>
                        </w14:solidFill>
                      </w14:textFill>
                    </w:rPr>
                  </w:pPr>
                  <w:r>
                    <w:rPr>
                      <w:rFonts w:hint="eastAsia" w:eastAsia="宋体" w:cs="宋体"/>
                      <w:color w:val="000000" w:themeColor="text1"/>
                      <w:sz w:val="21"/>
                      <w:szCs w:val="21"/>
                      <w14:textFill>
                        <w14:solidFill>
                          <w14:schemeClr w14:val="tx1"/>
                        </w14:solidFill>
                      </w14:textFill>
                    </w:rPr>
                    <w:t>171.4%</w:t>
                  </w:r>
                </w:p>
              </w:tc>
              <w:tc>
                <w:tcPr>
                  <w:tcW w:w="1272" w:type="dxa"/>
                  <w:vAlign w:val="center"/>
                </w:tcPr>
                <w:p>
                  <w:pPr>
                    <w:jc w:val="center"/>
                    <w:rPr>
                      <w:rFonts w:eastAsia="宋体"/>
                      <w:color w:val="000000" w:themeColor="text1"/>
                      <w:sz w:val="21"/>
                      <w14:textFill>
                        <w14:solidFill>
                          <w14:schemeClr w14:val="tx1"/>
                        </w14:solidFill>
                      </w14:textFill>
                    </w:rPr>
                  </w:pPr>
                  <w:r>
                    <w:rPr>
                      <w:rFonts w:hint="eastAsia" w:eastAsia="宋体"/>
                      <w:color w:val="000000" w:themeColor="text1"/>
                      <w:sz w:val="21"/>
                      <w:szCs w:val="21"/>
                      <w14:textFill>
                        <w14:solidFill>
                          <w14:schemeClr w14:val="tx1"/>
                        </w14:solidFill>
                      </w14:textFill>
                    </w:rPr>
                    <w:t>不达标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5" w:hRule="atLeast"/>
                <w:jc w:val="center"/>
              </w:trPr>
              <w:tc>
                <w:tcPr>
                  <w:tcW w:w="673"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p>
              </w:tc>
              <w:tc>
                <w:tcPr>
                  <w:tcW w:w="884" w:type="dxa"/>
                  <w:vAlign w:val="center"/>
                </w:tcPr>
                <w:p>
                  <w:pPr>
                    <w:adjustRightInd w:val="0"/>
                    <w:snapToGrid w:val="0"/>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CO</w:t>
                  </w:r>
                </w:p>
              </w:tc>
              <w:tc>
                <w:tcPr>
                  <w:tcW w:w="2553"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95百分位24小时平均</w:t>
                  </w:r>
                </w:p>
              </w:tc>
              <w:tc>
                <w:tcPr>
                  <w:tcW w:w="127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p>
              </w:tc>
              <w:tc>
                <w:tcPr>
                  <w:tcW w:w="1136"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2.6</w:t>
                  </w:r>
                </w:p>
              </w:tc>
              <w:tc>
                <w:tcPr>
                  <w:tcW w:w="1277" w:type="dxa"/>
                  <w:vAlign w:val="bottom"/>
                </w:tcPr>
                <w:p>
                  <w:pPr>
                    <w:jc w:val="center"/>
                    <w:rPr>
                      <w:rFonts w:eastAsia="宋体" w:cs="宋体"/>
                      <w:color w:val="000000" w:themeColor="text1"/>
                      <w:sz w:val="21"/>
                      <w:szCs w:val="21"/>
                      <w14:textFill>
                        <w14:solidFill>
                          <w14:schemeClr w14:val="tx1"/>
                        </w14:solidFill>
                      </w14:textFill>
                    </w:rPr>
                  </w:pPr>
                  <w:r>
                    <w:rPr>
                      <w:rFonts w:hint="eastAsia" w:eastAsia="宋体" w:cs="宋体"/>
                      <w:color w:val="000000" w:themeColor="text1"/>
                      <w:sz w:val="21"/>
                      <w:szCs w:val="21"/>
                      <w14:textFill>
                        <w14:solidFill>
                          <w14:schemeClr w14:val="tx1"/>
                        </w14:solidFill>
                      </w14:textFill>
                    </w:rPr>
                    <w:t>65.0%</w:t>
                  </w:r>
                </w:p>
              </w:tc>
              <w:tc>
                <w:tcPr>
                  <w:tcW w:w="1272" w:type="dxa"/>
                  <w:vAlign w:val="center"/>
                </w:tcPr>
                <w:p>
                  <w:pPr>
                    <w:jc w:val="center"/>
                    <w:rPr>
                      <w:rFonts w:eastAsia="宋体"/>
                      <w:color w:val="000000" w:themeColor="text1"/>
                      <w:sz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5" w:hRule="atLeast"/>
                <w:jc w:val="center"/>
              </w:trPr>
              <w:tc>
                <w:tcPr>
                  <w:tcW w:w="673"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w:t>
                  </w:r>
                </w:p>
              </w:tc>
              <w:tc>
                <w:tcPr>
                  <w:tcW w:w="884" w:type="dxa"/>
                  <w:vAlign w:val="center"/>
                </w:tcPr>
                <w:p>
                  <w:pPr>
                    <w:adjustRightInd w:val="0"/>
                    <w:snapToGrid w:val="0"/>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O</w:t>
                  </w:r>
                  <w:r>
                    <w:rPr>
                      <w:rFonts w:hint="eastAsia" w:eastAsia="宋体"/>
                      <w:color w:val="000000" w:themeColor="text1"/>
                      <w:kern w:val="0"/>
                      <w:sz w:val="21"/>
                      <w:szCs w:val="21"/>
                      <w:vertAlign w:val="subscript"/>
                      <w14:textFill>
                        <w14:solidFill>
                          <w14:schemeClr w14:val="tx1"/>
                        </w14:solidFill>
                      </w14:textFill>
                    </w:rPr>
                    <w:t>3</w:t>
                  </w:r>
                </w:p>
              </w:tc>
              <w:tc>
                <w:tcPr>
                  <w:tcW w:w="2553"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90百分位8小时平均</w:t>
                  </w:r>
                </w:p>
              </w:tc>
              <w:tc>
                <w:tcPr>
                  <w:tcW w:w="127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0.16</w:t>
                  </w:r>
                </w:p>
              </w:tc>
              <w:tc>
                <w:tcPr>
                  <w:tcW w:w="1136"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0.136</w:t>
                  </w:r>
                </w:p>
              </w:tc>
              <w:tc>
                <w:tcPr>
                  <w:tcW w:w="1277" w:type="dxa"/>
                  <w:vAlign w:val="bottom"/>
                </w:tcPr>
                <w:p>
                  <w:pPr>
                    <w:jc w:val="center"/>
                    <w:rPr>
                      <w:rFonts w:eastAsia="宋体" w:cs="宋体"/>
                      <w:color w:val="000000" w:themeColor="text1"/>
                      <w:sz w:val="21"/>
                      <w:szCs w:val="21"/>
                      <w14:textFill>
                        <w14:solidFill>
                          <w14:schemeClr w14:val="tx1"/>
                        </w14:solidFill>
                      </w14:textFill>
                    </w:rPr>
                  </w:pPr>
                  <w:r>
                    <w:rPr>
                      <w:rFonts w:hint="eastAsia" w:eastAsia="宋体" w:cs="宋体"/>
                      <w:color w:val="000000" w:themeColor="text1"/>
                      <w:sz w:val="21"/>
                      <w:szCs w:val="21"/>
                      <w14:textFill>
                        <w14:solidFill>
                          <w14:schemeClr w14:val="tx1"/>
                        </w14:solidFill>
                      </w14:textFill>
                    </w:rPr>
                    <w:t>85.0%</w:t>
                  </w:r>
                </w:p>
              </w:tc>
              <w:tc>
                <w:tcPr>
                  <w:tcW w:w="1272" w:type="dxa"/>
                  <w:vAlign w:val="center"/>
                </w:tcPr>
                <w:p>
                  <w:pPr>
                    <w:jc w:val="center"/>
                    <w:rPr>
                      <w:rFonts w:eastAsia="宋体"/>
                      <w:color w:val="000000" w:themeColor="text1"/>
                      <w:sz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bl>
          <w:p>
            <w:pPr>
              <w:spacing w:before="156" w:beforeLines="50"/>
              <w:jc w:val="center"/>
              <w:rPr>
                <w:rFonts w:eastAsia="宋体"/>
                <w:b/>
                <w:bCs/>
                <w:color w:val="000000" w:themeColor="text1"/>
                <w:sz w:val="21"/>
                <w:szCs w:val="24"/>
                <w14:textFill>
                  <w14:solidFill>
                    <w14:schemeClr w14:val="tx1"/>
                  </w14:solidFill>
                </w14:textFill>
              </w:rPr>
            </w:pPr>
            <w:r>
              <w:rPr>
                <w:rFonts w:hint="eastAsia" w:eastAsia="宋体"/>
                <w:b/>
                <w:bCs/>
                <w:color w:val="000000" w:themeColor="text1"/>
                <w:sz w:val="21"/>
                <w:szCs w:val="24"/>
                <w14:textFill>
                  <w14:solidFill>
                    <w14:schemeClr w14:val="tx1"/>
                  </w14:solidFill>
                </w14:textFill>
              </w:rPr>
              <w:t>表1</w:t>
            </w:r>
            <w:r>
              <w:rPr>
                <w:rFonts w:hint="eastAsia" w:eastAsia="宋体"/>
                <w:b/>
                <w:bCs/>
                <w:color w:val="000000" w:themeColor="text1"/>
                <w:sz w:val="21"/>
                <w:szCs w:val="24"/>
                <w:lang w:val="en-US" w:eastAsia="zh-CN"/>
                <w14:textFill>
                  <w14:solidFill>
                    <w14:schemeClr w14:val="tx1"/>
                  </w14:solidFill>
                </w14:textFill>
              </w:rPr>
              <w:t>1</w:t>
            </w:r>
            <w:r>
              <w:rPr>
                <w:rFonts w:hint="eastAsia" w:eastAsia="宋体"/>
                <w:b/>
                <w:bCs/>
                <w:color w:val="000000" w:themeColor="text1"/>
                <w:sz w:val="21"/>
                <w:szCs w:val="24"/>
                <w14:textFill>
                  <w14:solidFill>
                    <w14:schemeClr w14:val="tx1"/>
                  </w14:solidFill>
                </w14:textFill>
              </w:rPr>
              <w:t xml:space="preserve">   环境空气特征因子质量现状监测结果</w:t>
            </w:r>
          </w:p>
          <w:tbl>
            <w:tblPr>
              <w:tblStyle w:val="32"/>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443"/>
              <w:gridCol w:w="737"/>
              <w:gridCol w:w="3446"/>
              <w:gridCol w:w="34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blHeader/>
                <w:jc w:val="center"/>
              </w:trPr>
              <w:tc>
                <w:tcPr>
                  <w:tcW w:w="2180" w:type="dxa"/>
                  <w:gridSpan w:val="2"/>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监测因子</w:t>
                  </w:r>
                </w:p>
              </w:tc>
              <w:tc>
                <w:tcPr>
                  <w:tcW w:w="6892" w:type="dxa"/>
                  <w:gridSpan w:val="2"/>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监测统计结果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443" w:type="dxa"/>
                  <w:vMerge w:val="restart"/>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H</w:t>
                  </w:r>
                  <w:r>
                    <w:rPr>
                      <w:rFonts w:eastAsia="宋体"/>
                      <w:bCs/>
                      <w:snapToGrid w:val="0"/>
                      <w:color w:val="000000" w:themeColor="text1"/>
                      <w:sz w:val="21"/>
                      <w:szCs w:val="21"/>
                      <w:vertAlign w:val="subscript"/>
                      <w14:textFill>
                        <w14:solidFill>
                          <w14:schemeClr w14:val="tx1"/>
                        </w14:solidFill>
                      </w14:textFill>
                    </w:rPr>
                    <w:t>2</w:t>
                  </w:r>
                  <w:r>
                    <w:rPr>
                      <w:rFonts w:eastAsia="宋体"/>
                      <w:bCs/>
                      <w:snapToGrid w:val="0"/>
                      <w:color w:val="000000" w:themeColor="text1"/>
                      <w:sz w:val="21"/>
                      <w:szCs w:val="21"/>
                      <w14:textFill>
                        <w14:solidFill>
                          <w14:schemeClr w14:val="tx1"/>
                        </w14:solidFill>
                      </w14:textFill>
                    </w:rPr>
                    <w:t>S</w:t>
                  </w:r>
                </w:p>
              </w:tc>
              <w:tc>
                <w:tcPr>
                  <w:tcW w:w="737" w:type="dxa"/>
                  <w:vMerge w:val="restart"/>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一</w:t>
                  </w:r>
                </w:p>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次</w:t>
                  </w:r>
                </w:p>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值</w:t>
                  </w:r>
                </w:p>
              </w:tc>
              <w:tc>
                <w:tcPr>
                  <w:tcW w:w="3446" w:type="dxa"/>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浓度范围(mg/m</w:t>
                  </w:r>
                  <w:r>
                    <w:rPr>
                      <w:rFonts w:eastAsia="宋体"/>
                      <w:bCs/>
                      <w:snapToGrid w:val="0"/>
                      <w:color w:val="000000" w:themeColor="text1"/>
                      <w:sz w:val="21"/>
                      <w:szCs w:val="21"/>
                      <w:vertAlign w:val="superscript"/>
                      <w14:textFill>
                        <w14:solidFill>
                          <w14:schemeClr w14:val="tx1"/>
                        </w14:solidFill>
                      </w14:textFill>
                    </w:rPr>
                    <w:t>3</w:t>
                  </w:r>
                  <w:r>
                    <w:rPr>
                      <w:rFonts w:eastAsia="宋体"/>
                      <w:bCs/>
                      <w:snapToGrid w:val="0"/>
                      <w:color w:val="000000" w:themeColor="text1"/>
                      <w:sz w:val="21"/>
                      <w:szCs w:val="21"/>
                      <w14:textFill>
                        <w14:solidFill>
                          <w14:schemeClr w14:val="tx1"/>
                        </w14:solidFill>
                      </w14:textFill>
                    </w:rPr>
                    <w:t>)</w:t>
                  </w:r>
                </w:p>
              </w:tc>
              <w:tc>
                <w:tcPr>
                  <w:tcW w:w="3446" w:type="dxa"/>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&lt;0.005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443"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737"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3446" w:type="dxa"/>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标准值(mg/m</w:t>
                  </w:r>
                  <w:r>
                    <w:rPr>
                      <w:rFonts w:eastAsia="宋体"/>
                      <w:bCs/>
                      <w:snapToGrid w:val="0"/>
                      <w:color w:val="000000" w:themeColor="text1"/>
                      <w:sz w:val="21"/>
                      <w:szCs w:val="21"/>
                      <w:vertAlign w:val="superscript"/>
                      <w14:textFill>
                        <w14:solidFill>
                          <w14:schemeClr w14:val="tx1"/>
                        </w14:solidFill>
                      </w14:textFill>
                    </w:rPr>
                    <w:t>3</w:t>
                  </w:r>
                  <w:r>
                    <w:rPr>
                      <w:rFonts w:eastAsia="宋体"/>
                      <w:bCs/>
                      <w:snapToGrid w:val="0"/>
                      <w:color w:val="000000" w:themeColor="text1"/>
                      <w:sz w:val="21"/>
                      <w:szCs w:val="21"/>
                      <w14:textFill>
                        <w14:solidFill>
                          <w14:schemeClr w14:val="tx1"/>
                        </w14:solidFill>
                      </w14:textFill>
                    </w:rPr>
                    <w:t>)</w:t>
                  </w:r>
                </w:p>
              </w:tc>
              <w:tc>
                <w:tcPr>
                  <w:tcW w:w="3446" w:type="dxa"/>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443"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737"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3446" w:type="dxa"/>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占标率</w:t>
                  </w:r>
                  <w:r>
                    <w:rPr>
                      <w:rFonts w:eastAsia="宋体"/>
                      <w:bCs/>
                      <w:snapToGrid w:val="0"/>
                      <w:color w:val="000000" w:themeColor="text1"/>
                      <w:sz w:val="21"/>
                      <w:szCs w:val="21"/>
                      <w14:textFill>
                        <w14:solidFill>
                          <w14:schemeClr w14:val="tx1"/>
                        </w14:solidFill>
                      </w14:textFill>
                    </w:rPr>
                    <w:t>(%)</w:t>
                  </w:r>
                </w:p>
              </w:tc>
              <w:tc>
                <w:tcPr>
                  <w:tcW w:w="3446" w:type="dxa"/>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443"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737"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3446" w:type="dxa"/>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达标情况</w:t>
                  </w:r>
                </w:p>
              </w:tc>
              <w:tc>
                <w:tcPr>
                  <w:tcW w:w="3446" w:type="dxa"/>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443" w:type="dxa"/>
                  <w:vMerge w:val="restart"/>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NH</w:t>
                  </w:r>
                  <w:r>
                    <w:rPr>
                      <w:rFonts w:eastAsia="宋体"/>
                      <w:bCs/>
                      <w:snapToGrid w:val="0"/>
                      <w:color w:val="000000" w:themeColor="text1"/>
                      <w:sz w:val="21"/>
                      <w:szCs w:val="21"/>
                      <w:vertAlign w:val="subscript"/>
                      <w14:textFill>
                        <w14:solidFill>
                          <w14:schemeClr w14:val="tx1"/>
                        </w14:solidFill>
                      </w14:textFill>
                    </w:rPr>
                    <w:t>3</w:t>
                  </w:r>
                </w:p>
              </w:tc>
              <w:tc>
                <w:tcPr>
                  <w:tcW w:w="737" w:type="dxa"/>
                  <w:vMerge w:val="restart"/>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一</w:t>
                  </w:r>
                </w:p>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次</w:t>
                  </w:r>
                </w:p>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值</w:t>
                  </w:r>
                </w:p>
              </w:tc>
              <w:tc>
                <w:tcPr>
                  <w:tcW w:w="3446" w:type="dxa"/>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浓度范围(mg/m</w:t>
                  </w:r>
                  <w:r>
                    <w:rPr>
                      <w:rFonts w:eastAsia="宋体"/>
                      <w:bCs/>
                      <w:snapToGrid w:val="0"/>
                      <w:color w:val="000000" w:themeColor="text1"/>
                      <w:sz w:val="21"/>
                      <w:szCs w:val="21"/>
                      <w:vertAlign w:val="superscript"/>
                      <w14:textFill>
                        <w14:solidFill>
                          <w14:schemeClr w14:val="tx1"/>
                        </w14:solidFill>
                      </w14:textFill>
                    </w:rPr>
                    <w:t>3</w:t>
                  </w:r>
                  <w:r>
                    <w:rPr>
                      <w:rFonts w:eastAsia="宋体"/>
                      <w:bCs/>
                      <w:snapToGrid w:val="0"/>
                      <w:color w:val="000000" w:themeColor="text1"/>
                      <w:sz w:val="21"/>
                      <w:szCs w:val="21"/>
                      <w14:textFill>
                        <w14:solidFill>
                          <w14:schemeClr w14:val="tx1"/>
                        </w14:solidFill>
                      </w14:textFill>
                    </w:rPr>
                    <w:t>)</w:t>
                  </w:r>
                </w:p>
              </w:tc>
              <w:tc>
                <w:tcPr>
                  <w:tcW w:w="3446" w:type="dxa"/>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0.065~0.098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443"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737"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3446" w:type="dxa"/>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标准值(mg/m</w:t>
                  </w:r>
                  <w:r>
                    <w:rPr>
                      <w:rFonts w:eastAsia="宋体"/>
                      <w:bCs/>
                      <w:snapToGrid w:val="0"/>
                      <w:color w:val="000000" w:themeColor="text1"/>
                      <w:sz w:val="21"/>
                      <w:szCs w:val="21"/>
                      <w:vertAlign w:val="superscript"/>
                      <w14:textFill>
                        <w14:solidFill>
                          <w14:schemeClr w14:val="tx1"/>
                        </w14:solidFill>
                      </w14:textFill>
                    </w:rPr>
                    <w:t>3</w:t>
                  </w:r>
                  <w:r>
                    <w:rPr>
                      <w:rFonts w:eastAsia="宋体"/>
                      <w:bCs/>
                      <w:snapToGrid w:val="0"/>
                      <w:color w:val="000000" w:themeColor="text1"/>
                      <w:sz w:val="21"/>
                      <w:szCs w:val="21"/>
                      <w14:textFill>
                        <w14:solidFill>
                          <w14:schemeClr w14:val="tx1"/>
                        </w14:solidFill>
                      </w14:textFill>
                    </w:rPr>
                    <w:t>)</w:t>
                  </w:r>
                </w:p>
              </w:tc>
              <w:tc>
                <w:tcPr>
                  <w:tcW w:w="3446" w:type="dxa"/>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443"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737"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3446" w:type="dxa"/>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占标率</w:t>
                  </w:r>
                </w:p>
              </w:tc>
              <w:tc>
                <w:tcPr>
                  <w:tcW w:w="3446" w:type="dxa"/>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32.5%~49.0%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jc w:val="center"/>
              </w:trPr>
              <w:tc>
                <w:tcPr>
                  <w:tcW w:w="1443"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737" w:type="dxa"/>
                  <w:vMerge w:val="continue"/>
                  <w:vAlign w:val="center"/>
                </w:tcPr>
                <w:p>
                  <w:pPr>
                    <w:jc w:val="center"/>
                    <w:textAlignment w:val="center"/>
                    <w:rPr>
                      <w:rFonts w:eastAsia="宋体"/>
                      <w:bCs/>
                      <w:snapToGrid w:val="0"/>
                      <w:color w:val="000000" w:themeColor="text1"/>
                      <w:sz w:val="21"/>
                      <w:szCs w:val="21"/>
                      <w14:textFill>
                        <w14:solidFill>
                          <w14:schemeClr w14:val="tx1"/>
                        </w14:solidFill>
                      </w14:textFill>
                    </w:rPr>
                  </w:pPr>
                </w:p>
              </w:tc>
              <w:tc>
                <w:tcPr>
                  <w:tcW w:w="3446" w:type="dxa"/>
                  <w:vAlign w:val="center"/>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达标情况</w:t>
                  </w:r>
                </w:p>
              </w:tc>
              <w:tc>
                <w:tcPr>
                  <w:tcW w:w="3446" w:type="dxa"/>
                </w:tcPr>
                <w:p>
                  <w:pPr>
                    <w:jc w:val="center"/>
                    <w:textAlignment w:val="center"/>
                    <w:rPr>
                      <w:rFonts w:eastAsia="宋体"/>
                      <w:bCs/>
                      <w:snapToGrid w:val="0"/>
                      <w:color w:val="000000" w:themeColor="text1"/>
                      <w:sz w:val="21"/>
                      <w:szCs w:val="21"/>
                      <w14:textFill>
                        <w14:solidFill>
                          <w14:schemeClr w14:val="tx1"/>
                        </w14:solidFill>
                      </w14:textFill>
                    </w:rPr>
                  </w:pPr>
                  <w:r>
                    <w:rPr>
                      <w:rFonts w:hint="eastAsia" w:eastAsia="宋体"/>
                      <w:bCs/>
                      <w:snapToGrid w:val="0"/>
                      <w:color w:val="000000" w:themeColor="text1"/>
                      <w:sz w:val="21"/>
                      <w:szCs w:val="21"/>
                      <w14:textFill>
                        <w14:solidFill>
                          <w14:schemeClr w14:val="tx1"/>
                        </w14:solidFill>
                      </w14:textFill>
                    </w:rPr>
                    <w:t>达标</w:t>
                  </w:r>
                </w:p>
              </w:tc>
            </w:tr>
          </w:tbl>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14:textFill>
                  <w14:solidFill>
                    <w14:schemeClr w14:val="tx1"/>
                  </w14:solidFill>
                </w14:textFill>
              </w:rPr>
              <w:t>由</w:t>
            </w:r>
            <w:r>
              <w:rPr>
                <w:rFonts w:hint="eastAsia" w:eastAsia="宋体"/>
                <w:color w:val="000000" w:themeColor="text1"/>
                <w:sz w:val="24"/>
                <w14:textFill>
                  <w14:solidFill>
                    <w14:schemeClr w14:val="tx1"/>
                  </w14:solidFill>
                </w14:textFill>
              </w:rPr>
              <w:t>上表</w:t>
            </w:r>
            <w:r>
              <w:rPr>
                <w:rFonts w:eastAsia="宋体"/>
                <w:color w:val="000000" w:themeColor="text1"/>
                <w:sz w:val="24"/>
                <w14:textFill>
                  <w14:solidFill>
                    <w14:schemeClr w14:val="tx1"/>
                  </w14:solidFill>
                </w14:textFill>
              </w:rPr>
              <w:t>可知，SO</w:t>
            </w:r>
            <w:r>
              <w:rPr>
                <w:rFonts w:eastAsia="宋体"/>
                <w:color w:val="000000" w:themeColor="text1"/>
                <w:sz w:val="24"/>
                <w:vertAlign w:val="subscript"/>
                <w14:textFill>
                  <w14:solidFill>
                    <w14:schemeClr w14:val="tx1"/>
                  </w14:solidFill>
                </w14:textFill>
              </w:rPr>
              <w:t>2</w:t>
            </w:r>
            <w:r>
              <w:rPr>
                <w:rFonts w:eastAsia="宋体"/>
                <w:color w:val="000000" w:themeColor="text1"/>
                <w:sz w:val="24"/>
                <w14:textFill>
                  <w14:solidFill>
                    <w14:schemeClr w14:val="tx1"/>
                  </w14:solidFill>
                </w14:textFill>
              </w:rPr>
              <w:t>、NO</w:t>
            </w:r>
            <w:r>
              <w:rPr>
                <w:rFonts w:eastAsia="宋体"/>
                <w:color w:val="000000" w:themeColor="text1"/>
                <w:sz w:val="24"/>
                <w:vertAlign w:val="subscript"/>
                <w14:textFill>
                  <w14:solidFill>
                    <w14:schemeClr w14:val="tx1"/>
                  </w14:solidFill>
                </w14:textFill>
              </w:rPr>
              <w:t>2</w:t>
            </w:r>
            <w:r>
              <w:rPr>
                <w:rFonts w:hint="eastAsia" w:eastAsia="宋体"/>
                <w:color w:val="000000" w:themeColor="text1"/>
                <w:sz w:val="24"/>
                <w14:textFill>
                  <w14:solidFill>
                    <w14:schemeClr w14:val="tx1"/>
                  </w14:solidFill>
                </w14:textFill>
              </w:rPr>
              <w:t>年平均，CO的95百分位24小时平均</w:t>
            </w: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O</w:t>
            </w:r>
            <w:r>
              <w:rPr>
                <w:rFonts w:hint="eastAsia" w:eastAsia="宋体"/>
                <w:color w:val="000000" w:themeColor="text1"/>
                <w:sz w:val="24"/>
                <w:vertAlign w:val="subscript"/>
                <w14:textFill>
                  <w14:solidFill>
                    <w14:schemeClr w14:val="tx1"/>
                  </w14:solidFill>
                </w14:textFill>
              </w:rPr>
              <w:t>3</w:t>
            </w:r>
            <w:r>
              <w:rPr>
                <w:rFonts w:hint="eastAsia" w:eastAsia="宋体"/>
                <w:color w:val="000000" w:themeColor="text1"/>
                <w:sz w:val="24"/>
                <w14:textFill>
                  <w14:solidFill>
                    <w14:schemeClr w14:val="tx1"/>
                  </w14:solidFill>
                </w14:textFill>
              </w:rPr>
              <w:t>的90百分位8小时平均</w:t>
            </w:r>
            <w:r>
              <w:rPr>
                <w:rFonts w:eastAsia="宋体"/>
                <w:color w:val="000000" w:themeColor="text1"/>
                <w:sz w:val="24"/>
                <w14:textFill>
                  <w14:solidFill>
                    <w14:schemeClr w14:val="tx1"/>
                  </w14:solidFill>
                </w14:textFill>
              </w:rPr>
              <w:t>浓度值均满足《环境空气质量标准》（GB3095-2012）的二级标准，</w:t>
            </w:r>
            <w:r>
              <w:rPr>
                <w:rFonts w:hint="eastAsia" w:eastAsia="宋体"/>
                <w:color w:val="000000" w:themeColor="text1"/>
                <w:sz w:val="24"/>
                <w14:textFill>
                  <w14:solidFill>
                    <w14:schemeClr w14:val="tx1"/>
                  </w14:solidFill>
                </w14:textFill>
              </w:rPr>
              <w:t>由于石河子受沙尘天气影响导致的PM</w:t>
            </w:r>
            <w:r>
              <w:rPr>
                <w:rFonts w:hint="eastAsia" w:eastAsia="宋体"/>
                <w:color w:val="000000" w:themeColor="text1"/>
                <w:sz w:val="24"/>
                <w:vertAlign w:val="subscript"/>
                <w14:textFill>
                  <w14:solidFill>
                    <w14:schemeClr w14:val="tx1"/>
                  </w14:solidFill>
                </w14:textFill>
              </w:rPr>
              <w:t>2.5</w:t>
            </w: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PM</w:t>
            </w:r>
            <w:r>
              <w:rPr>
                <w:rFonts w:hint="eastAsia" w:eastAsia="宋体"/>
                <w:color w:val="000000" w:themeColor="text1"/>
                <w:sz w:val="24"/>
                <w:vertAlign w:val="subscript"/>
                <w14:textFill>
                  <w14:solidFill>
                    <w14:schemeClr w14:val="tx1"/>
                  </w14:solidFill>
                </w14:textFill>
              </w:rPr>
              <w:t>10</w:t>
            </w:r>
            <w:r>
              <w:rPr>
                <w:rFonts w:hint="eastAsia" w:eastAsia="宋体"/>
                <w:color w:val="000000" w:themeColor="text1"/>
                <w:sz w:val="24"/>
                <w14:textFill>
                  <w14:solidFill>
                    <w14:schemeClr w14:val="tx1"/>
                  </w14:solidFill>
                </w14:textFill>
              </w:rPr>
              <w:t>年平均浓度超标；另外，</w:t>
            </w:r>
            <w:r>
              <w:rPr>
                <w:rFonts w:eastAsia="宋体"/>
                <w:color w:val="000000" w:themeColor="text1"/>
                <w:sz w:val="24"/>
                <w:szCs w:val="24"/>
                <w14:textFill>
                  <w14:solidFill>
                    <w14:schemeClr w14:val="tx1"/>
                  </w14:solidFill>
                </w14:textFill>
              </w:rPr>
              <w:t>H</w:t>
            </w:r>
            <w:r>
              <w:rPr>
                <w:rFonts w:eastAsia="宋体"/>
                <w:color w:val="000000" w:themeColor="text1"/>
                <w:sz w:val="24"/>
                <w:szCs w:val="24"/>
                <w:vertAlign w:val="subscript"/>
                <w14:textFill>
                  <w14:solidFill>
                    <w14:schemeClr w14:val="tx1"/>
                  </w14:solidFill>
                </w14:textFill>
              </w:rPr>
              <w:t>2</w:t>
            </w:r>
            <w:r>
              <w:rPr>
                <w:rFonts w:eastAsia="宋体"/>
                <w:color w:val="000000" w:themeColor="text1"/>
                <w:sz w:val="24"/>
                <w:szCs w:val="24"/>
                <w14:textFill>
                  <w14:solidFill>
                    <w14:schemeClr w14:val="tx1"/>
                  </w14:solidFill>
                </w14:textFill>
              </w:rPr>
              <w:t>S、NH</w:t>
            </w:r>
            <w:r>
              <w:rPr>
                <w:rFonts w:eastAsia="宋体"/>
                <w:color w:val="000000" w:themeColor="text1"/>
                <w:sz w:val="24"/>
                <w:szCs w:val="24"/>
                <w:vertAlign w:val="subscript"/>
                <w14:textFill>
                  <w14:solidFill>
                    <w14:schemeClr w14:val="tx1"/>
                  </w14:solidFill>
                </w14:textFill>
              </w:rPr>
              <w:t>3</w:t>
            </w:r>
            <w:r>
              <w:rPr>
                <w:rFonts w:hint="eastAsia" w:eastAsia="宋体"/>
                <w:color w:val="000000" w:themeColor="text1"/>
                <w:sz w:val="24"/>
                <w:szCs w:val="24"/>
                <w14:textFill>
                  <w14:solidFill>
                    <w14:schemeClr w14:val="tx1"/>
                  </w14:solidFill>
                </w14:textFill>
              </w:rPr>
              <w:t>均满足《环境影响评价技术导则 大气环境》（HJ2.2-2018）附录D中标准。综上</w:t>
            </w:r>
            <w:r>
              <w:rPr>
                <w:rFonts w:hint="eastAsia" w:eastAsia="宋体"/>
                <w:color w:val="000000" w:themeColor="text1"/>
                <w:sz w:val="24"/>
                <w14:textFill>
                  <w14:solidFill>
                    <w14:schemeClr w14:val="tx1"/>
                  </w14:solidFill>
                </w14:textFill>
              </w:rPr>
              <w:t>表明</w:t>
            </w:r>
            <w:r>
              <w:rPr>
                <w:rFonts w:eastAsia="宋体"/>
                <w:color w:val="000000" w:themeColor="text1"/>
                <w:sz w:val="24"/>
                <w14:textFill>
                  <w14:solidFill>
                    <w14:schemeClr w14:val="tx1"/>
                  </w14:solidFill>
                </w14:textFill>
              </w:rPr>
              <w:t>项目区</w:t>
            </w:r>
            <w:r>
              <w:rPr>
                <w:rFonts w:hint="eastAsia" w:eastAsia="宋体"/>
                <w:color w:val="000000" w:themeColor="text1"/>
                <w:sz w:val="24"/>
                <w14:textFill>
                  <w14:solidFill>
                    <w14:schemeClr w14:val="tx1"/>
                  </w14:solidFill>
                </w14:textFill>
              </w:rPr>
              <w:t>为非达标区，</w:t>
            </w:r>
            <w:r>
              <w:rPr>
                <w:rFonts w:eastAsia="宋体"/>
                <w:color w:val="000000" w:themeColor="text1"/>
                <w:sz w:val="24"/>
                <w14:textFill>
                  <w14:solidFill>
                    <w14:schemeClr w14:val="tx1"/>
                  </w14:solidFill>
                </w14:textFill>
              </w:rPr>
              <w:t>环境空气质量</w:t>
            </w:r>
            <w:r>
              <w:rPr>
                <w:rFonts w:hint="eastAsia" w:eastAsia="宋体"/>
                <w:color w:val="000000" w:themeColor="text1"/>
                <w:sz w:val="24"/>
                <w14:textFill>
                  <w14:solidFill>
                    <w14:schemeClr w14:val="tx1"/>
                  </w14:solidFill>
                </w14:textFill>
              </w:rPr>
              <w:t>一般</w:t>
            </w:r>
            <w:r>
              <w:rPr>
                <w:rFonts w:eastAsia="宋体"/>
                <w:color w:val="000000" w:themeColor="text1"/>
                <w:sz w:val="24"/>
                <w14:textFill>
                  <w14:solidFill>
                    <w14:schemeClr w14:val="tx1"/>
                  </w14:solidFill>
                </w14:textFill>
              </w:rPr>
              <w:t>。</w:t>
            </w:r>
          </w:p>
          <w:p>
            <w:pPr>
              <w:spacing w:line="560" w:lineRule="exact"/>
              <w:ind w:firstLine="482" w:firstLineChars="200"/>
              <w:rPr>
                <w:rFonts w:eastAsia="宋体"/>
                <w:b/>
                <w:color w:val="000000" w:themeColor="text1"/>
                <w:sz w:val="24"/>
                <w:szCs w:val="28"/>
                <w14:textFill>
                  <w14:solidFill>
                    <w14:schemeClr w14:val="tx1"/>
                  </w14:solidFill>
                </w14:textFill>
              </w:rPr>
            </w:pPr>
            <w:r>
              <w:rPr>
                <w:rFonts w:hint="eastAsia" w:eastAsia="宋体"/>
                <w:b/>
                <w:color w:val="000000" w:themeColor="text1"/>
                <w:sz w:val="24"/>
                <w:szCs w:val="28"/>
                <w14:textFill>
                  <w14:solidFill>
                    <w14:schemeClr w14:val="tx1"/>
                  </w14:solidFill>
                </w14:textFill>
              </w:rPr>
              <w:t>2</w:t>
            </w:r>
            <w:r>
              <w:rPr>
                <w:rFonts w:eastAsia="宋体"/>
                <w:b/>
                <w:color w:val="000000" w:themeColor="text1"/>
                <w:sz w:val="24"/>
                <w:szCs w:val="28"/>
                <w14:textFill>
                  <w14:solidFill>
                    <w14:schemeClr w14:val="tx1"/>
                  </w14:solidFill>
                </w14:textFill>
              </w:rPr>
              <w:t>、地下水环境现状</w:t>
            </w:r>
          </w:p>
          <w:p>
            <w:pPr>
              <w:tabs>
                <w:tab w:val="left" w:pos="2011"/>
              </w:tabs>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根据《环境影响评价技术导则-地下水导则》（HJ610-2016）中要求，本项目</w:t>
            </w:r>
            <w:r>
              <w:rPr>
                <w:rFonts w:hint="eastAsia" w:eastAsia="宋体"/>
                <w:color w:val="000000" w:themeColor="text1"/>
                <w:sz w:val="24"/>
                <w:szCs w:val="24"/>
                <w14:textFill>
                  <w14:solidFill>
                    <w14:schemeClr w14:val="tx1"/>
                  </w14:solidFill>
                </w14:textFill>
              </w:rPr>
              <w:t>为</w:t>
            </w:r>
            <w:r>
              <w:rPr>
                <w:rFonts w:hint="eastAsia" w:eastAsia="宋体"/>
                <w:b w:val="0"/>
                <w:bCs/>
                <w:color w:val="000000" w:themeColor="text1"/>
                <w:sz w:val="24"/>
                <w:lang w:val="en-US" w:eastAsia="zh-CN"/>
                <w14:textFill>
                  <w14:solidFill>
                    <w14:schemeClr w14:val="tx1"/>
                  </w14:solidFill>
                </w14:textFill>
              </w:rPr>
              <w:t>为生活垃圾处理场的渗滤液处理，对比附录A地下水环境影响评价行业分类表，属</w:t>
            </w:r>
            <w:r>
              <w:rPr>
                <w:rFonts w:hint="eastAsia" w:eastAsia="宋体"/>
                <w:color w:val="000000" w:themeColor="text1"/>
                <w:sz w:val="24"/>
                <w:szCs w:val="24"/>
                <w14:textFill>
                  <w14:solidFill>
                    <w14:schemeClr w14:val="tx1"/>
                  </w14:solidFill>
                </w14:textFill>
              </w:rPr>
              <w:t>U城镇基础设施及房地产的14</w:t>
            </w:r>
            <w:r>
              <w:rPr>
                <w:rFonts w:hint="eastAsia" w:eastAsia="宋体"/>
                <w:color w:val="000000" w:themeColor="text1"/>
                <w:sz w:val="24"/>
                <w:szCs w:val="24"/>
                <w:lang w:val="en-US" w:eastAsia="zh-CN"/>
                <w14:textFill>
                  <w14:solidFill>
                    <w14:schemeClr w14:val="tx1"/>
                  </w14:solidFill>
                </w14:textFill>
              </w:rPr>
              <w:t>6海水淡化、其他水处理和利用</w:t>
            </w:r>
            <w:r>
              <w:rPr>
                <w:rFonts w:eastAsia="宋体"/>
                <w:color w:val="000000" w:themeColor="text1"/>
                <w:sz w:val="24"/>
                <w:szCs w:val="24"/>
                <w14:textFill>
                  <w14:solidFill>
                    <w14:schemeClr w14:val="tx1"/>
                  </w14:solidFill>
                </w14:textFill>
              </w:rPr>
              <w:t>（报告表）</w:t>
            </w:r>
            <w:r>
              <w:rPr>
                <w:rFonts w:hint="eastAsia" w:eastAsia="宋体"/>
                <w:color w:val="000000" w:themeColor="text1"/>
                <w:sz w:val="24"/>
                <w:szCs w:val="24"/>
                <w14:textFill>
                  <w14:solidFill>
                    <w14:schemeClr w14:val="tx1"/>
                  </w14:solidFill>
                </w14:textFill>
              </w:rPr>
              <w:t>，是</w:t>
            </w:r>
            <w:r>
              <w:rPr>
                <w:rFonts w:eastAsia="宋体"/>
                <w:color w:val="000000" w:themeColor="text1"/>
                <w:sz w:val="24"/>
                <w:szCs w:val="24"/>
                <w14:textFill>
                  <w14:solidFill>
                    <w14:schemeClr w14:val="tx1"/>
                  </w14:solidFill>
                </w14:textFill>
              </w:rPr>
              <w:t>Ⅳ类项目，导则中原则可不开展地下水评价。因此，本项目仅对地下水做简要分析。</w:t>
            </w:r>
          </w:p>
          <w:p>
            <w:pPr>
              <w:tabs>
                <w:tab w:val="left" w:pos="2011"/>
              </w:tabs>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本次</w:t>
            </w:r>
            <w:r>
              <w:rPr>
                <w:rFonts w:hint="eastAsia" w:eastAsia="宋体"/>
                <w:color w:val="000000" w:themeColor="text1"/>
                <w:sz w:val="24"/>
                <w:szCs w:val="24"/>
                <w14:textFill>
                  <w14:solidFill>
                    <w14:schemeClr w14:val="tx1"/>
                  </w14:solidFill>
                </w14:textFill>
              </w:rPr>
              <w:t>地下水环境</w:t>
            </w:r>
            <w:r>
              <w:rPr>
                <w:rFonts w:eastAsia="宋体"/>
                <w:color w:val="000000" w:themeColor="text1"/>
                <w:sz w:val="24"/>
                <w:szCs w:val="24"/>
                <w14:textFill>
                  <w14:solidFill>
                    <w14:schemeClr w14:val="tx1"/>
                  </w14:solidFill>
                </w14:textFill>
              </w:rPr>
              <w:t>质量现状评价引用</w:t>
            </w:r>
            <w:r>
              <w:rPr>
                <w:rFonts w:hint="eastAsia" w:eastAsia="宋体"/>
                <w:color w:val="000000" w:themeColor="text1"/>
                <w:sz w:val="24"/>
                <w:szCs w:val="24"/>
                <w14:textFill>
                  <w14:solidFill>
                    <w14:schemeClr w14:val="tx1"/>
                  </w14:solidFill>
                </w14:textFill>
              </w:rPr>
              <w:t>新疆</w:t>
            </w:r>
            <w:r>
              <w:rPr>
                <w:rFonts w:hint="eastAsia" w:eastAsia="宋体"/>
                <w:color w:val="000000" w:themeColor="text1"/>
                <w:sz w:val="24"/>
                <w:szCs w:val="24"/>
                <w:lang w:val="en-US" w:eastAsia="zh-CN"/>
                <w14:textFill>
                  <w14:solidFill>
                    <w14:schemeClr w14:val="tx1"/>
                  </w14:solidFill>
                </w14:textFill>
              </w:rPr>
              <w:t>国泰民康职业环境检测评价有限责任</w:t>
            </w:r>
            <w:r>
              <w:rPr>
                <w:rFonts w:hint="eastAsia" w:eastAsia="宋体"/>
                <w:color w:val="000000" w:themeColor="text1"/>
                <w:sz w:val="24"/>
                <w:szCs w:val="24"/>
                <w14:textFill>
                  <w14:solidFill>
                    <w14:schemeClr w14:val="tx1"/>
                  </w14:solidFill>
                </w14:textFill>
              </w:rPr>
              <w:t>公司对填埋场</w:t>
            </w:r>
            <w:r>
              <w:rPr>
                <w:rFonts w:hint="eastAsia" w:eastAsia="宋体"/>
                <w:color w:val="000000" w:themeColor="text1"/>
                <w:sz w:val="24"/>
                <w:szCs w:val="24"/>
                <w:lang w:val="en-US" w:eastAsia="zh-CN"/>
                <w14:textFill>
                  <w14:solidFill>
                    <w14:schemeClr w14:val="tx1"/>
                  </w14:solidFill>
                </w14:textFill>
              </w:rPr>
              <w:t>南</w:t>
            </w:r>
            <w:r>
              <w:rPr>
                <w:rFonts w:hint="eastAsia" w:eastAsia="宋体"/>
                <w:color w:val="000000" w:themeColor="text1"/>
                <w:sz w:val="24"/>
                <w:szCs w:val="24"/>
                <w14:textFill>
                  <w14:solidFill>
                    <w14:schemeClr w14:val="tx1"/>
                  </w14:solidFill>
                </w14:textFill>
              </w:rPr>
              <w:t>侧</w:t>
            </w:r>
            <w:r>
              <w:rPr>
                <w:rFonts w:hint="eastAsia" w:eastAsia="宋体"/>
                <w:color w:val="000000" w:themeColor="text1"/>
                <w:sz w:val="24"/>
                <w:szCs w:val="24"/>
                <w:lang w:val="en-US" w:eastAsia="zh-CN"/>
                <w14:textFill>
                  <w14:solidFill>
                    <w14:schemeClr w14:val="tx1"/>
                  </w14:solidFill>
                </w14:textFill>
              </w:rPr>
              <w:t>550m的1#</w:t>
            </w:r>
            <w:r>
              <w:rPr>
                <w:rFonts w:hint="eastAsia" w:eastAsia="宋体"/>
                <w:color w:val="000000" w:themeColor="text1"/>
                <w:sz w:val="24"/>
                <w:szCs w:val="24"/>
                <w14:textFill>
                  <w14:solidFill>
                    <w14:schemeClr w14:val="tx1"/>
                  </w14:solidFill>
                </w14:textFill>
              </w:rPr>
              <w:t>地下水监测井</w:t>
            </w:r>
            <w:r>
              <w:rPr>
                <w:rFonts w:hint="eastAsia" w:eastAsia="宋体"/>
                <w:color w:val="000000" w:themeColor="text1"/>
                <w:sz w:val="24"/>
                <w:szCs w:val="24"/>
                <w:lang w:val="en-US" w:eastAsia="zh-CN"/>
                <w14:textFill>
                  <w14:solidFill>
                    <w14:schemeClr w14:val="tx1"/>
                  </w14:solidFill>
                </w14:textFill>
              </w:rPr>
              <w:t>和下游西北侧1.5km</w:t>
            </w:r>
            <w:r>
              <w:rPr>
                <w:rFonts w:hint="eastAsia" w:eastAsia="宋体"/>
                <w:color w:val="000000" w:themeColor="text1"/>
                <w:sz w:val="24"/>
                <w:szCs w:val="24"/>
                <w14:textFill>
                  <w14:solidFill>
                    <w14:schemeClr w14:val="tx1"/>
                  </w14:solidFill>
                </w14:textFill>
              </w:rPr>
              <w:t>的</w:t>
            </w:r>
            <w:r>
              <w:rPr>
                <w:rFonts w:hint="eastAsia" w:eastAsia="宋体"/>
                <w:color w:val="000000" w:themeColor="text1"/>
                <w:sz w:val="24"/>
                <w:szCs w:val="24"/>
                <w:lang w:val="en-US" w:eastAsia="zh-CN"/>
                <w14:textFill>
                  <w14:solidFill>
                    <w14:schemeClr w14:val="tx1"/>
                  </w14:solidFill>
                </w14:textFill>
              </w:rPr>
              <w:t>6#</w:t>
            </w:r>
            <w:r>
              <w:rPr>
                <w:rFonts w:hint="eastAsia" w:eastAsia="宋体"/>
                <w:color w:val="000000" w:themeColor="text1"/>
                <w:sz w:val="24"/>
                <w:szCs w:val="24"/>
                <w14:textFill>
                  <w14:solidFill>
                    <w14:schemeClr w14:val="tx1"/>
                  </w14:solidFill>
                </w14:textFill>
              </w:rPr>
              <w:t>地下水</w:t>
            </w:r>
            <w:r>
              <w:rPr>
                <w:rFonts w:hint="eastAsia" w:eastAsia="宋体"/>
                <w:color w:val="000000" w:themeColor="text1"/>
                <w:sz w:val="24"/>
                <w:szCs w:val="24"/>
                <w:lang w:val="en-US" w:eastAsia="zh-CN"/>
                <w14:textFill>
                  <w14:solidFill>
                    <w14:schemeClr w14:val="tx1"/>
                  </w14:solidFill>
                </w14:textFill>
              </w:rPr>
              <w:t>监测井的</w:t>
            </w:r>
            <w:r>
              <w:rPr>
                <w:rFonts w:hint="eastAsia" w:eastAsia="宋体"/>
                <w:color w:val="000000" w:themeColor="text1"/>
                <w:sz w:val="24"/>
                <w:szCs w:val="24"/>
                <w14:textFill>
                  <w14:solidFill>
                    <w14:schemeClr w14:val="tx1"/>
                  </w14:solidFill>
                </w14:textFill>
              </w:rPr>
              <w:t>监测数据。</w:t>
            </w:r>
            <w:r>
              <w:rPr>
                <w:rFonts w:eastAsia="宋体"/>
                <w:color w:val="000000" w:themeColor="text1"/>
                <w:sz w:val="24"/>
                <w:szCs w:val="24"/>
                <w14:textFill>
                  <w14:solidFill>
                    <w14:schemeClr w14:val="tx1"/>
                  </w14:solidFill>
                </w14:textFill>
              </w:rPr>
              <w:t>具体监测点位置见</w:t>
            </w:r>
            <w:r>
              <w:rPr>
                <w:rFonts w:hint="eastAsia" w:eastAsia="宋体"/>
                <w:color w:val="000000" w:themeColor="text1"/>
                <w:sz w:val="24"/>
                <w:szCs w:val="24"/>
                <w14:textFill>
                  <w14:solidFill>
                    <w14:schemeClr w14:val="tx1"/>
                  </w14:solidFill>
                </w14:textFill>
              </w:rPr>
              <w:t>附</w:t>
            </w:r>
            <w:r>
              <w:rPr>
                <w:rFonts w:eastAsia="宋体"/>
                <w:color w:val="000000" w:themeColor="text1"/>
                <w:sz w:val="24"/>
                <w:szCs w:val="24"/>
                <w14:textFill>
                  <w14:solidFill>
                    <w14:schemeClr w14:val="tx1"/>
                  </w14:solidFill>
                </w14:textFill>
              </w:rPr>
              <w:t>图</w:t>
            </w:r>
            <w:r>
              <w:rPr>
                <w:rFonts w:hint="eastAsia" w:eastAsia="宋体"/>
                <w:color w:val="000000" w:themeColor="text1"/>
                <w:sz w:val="24"/>
                <w:szCs w:val="24"/>
                <w:lang w:val="en-US" w:eastAsia="zh-CN"/>
                <w14:textFill>
                  <w14:solidFill>
                    <w14:schemeClr w14:val="tx1"/>
                  </w14:solidFill>
                </w14:textFill>
              </w:rPr>
              <w:t>8</w:t>
            </w:r>
            <w:r>
              <w:rPr>
                <w:rFonts w:eastAsia="宋体"/>
                <w:color w:val="000000" w:themeColor="text1"/>
                <w:sz w:val="24"/>
                <w:szCs w:val="24"/>
                <w14:textFill>
                  <w14:solidFill>
                    <w14:schemeClr w14:val="tx1"/>
                  </w14:solidFill>
                </w14:textFill>
              </w:rPr>
              <w:t>。</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w:t>
            </w:r>
            <w:r>
              <w:rPr>
                <w:rFonts w:eastAsia="宋体"/>
                <w:color w:val="000000" w:themeColor="text1"/>
                <w:sz w:val="24"/>
                <w:szCs w:val="24"/>
                <w14:textFill>
                  <w14:solidFill>
                    <w14:schemeClr w14:val="tx1"/>
                  </w14:solidFill>
                </w14:textFill>
              </w:rPr>
              <w:t>监测时间及频次</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地下水现状监测时间为201</w:t>
            </w:r>
            <w:r>
              <w:rPr>
                <w:rFonts w:hint="eastAsia" w:eastAsia="宋体"/>
                <w:color w:val="000000" w:themeColor="text1"/>
                <w:sz w:val="24"/>
                <w:szCs w:val="24"/>
                <w:lang w:val="en-US" w:eastAsia="zh-CN"/>
                <w14:textFill>
                  <w14:solidFill>
                    <w14:schemeClr w14:val="tx1"/>
                  </w14:solidFill>
                </w14:textFill>
              </w:rPr>
              <w:t>9</w:t>
            </w:r>
            <w:r>
              <w:rPr>
                <w:rFonts w:eastAsia="宋体"/>
                <w:color w:val="000000" w:themeColor="text1"/>
                <w:sz w:val="24"/>
                <w:szCs w:val="24"/>
                <w14:textFill>
                  <w14:solidFill>
                    <w14:schemeClr w14:val="tx1"/>
                  </w14:solidFill>
                </w14:textFill>
              </w:rPr>
              <w:t>年</w:t>
            </w:r>
            <w:r>
              <w:rPr>
                <w:rFonts w:hint="eastAsia" w:eastAsia="宋体"/>
                <w:color w:val="000000" w:themeColor="text1"/>
                <w:sz w:val="24"/>
                <w:szCs w:val="24"/>
                <w14:textFill>
                  <w14:solidFill>
                    <w14:schemeClr w14:val="tx1"/>
                  </w14:solidFill>
                </w14:textFill>
              </w:rPr>
              <w:t>7</w:t>
            </w:r>
            <w:r>
              <w:rPr>
                <w:rFonts w:eastAsia="宋体"/>
                <w:color w:val="000000" w:themeColor="text1"/>
                <w:sz w:val="24"/>
                <w:szCs w:val="24"/>
                <w14:textFill>
                  <w14:solidFill>
                    <w14:schemeClr w14:val="tx1"/>
                  </w14:solidFill>
                </w14:textFill>
              </w:rPr>
              <w:t>月</w:t>
            </w:r>
            <w:r>
              <w:rPr>
                <w:rFonts w:hint="eastAsia" w:eastAsia="宋体"/>
                <w:color w:val="000000" w:themeColor="text1"/>
                <w:sz w:val="24"/>
                <w:szCs w:val="24"/>
                <w:lang w:val="en-US" w:eastAsia="zh-CN"/>
                <w14:textFill>
                  <w14:solidFill>
                    <w14:schemeClr w14:val="tx1"/>
                  </w14:solidFill>
                </w14:textFill>
              </w:rPr>
              <w:t>15日-1</w:t>
            </w:r>
            <w:r>
              <w:rPr>
                <w:rFonts w:hint="eastAsia" w:eastAsia="宋体"/>
                <w:color w:val="000000" w:themeColor="text1"/>
                <w:sz w:val="24"/>
                <w:szCs w:val="24"/>
                <w14:textFill>
                  <w14:solidFill>
                    <w14:schemeClr w14:val="tx1"/>
                  </w14:solidFill>
                </w14:textFill>
              </w:rPr>
              <w:t>9</w:t>
            </w:r>
            <w:r>
              <w:rPr>
                <w:rFonts w:eastAsia="宋体"/>
                <w:color w:val="000000" w:themeColor="text1"/>
                <w:sz w:val="24"/>
                <w:szCs w:val="24"/>
                <w14:textFill>
                  <w14:solidFill>
                    <w14:schemeClr w14:val="tx1"/>
                  </w14:solidFill>
                </w14:textFill>
              </w:rPr>
              <w:t>日，监测一次。</w:t>
            </w:r>
          </w:p>
          <w:p>
            <w:pPr>
              <w:pStyle w:val="5"/>
              <w:spacing w:before="0" w:after="0" w:line="560" w:lineRule="exact"/>
              <w:ind w:firstLine="480" w:firstLineChars="200"/>
              <w:rPr>
                <w:rFonts w:eastAsia="宋体"/>
                <w:bCs w:val="0"/>
                <w:color w:val="000000" w:themeColor="text1"/>
                <w:sz w:val="24"/>
                <w:szCs w:val="24"/>
                <w14:textFill>
                  <w14:solidFill>
                    <w14:schemeClr w14:val="tx1"/>
                  </w14:solidFill>
                </w14:textFill>
              </w:rPr>
            </w:pPr>
            <w:r>
              <w:rPr>
                <w:rFonts w:hint="eastAsia" w:eastAsia="宋体"/>
                <w:b w:val="0"/>
                <w:bCs w:val="0"/>
                <w:color w:val="000000" w:themeColor="text1"/>
                <w:sz w:val="24"/>
                <w:szCs w:val="24"/>
                <w14:textFill>
                  <w14:solidFill>
                    <w14:schemeClr w14:val="tx1"/>
                  </w14:solidFill>
                </w14:textFill>
              </w:rPr>
              <w:t>（2）</w:t>
            </w:r>
            <w:r>
              <w:rPr>
                <w:rFonts w:eastAsia="宋体"/>
                <w:b w:val="0"/>
                <w:bCs w:val="0"/>
                <w:color w:val="000000" w:themeColor="text1"/>
                <w:sz w:val="24"/>
                <w:szCs w:val="24"/>
                <w14:textFill>
                  <w14:solidFill>
                    <w14:schemeClr w14:val="tx1"/>
                  </w14:solidFill>
                </w14:textFill>
              </w:rPr>
              <w:t>监测项目</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pH、总硬度、</w:t>
            </w:r>
            <w:r>
              <w:rPr>
                <w:rFonts w:hint="eastAsia" w:eastAsia="宋体"/>
                <w:color w:val="000000" w:themeColor="text1"/>
                <w:sz w:val="24"/>
                <w:szCs w:val="24"/>
                <w14:textFill>
                  <w14:solidFill>
                    <w14:schemeClr w14:val="tx1"/>
                  </w14:solidFill>
                </w14:textFill>
              </w:rPr>
              <w:t>溶解性总固体、</w:t>
            </w:r>
            <w:r>
              <w:rPr>
                <w:rFonts w:eastAsia="宋体"/>
                <w:color w:val="000000" w:themeColor="text1"/>
                <w:sz w:val="24"/>
                <w:szCs w:val="24"/>
                <w14:textFill>
                  <w14:solidFill>
                    <w14:schemeClr w14:val="tx1"/>
                  </w14:solidFill>
                </w14:textFill>
              </w:rPr>
              <w:t>氟化物、</w:t>
            </w:r>
            <w:r>
              <w:rPr>
                <w:rFonts w:hint="eastAsia" w:eastAsia="宋体"/>
                <w:color w:val="000000" w:themeColor="text1"/>
                <w:sz w:val="24"/>
                <w:szCs w:val="24"/>
                <w14:textFill>
                  <w14:solidFill>
                    <w14:schemeClr w14:val="tx1"/>
                  </w14:solidFill>
                </w14:textFill>
              </w:rPr>
              <w:t>氯化物、硝酸盐氮、亚硝酸盐氮、硫酸盐、挥发酚、</w:t>
            </w:r>
            <w:r>
              <w:rPr>
                <w:rFonts w:eastAsia="宋体"/>
                <w:color w:val="000000" w:themeColor="text1"/>
                <w:sz w:val="24"/>
                <w:szCs w:val="24"/>
                <w14:textFill>
                  <w14:solidFill>
                    <w14:schemeClr w14:val="tx1"/>
                  </w14:solidFill>
                </w14:textFill>
              </w:rPr>
              <w:t>氨氮、</w:t>
            </w:r>
            <w:r>
              <w:rPr>
                <w:rFonts w:hint="eastAsia" w:eastAsia="宋体"/>
                <w:color w:val="000000" w:themeColor="text1"/>
                <w:sz w:val="24"/>
                <w:szCs w:val="24"/>
                <w14:textFill>
                  <w14:solidFill>
                    <w14:schemeClr w14:val="tx1"/>
                  </w14:solidFill>
                </w14:textFill>
              </w:rPr>
              <w:t>氰化物、</w:t>
            </w:r>
            <w:r>
              <w:rPr>
                <w:rFonts w:eastAsia="宋体"/>
                <w:color w:val="000000" w:themeColor="text1"/>
                <w:sz w:val="24"/>
                <w:szCs w:val="24"/>
                <w14:textFill>
                  <w14:solidFill>
                    <w14:schemeClr w14:val="tx1"/>
                  </w14:solidFill>
                </w14:textFill>
              </w:rPr>
              <w:t>六价铬、</w:t>
            </w:r>
            <w:r>
              <w:rPr>
                <w:rFonts w:hint="eastAsia" w:eastAsia="宋体"/>
                <w:color w:val="000000" w:themeColor="text1"/>
                <w:sz w:val="24"/>
                <w:szCs w:val="24"/>
                <w14:textFill>
                  <w14:solidFill>
                    <w14:schemeClr w14:val="tx1"/>
                  </w14:solidFill>
                </w14:textFill>
              </w:rPr>
              <w:t>汞、硒、</w:t>
            </w:r>
            <w:r>
              <w:rPr>
                <w:rFonts w:eastAsia="宋体"/>
                <w:color w:val="000000" w:themeColor="text1"/>
                <w:sz w:val="24"/>
                <w:szCs w:val="24"/>
                <w14:textFill>
                  <w14:solidFill>
                    <w14:schemeClr w14:val="tx1"/>
                  </w14:solidFill>
                </w14:textFill>
              </w:rPr>
              <w:t>砷、</w:t>
            </w:r>
            <w:r>
              <w:rPr>
                <w:rFonts w:hint="eastAsia" w:eastAsia="宋体"/>
                <w:color w:val="000000" w:themeColor="text1"/>
                <w:sz w:val="24"/>
                <w:szCs w:val="24"/>
                <w14:textFill>
                  <w14:solidFill>
                    <w14:schemeClr w14:val="tx1"/>
                  </w14:solidFill>
                </w14:textFill>
              </w:rPr>
              <w:t>锌</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铜、铁、锰、镉、阴离子表面活性剂等</w:t>
            </w:r>
            <w:r>
              <w:rPr>
                <w:rFonts w:eastAsia="宋体"/>
                <w:color w:val="000000" w:themeColor="text1"/>
                <w:sz w:val="24"/>
                <w:szCs w:val="24"/>
                <w14:textFill>
                  <w14:solidFill>
                    <w14:schemeClr w14:val="tx1"/>
                  </w14:solidFill>
                </w14:textFill>
              </w:rPr>
              <w:t>。</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（3）</w:t>
            </w:r>
            <w:r>
              <w:rPr>
                <w:rFonts w:eastAsia="宋体"/>
                <w:color w:val="000000" w:themeColor="text1"/>
                <w:sz w:val="24"/>
                <w:szCs w:val="24"/>
                <w14:textFill>
                  <w14:solidFill>
                    <w14:schemeClr w14:val="tx1"/>
                  </w14:solidFill>
                </w14:textFill>
              </w:rPr>
              <w:t>评价标准</w:t>
            </w:r>
          </w:p>
          <w:p>
            <w:pPr>
              <w:pStyle w:val="15"/>
              <w:spacing w:line="560" w:lineRule="exact"/>
              <w:ind w:firstLine="482"/>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本次评价采用《地下水质量标准》</w:t>
            </w:r>
            <w:r>
              <w:rPr>
                <w:rFonts w:hint="eastAsia" w:ascii="Times New Roman" w:hAnsi="Times New Roman" w:eastAsia="宋体"/>
                <w:color w:val="000000" w:themeColor="text1"/>
                <w:sz w:val="24"/>
                <w:szCs w:val="24"/>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GB/T14848-2017</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Ⅲ</w:t>
            </w:r>
            <w:r>
              <w:rPr>
                <w:rFonts w:ascii="Times New Roman" w:hAnsi="Times New Roman" w:eastAsia="宋体"/>
                <w:color w:val="000000" w:themeColor="text1"/>
                <w:sz w:val="24"/>
                <w:szCs w:val="24"/>
                <w14:textFill>
                  <w14:solidFill>
                    <w14:schemeClr w14:val="tx1"/>
                  </w14:solidFill>
                </w14:textFill>
              </w:rPr>
              <w:t>类水质标准进行现状评价</w:t>
            </w:r>
            <w:r>
              <w:rPr>
                <w:rFonts w:hint="eastAsia" w:ascii="Times New Roman" w:hAnsi="Times New Roman" w:eastAsia="宋体"/>
                <w:color w:val="000000" w:themeColor="text1"/>
                <w:sz w:val="24"/>
                <w:szCs w:val="24"/>
                <w14:textFill>
                  <w14:solidFill>
                    <w14:schemeClr w14:val="tx1"/>
                  </w14:solidFill>
                </w14:textFill>
              </w:rPr>
              <w:t>。</w:t>
            </w:r>
          </w:p>
          <w:p>
            <w:pPr>
              <w:pStyle w:val="15"/>
              <w:spacing w:line="560" w:lineRule="exact"/>
              <w:ind w:firstLine="482"/>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t>评价方法</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采用单因子污染指数法对监测结果进行评价。其单项水质参数i在第j点的标准指数为：</w:t>
            </w:r>
          </w:p>
          <w:p>
            <w:pPr>
              <w:spacing w:line="560" w:lineRule="exact"/>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object>
                <v:shape id="_x0000_i1025" o:spt="75" type="#_x0000_t75" style="height:25.65pt;width:108.3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式中：S</w:t>
            </w:r>
            <w:r>
              <w:rPr>
                <w:rFonts w:eastAsia="宋体"/>
                <w:color w:val="000000" w:themeColor="text1"/>
                <w:sz w:val="24"/>
                <w:szCs w:val="24"/>
                <w:vertAlign w:val="subscript"/>
                <w14:textFill>
                  <w14:solidFill>
                    <w14:schemeClr w14:val="tx1"/>
                  </w14:solidFill>
                </w14:textFill>
              </w:rPr>
              <w:t>i，j</w:t>
            </w:r>
            <w:r>
              <w:rPr>
                <w:rFonts w:eastAsia="宋体"/>
                <w:color w:val="000000" w:themeColor="text1"/>
                <w:sz w:val="24"/>
                <w:szCs w:val="24"/>
                <w14:textFill>
                  <w14:solidFill>
                    <w14:schemeClr w14:val="tx1"/>
                  </w14:solidFill>
                </w14:textFill>
              </w:rPr>
              <w:t>——某污染物的污染指数；</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 xml:space="preserve">      C</w:t>
            </w:r>
            <w:r>
              <w:rPr>
                <w:rFonts w:eastAsia="宋体"/>
                <w:color w:val="000000" w:themeColor="text1"/>
                <w:sz w:val="24"/>
                <w:szCs w:val="24"/>
                <w:vertAlign w:val="subscript"/>
                <w14:textFill>
                  <w14:solidFill>
                    <w14:schemeClr w14:val="tx1"/>
                  </w14:solidFill>
                </w14:textFill>
              </w:rPr>
              <w:t>i，j</w:t>
            </w:r>
            <w:r>
              <w:rPr>
                <w:rFonts w:eastAsia="宋体"/>
                <w:color w:val="000000" w:themeColor="text1"/>
                <w:sz w:val="24"/>
                <w:szCs w:val="24"/>
                <w14:textFill>
                  <w14:solidFill>
                    <w14:schemeClr w14:val="tx1"/>
                  </w14:solidFill>
                </w14:textFill>
              </w:rPr>
              <w:t>——某污染物的实际浓度，mg/L；</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 xml:space="preserve">      C</w:t>
            </w:r>
            <w:r>
              <w:rPr>
                <w:rFonts w:eastAsia="宋体"/>
                <w:color w:val="000000" w:themeColor="text1"/>
                <w:sz w:val="24"/>
                <w:szCs w:val="24"/>
                <w:vertAlign w:val="subscript"/>
                <w14:textFill>
                  <w14:solidFill>
                    <w14:schemeClr w14:val="tx1"/>
                  </w14:solidFill>
                </w14:textFill>
              </w:rPr>
              <w:t>si</w:t>
            </w:r>
            <w:r>
              <w:rPr>
                <w:rFonts w:eastAsia="宋体"/>
                <w:color w:val="000000" w:themeColor="text1"/>
                <w:sz w:val="24"/>
                <w:szCs w:val="24"/>
                <w14:textFill>
                  <w14:solidFill>
                    <w14:schemeClr w14:val="tx1"/>
                  </w14:solidFill>
                </w14:textFill>
              </w:rPr>
              <w:t>——某污染物的评价标准，mg/L。</w:t>
            </w:r>
          </w:p>
          <w:p>
            <w:pPr>
              <w:spacing w:line="560" w:lineRule="exact"/>
              <w:ind w:firstLine="482"/>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pH单因子指数计算公式为：</w:t>
            </w:r>
          </w:p>
          <w:p>
            <w:pPr>
              <w:spacing w:line="360" w:lineRule="auto"/>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object>
                <v:shape id="_x0000_i1026" o:spt="75" type="#_x0000_t75" style="height:41.3pt;width:198.45pt;" o:ole="t" filled="f" o:preferrelative="t" stroked="f" coordsize="21600,21600">
                  <v:path/>
                  <v:fill on="f" focussize="0,0"/>
                  <v:stroke on="f" joinstyle="miter"/>
                  <v:imagedata r:id="rId15" o:title=""/>
                  <o:lock v:ext="edit" aspectratio="t"/>
                  <w10:wrap type="none"/>
                  <w10:anchorlock/>
                </v:shape>
                <o:OLEObject Type="Embed" ProgID="Visio.Drawing.11" ShapeID="_x0000_i1026" DrawAspect="Content" ObjectID="_1468075726" r:id="rId14">
                  <o:LockedField>false</o:LockedField>
                </o:OLEObject>
              </w:object>
            </w:r>
          </w:p>
          <w:p>
            <w:pPr>
              <w:spacing w:line="360" w:lineRule="auto"/>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object>
                <v:shape id="_x0000_i1027" o:spt="75" type="#_x0000_t75" style="height:41.3pt;width:200.35pt;" o:ole="t" filled="f" o:preferrelative="t" stroked="f" coordsize="21600,21600">
                  <v:path/>
                  <v:fill on="f" focussize="0,0"/>
                  <v:stroke on="f" joinstyle="miter"/>
                  <v:imagedata r:id="rId17" o:title=""/>
                  <o:lock v:ext="edit" aspectratio="t"/>
                  <w10:wrap type="none"/>
                  <w10:anchorlock/>
                </v:shape>
                <o:OLEObject Type="Embed" ProgID="Visio.Drawing.11" ShapeID="_x0000_i1027" DrawAspect="Content" ObjectID="_1468075727" r:id="rId16">
                  <o:LockedField>false</o:LockedField>
                </o:OLEObject>
              </w:objec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式中：S</w:t>
            </w:r>
            <w:r>
              <w:rPr>
                <w:rFonts w:eastAsia="宋体"/>
                <w:color w:val="000000" w:themeColor="text1"/>
                <w:sz w:val="24"/>
                <w:szCs w:val="24"/>
                <w:vertAlign w:val="subscript"/>
                <w14:textFill>
                  <w14:solidFill>
                    <w14:schemeClr w14:val="tx1"/>
                  </w14:solidFill>
                </w14:textFill>
              </w:rPr>
              <w:t>pHij</w:t>
            </w:r>
            <w:r>
              <w:rPr>
                <w:rFonts w:eastAsia="宋体"/>
                <w:color w:val="000000" w:themeColor="text1"/>
                <w:sz w:val="24"/>
                <w:szCs w:val="24"/>
                <w14:textFill>
                  <w14:solidFill>
                    <w14:schemeClr w14:val="tx1"/>
                  </w14:solidFill>
                </w14:textFill>
              </w:rPr>
              <w:t>——pH的污染指数</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 xml:space="preserve">      pH</w:t>
            </w:r>
            <w:r>
              <w:rPr>
                <w:rFonts w:eastAsia="宋体"/>
                <w:color w:val="000000" w:themeColor="text1"/>
                <w:sz w:val="24"/>
                <w:szCs w:val="24"/>
                <w:vertAlign w:val="subscript"/>
                <w14:textFill>
                  <w14:solidFill>
                    <w14:schemeClr w14:val="tx1"/>
                  </w14:solidFill>
                </w14:textFill>
              </w:rPr>
              <w:t>j</w:t>
            </w:r>
            <w:r>
              <w:rPr>
                <w:rFonts w:eastAsia="宋体"/>
                <w:color w:val="000000" w:themeColor="text1"/>
                <w:sz w:val="24"/>
                <w:szCs w:val="24"/>
                <w14:textFill>
                  <w14:solidFill>
                    <w14:schemeClr w14:val="tx1"/>
                  </w14:solidFill>
                </w14:textFill>
              </w:rPr>
              <w:t>——j点pH实测值</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 xml:space="preserve">      pH</w:t>
            </w:r>
            <w:r>
              <w:rPr>
                <w:rFonts w:eastAsia="宋体"/>
                <w:color w:val="000000" w:themeColor="text1"/>
                <w:sz w:val="24"/>
                <w:szCs w:val="24"/>
                <w:vertAlign w:val="subscript"/>
                <w14:textFill>
                  <w14:solidFill>
                    <w14:schemeClr w14:val="tx1"/>
                  </w14:solidFill>
                </w14:textFill>
              </w:rPr>
              <w:t>sd</w:t>
            </w:r>
            <w:r>
              <w:rPr>
                <w:rFonts w:eastAsia="宋体"/>
                <w:color w:val="000000" w:themeColor="text1"/>
                <w:sz w:val="24"/>
                <w:szCs w:val="24"/>
                <w14:textFill>
                  <w14:solidFill>
                    <w14:schemeClr w14:val="tx1"/>
                  </w14:solidFill>
                </w14:textFill>
              </w:rPr>
              <w:t>——标准中的pH值的下限值（6.5）</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 xml:space="preserve">      pH</w:t>
            </w:r>
            <w:r>
              <w:rPr>
                <w:rFonts w:eastAsia="宋体"/>
                <w:color w:val="000000" w:themeColor="text1"/>
                <w:sz w:val="24"/>
                <w:szCs w:val="24"/>
                <w:vertAlign w:val="subscript"/>
                <w14:textFill>
                  <w14:solidFill>
                    <w14:schemeClr w14:val="tx1"/>
                  </w14:solidFill>
                </w14:textFill>
              </w:rPr>
              <w:t>su</w:t>
            </w:r>
            <w:r>
              <w:rPr>
                <w:rFonts w:eastAsia="宋体"/>
                <w:color w:val="000000" w:themeColor="text1"/>
                <w:sz w:val="24"/>
                <w:szCs w:val="24"/>
                <w14:textFill>
                  <w14:solidFill>
                    <w14:schemeClr w14:val="tx1"/>
                  </w14:solidFill>
                </w14:textFill>
              </w:rPr>
              <w:t>——标准中的pH值的上限值（8.5）</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（5）</w:t>
            </w:r>
            <w:r>
              <w:rPr>
                <w:rFonts w:eastAsia="宋体"/>
                <w:color w:val="000000" w:themeColor="text1"/>
                <w:sz w:val="24"/>
                <w:szCs w:val="24"/>
                <w14:textFill>
                  <w14:solidFill>
                    <w14:schemeClr w14:val="tx1"/>
                  </w14:solidFill>
                </w14:textFill>
              </w:rPr>
              <w:t>监测</w:t>
            </w:r>
            <w:r>
              <w:rPr>
                <w:rFonts w:hint="eastAsia" w:eastAsia="宋体"/>
                <w:color w:val="000000" w:themeColor="text1"/>
                <w:sz w:val="24"/>
                <w:szCs w:val="24"/>
                <w14:textFill>
                  <w14:solidFill>
                    <w14:schemeClr w14:val="tx1"/>
                  </w14:solidFill>
                </w14:textFill>
              </w:rPr>
              <w:t>及评价结果分析</w:t>
            </w:r>
          </w:p>
          <w:p>
            <w:pPr>
              <w:pStyle w:val="15"/>
              <w:spacing w:line="560" w:lineRule="exact"/>
              <w:ind w:firstLine="482"/>
              <w:rPr>
                <w:rFonts w:hint="eastAsia" w:ascii="Times New Roman" w:hAnsi="Times New Roman" w:eastAsia="宋体"/>
                <w:color w:val="000000" w:themeColor="text1"/>
                <w:sz w:val="24"/>
                <w:szCs w:val="24"/>
                <w:lang w:val="en-US" w:eastAsia="zh-CN"/>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地下水</w:t>
            </w:r>
            <w:r>
              <w:rPr>
                <w:rFonts w:hint="eastAsia" w:ascii="Times New Roman" w:hAnsi="Times New Roman" w:eastAsia="宋体"/>
                <w:color w:val="000000" w:themeColor="text1"/>
                <w:sz w:val="24"/>
                <w:szCs w:val="24"/>
                <w14:textFill>
                  <w14:solidFill>
                    <w14:schemeClr w14:val="tx1"/>
                  </w14:solidFill>
                </w14:textFill>
              </w:rPr>
              <w:t>水质监测数据以及评价结果</w:t>
            </w:r>
            <w:r>
              <w:rPr>
                <w:rFonts w:ascii="Times New Roman" w:hAnsi="Times New Roman" w:eastAsia="宋体"/>
                <w:color w:val="000000" w:themeColor="text1"/>
                <w:sz w:val="24"/>
                <w:szCs w:val="24"/>
                <w14:textFill>
                  <w14:solidFill>
                    <w14:schemeClr w14:val="tx1"/>
                  </w14:solidFill>
                </w14:textFill>
              </w:rPr>
              <w:t>见</w:t>
            </w:r>
            <w:r>
              <w:rPr>
                <w:rFonts w:hint="eastAsia" w:ascii="Times New Roman" w:hAnsi="Times New Roman" w:eastAsia="宋体"/>
                <w:color w:val="000000" w:themeColor="text1"/>
                <w:sz w:val="24"/>
                <w:szCs w:val="24"/>
                <w14:textFill>
                  <w14:solidFill>
                    <w14:schemeClr w14:val="tx1"/>
                  </w14:solidFill>
                </w14:textFill>
              </w:rPr>
              <w:t>下表</w:t>
            </w:r>
            <w:r>
              <w:rPr>
                <w:rFonts w:ascii="Times New Roman" w:hAnsi="Times New Roman" w:eastAsia="宋体"/>
                <w:color w:val="000000" w:themeColor="text1"/>
                <w:sz w:val="24"/>
                <w:szCs w:val="24"/>
                <w14:textFill>
                  <w14:solidFill>
                    <w14:schemeClr w14:val="tx1"/>
                  </w14:solidFill>
                </w14:textFill>
              </w:rPr>
              <w:t>。</w:t>
            </w:r>
          </w:p>
          <w:p>
            <w:pPr>
              <w:autoSpaceDE w:val="0"/>
              <w:autoSpaceDN w:val="0"/>
              <w:adjustRightInd w:val="0"/>
              <w:snapToGrid w:val="0"/>
              <w:spacing w:before="156" w:beforeLines="50"/>
              <w:jc w:val="center"/>
              <w:rPr>
                <w:rFonts w:eastAsia="宋体"/>
                <w:b/>
                <w:bCs/>
                <w:color w:val="000000" w:themeColor="text1"/>
                <w:sz w:val="21"/>
                <w:szCs w:val="24"/>
                <w14:textFill>
                  <w14:solidFill>
                    <w14:schemeClr w14:val="tx1"/>
                  </w14:solidFill>
                </w14:textFill>
              </w:rPr>
            </w:pPr>
            <w:r>
              <w:rPr>
                <w:rFonts w:eastAsia="宋体"/>
                <w:b/>
                <w:bCs/>
                <w:color w:val="000000" w:themeColor="text1"/>
                <w:sz w:val="21"/>
                <w:szCs w:val="24"/>
                <w14:textFill>
                  <w14:solidFill>
                    <w14:schemeClr w14:val="tx1"/>
                  </w14:solidFill>
                </w14:textFill>
              </w:rPr>
              <w:t>表</w:t>
            </w:r>
            <w:r>
              <w:rPr>
                <w:rFonts w:hint="eastAsia" w:eastAsia="宋体"/>
                <w:b/>
                <w:bCs/>
                <w:color w:val="000000" w:themeColor="text1"/>
                <w:sz w:val="21"/>
                <w:szCs w:val="24"/>
                <w14:textFill>
                  <w14:solidFill>
                    <w14:schemeClr w14:val="tx1"/>
                  </w14:solidFill>
                </w14:textFill>
              </w:rPr>
              <w:t>1</w:t>
            </w:r>
            <w:r>
              <w:rPr>
                <w:rFonts w:hint="eastAsia" w:eastAsia="宋体"/>
                <w:b/>
                <w:bCs/>
                <w:color w:val="000000" w:themeColor="text1"/>
                <w:sz w:val="21"/>
                <w:szCs w:val="24"/>
                <w:lang w:val="en-US" w:eastAsia="zh-CN"/>
                <w14:textFill>
                  <w14:solidFill>
                    <w14:schemeClr w14:val="tx1"/>
                  </w14:solidFill>
                </w14:textFill>
              </w:rPr>
              <w:t>2</w:t>
            </w:r>
            <w:r>
              <w:rPr>
                <w:rFonts w:eastAsia="宋体"/>
                <w:b/>
                <w:bCs/>
                <w:color w:val="000000" w:themeColor="text1"/>
                <w:sz w:val="21"/>
                <w:szCs w:val="24"/>
                <w14:textFill>
                  <w14:solidFill>
                    <w14:schemeClr w14:val="tx1"/>
                  </w14:solidFill>
                </w14:textFill>
              </w:rPr>
              <w:t xml:space="preserve">   地下水监测</w:t>
            </w:r>
            <w:r>
              <w:rPr>
                <w:rFonts w:hint="eastAsia" w:eastAsia="宋体"/>
                <w:b/>
                <w:bCs/>
                <w:color w:val="000000" w:themeColor="text1"/>
                <w:sz w:val="21"/>
                <w:szCs w:val="24"/>
                <w14:textFill>
                  <w14:solidFill>
                    <w14:schemeClr w14:val="tx1"/>
                  </w14:solidFill>
                </w14:textFill>
              </w:rPr>
              <w:t>及评价</w:t>
            </w:r>
            <w:r>
              <w:rPr>
                <w:rFonts w:eastAsia="宋体"/>
                <w:b/>
                <w:bCs/>
                <w:color w:val="000000" w:themeColor="text1"/>
                <w:sz w:val="21"/>
                <w:szCs w:val="24"/>
                <w14:textFill>
                  <w14:solidFill>
                    <w14:schemeClr w14:val="tx1"/>
                  </w14:solidFill>
                </w14:textFill>
              </w:rPr>
              <w:t>结果    单位mg/L，除pH外</w:t>
            </w:r>
          </w:p>
          <w:tbl>
            <w:tblPr>
              <w:tblStyle w:val="32"/>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916"/>
              <w:gridCol w:w="1015"/>
              <w:gridCol w:w="1582"/>
              <w:gridCol w:w="1505"/>
              <w:gridCol w:w="1292"/>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Merge w:val="restart"/>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序号</w:t>
                  </w:r>
                </w:p>
              </w:tc>
              <w:tc>
                <w:tcPr>
                  <w:tcW w:w="1916" w:type="dxa"/>
                  <w:vMerge w:val="restart"/>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检测项目</w:t>
                  </w:r>
                </w:p>
              </w:tc>
              <w:tc>
                <w:tcPr>
                  <w:tcW w:w="1015" w:type="dxa"/>
                  <w:vMerge w:val="restart"/>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Ⅲ类标准限值</w:t>
                  </w:r>
                </w:p>
              </w:tc>
              <w:tc>
                <w:tcPr>
                  <w:tcW w:w="3087" w:type="dxa"/>
                  <w:gridSpan w:val="2"/>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监测值</w:t>
                  </w:r>
                </w:p>
              </w:tc>
              <w:tc>
                <w:tcPr>
                  <w:tcW w:w="2212" w:type="dxa"/>
                  <w:gridSpan w:val="2"/>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单因子指数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Merge w:val="continue"/>
                  <w:vAlign w:val="center"/>
                </w:tcPr>
                <w:p>
                  <w:pPr>
                    <w:widowControl/>
                    <w:jc w:val="center"/>
                    <w:rPr>
                      <w:rFonts w:hint="eastAsia" w:eastAsia="宋体"/>
                      <w:color w:val="000000" w:themeColor="text1"/>
                      <w:sz w:val="21"/>
                      <w:szCs w:val="21"/>
                      <w14:textFill>
                        <w14:solidFill>
                          <w14:schemeClr w14:val="tx1"/>
                        </w14:solidFill>
                      </w14:textFill>
                    </w:rPr>
                  </w:pPr>
                </w:p>
              </w:tc>
              <w:tc>
                <w:tcPr>
                  <w:tcW w:w="1916" w:type="dxa"/>
                  <w:vMerge w:val="continue"/>
                  <w:vAlign w:val="center"/>
                </w:tcPr>
                <w:p>
                  <w:pPr>
                    <w:widowControl/>
                    <w:jc w:val="center"/>
                    <w:rPr>
                      <w:rFonts w:hint="eastAsia" w:eastAsia="宋体"/>
                      <w:color w:val="000000" w:themeColor="text1"/>
                      <w:sz w:val="21"/>
                      <w:szCs w:val="21"/>
                      <w14:textFill>
                        <w14:solidFill>
                          <w14:schemeClr w14:val="tx1"/>
                        </w14:solidFill>
                      </w14:textFill>
                    </w:rPr>
                  </w:pPr>
                </w:p>
              </w:tc>
              <w:tc>
                <w:tcPr>
                  <w:tcW w:w="1015" w:type="dxa"/>
                  <w:vMerge w:val="continue"/>
                  <w:vAlign w:val="center"/>
                </w:tcPr>
                <w:p>
                  <w:pPr>
                    <w:widowControl/>
                    <w:jc w:val="center"/>
                    <w:rPr>
                      <w:rFonts w:hint="eastAsia" w:eastAsia="宋体"/>
                      <w:color w:val="000000" w:themeColor="text1"/>
                      <w:sz w:val="21"/>
                      <w:szCs w:val="21"/>
                      <w14:textFill>
                        <w14:solidFill>
                          <w14:schemeClr w14:val="tx1"/>
                        </w14:solidFill>
                      </w14:textFill>
                    </w:rPr>
                  </w:pPr>
                </w:p>
              </w:tc>
              <w:tc>
                <w:tcPr>
                  <w:tcW w:w="158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c>
                <w:tcPr>
                  <w:tcW w:w="1505"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6#</w:t>
                  </w:r>
                </w:p>
              </w:tc>
              <w:tc>
                <w:tcPr>
                  <w:tcW w:w="1292" w:type="dxa"/>
                  <w:tcBorders>
                    <w:righ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c>
                <w:tcPr>
                  <w:tcW w:w="920"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pH</w:t>
                  </w:r>
                  <w:r>
                    <w:rPr>
                      <w:rFonts w:hint="eastAsia" w:eastAsia="宋体"/>
                      <w:color w:val="000000" w:themeColor="text1"/>
                      <w:sz w:val="21"/>
                      <w:szCs w:val="21"/>
                      <w14:textFill>
                        <w14:solidFill>
                          <w14:schemeClr w14:val="tx1"/>
                        </w14:solidFill>
                      </w14:textFill>
                    </w:rPr>
                    <w:t>值</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6.5～8.5</w:t>
                  </w:r>
                </w:p>
              </w:tc>
              <w:tc>
                <w:tcPr>
                  <w:tcW w:w="1582" w:type="dxa"/>
                  <w:tcBorders>
                    <w:right w:val="single" w:color="000000" w:sz="4" w:space="0"/>
                  </w:tcBorders>
                  <w:vAlign w:val="center"/>
                </w:tcPr>
                <w:p>
                  <w:pPr>
                    <w:widowControl/>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7.</w:t>
                  </w:r>
                  <w:r>
                    <w:rPr>
                      <w:rFonts w:hint="eastAsia" w:eastAsia="宋体"/>
                      <w:color w:val="000000" w:themeColor="text1"/>
                      <w:sz w:val="21"/>
                      <w:szCs w:val="21"/>
                      <w:lang w:val="en-US" w:eastAsia="zh-CN"/>
                      <w14:textFill>
                        <w14:solidFill>
                          <w14:schemeClr w14:val="tx1"/>
                        </w14:solidFill>
                      </w14:textFill>
                    </w:rPr>
                    <w:t>7</w:t>
                  </w:r>
                </w:p>
              </w:tc>
              <w:tc>
                <w:tcPr>
                  <w:tcW w:w="1505"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7.3</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47</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总硬度</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≤450</w:t>
                  </w:r>
                </w:p>
              </w:tc>
              <w:tc>
                <w:tcPr>
                  <w:tcW w:w="158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hint="eastAsia" w:eastAsia="宋体"/>
                      <w:color w:val="000000" w:themeColor="text1"/>
                      <w:sz w:val="21"/>
                      <w:szCs w:val="21"/>
                      <w:lang w:val="en-US" w:eastAsia="zh-CN"/>
                      <w14:textFill>
                        <w14:solidFill>
                          <w14:schemeClr w14:val="tx1"/>
                        </w14:solidFill>
                      </w14:textFill>
                    </w:rPr>
                    <w:t>20</w:t>
                  </w:r>
                </w:p>
              </w:tc>
              <w:tc>
                <w:tcPr>
                  <w:tcW w:w="1505"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276</w:t>
                  </w:r>
                </w:p>
              </w:tc>
              <w:tc>
                <w:tcPr>
                  <w:tcW w:w="1292" w:type="dxa"/>
                  <w:tcBorders>
                    <w:right w:val="single" w:color="000000" w:sz="4" w:space="0"/>
                  </w:tcBorders>
                  <w:vAlign w:val="center"/>
                </w:tcPr>
                <w:p>
                  <w:pPr>
                    <w:widowControl/>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0.7</w:t>
                  </w:r>
                  <w:r>
                    <w:rPr>
                      <w:rFonts w:hint="eastAsia" w:eastAsia="宋体"/>
                      <w:color w:val="000000" w:themeColor="text1"/>
                      <w:sz w:val="21"/>
                      <w:szCs w:val="21"/>
                      <w:lang w:val="en-US" w:eastAsia="zh-CN"/>
                      <w14:textFill>
                        <w14:solidFill>
                          <w14:schemeClr w14:val="tx1"/>
                        </w14:solidFill>
                      </w14:textFill>
                    </w:rPr>
                    <w:t>1</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溶解性总固体</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≤1000</w:t>
                  </w:r>
                </w:p>
              </w:tc>
              <w:tc>
                <w:tcPr>
                  <w:tcW w:w="158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320</w:t>
                  </w:r>
                </w:p>
              </w:tc>
              <w:tc>
                <w:tcPr>
                  <w:tcW w:w="1505"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308</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32</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硫酸盐</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≤250</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11</w:t>
                  </w:r>
                  <w:r>
                    <w:rPr>
                      <w:rFonts w:hint="eastAsia" w:eastAsia="宋体"/>
                      <w:color w:val="000000" w:themeColor="text1"/>
                      <w:sz w:val="21"/>
                      <w:szCs w:val="21"/>
                      <w14:textFill>
                        <w14:solidFill>
                          <w14:schemeClr w14:val="tx1"/>
                        </w14:solidFill>
                      </w14:textFill>
                    </w:rPr>
                    <w:t>2</w:t>
                  </w:r>
                </w:p>
              </w:tc>
              <w:tc>
                <w:tcPr>
                  <w:tcW w:w="1505"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100</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45</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氯化物</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58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28</w:t>
                  </w:r>
                </w:p>
              </w:tc>
              <w:tc>
                <w:tcPr>
                  <w:tcW w:w="1505"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15</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1.12</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硝酸盐</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158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0.58</w:t>
                  </w:r>
                </w:p>
              </w:tc>
              <w:tc>
                <w:tcPr>
                  <w:tcW w:w="1505"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0.52</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0.03</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亚硝酸盐</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1.00</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0.003</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0.003</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003</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8</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氨氮</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r>
                    <w:rPr>
                      <w:rFonts w:hint="eastAsia" w:eastAsia="宋体"/>
                      <w:color w:val="000000" w:themeColor="text1"/>
                      <w:sz w:val="21"/>
                      <w:szCs w:val="21"/>
                      <w14:textFill>
                        <w14:solidFill>
                          <w14:schemeClr w14:val="tx1"/>
                        </w14:solidFill>
                      </w14:textFill>
                    </w:rPr>
                    <w:t>5</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0.025</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0.025</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05</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9</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氟化物</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158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28</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24</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28</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10</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氰化物</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≤0.05</w:t>
                  </w:r>
                </w:p>
              </w:tc>
              <w:tc>
                <w:tcPr>
                  <w:tcW w:w="1582" w:type="dxa"/>
                  <w:tcBorders>
                    <w:right w:val="single" w:color="000000" w:sz="4" w:space="0"/>
                  </w:tcBorders>
                  <w:vAlign w:val="center"/>
                </w:tcPr>
                <w:p>
                  <w:pPr>
                    <w:widowControl/>
                    <w:jc w:val="center"/>
                    <w:rPr>
                      <w:rFonts w:hint="eastAsia"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w:t>
                  </w:r>
                  <w:r>
                    <w:rPr>
                      <w:rFonts w:hint="eastAsia" w:eastAsia="宋体"/>
                      <w:color w:val="000000" w:themeColor="text1"/>
                      <w:sz w:val="21"/>
                      <w:szCs w:val="21"/>
                      <w:lang w:val="en-US" w:eastAsia="zh-CN"/>
                      <w14:textFill>
                        <w14:solidFill>
                          <w14:schemeClr w14:val="tx1"/>
                        </w14:solidFill>
                      </w14:textFill>
                    </w:rPr>
                    <w:t>2</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w:t>
                  </w:r>
                  <w:r>
                    <w:rPr>
                      <w:rFonts w:hint="eastAsia" w:eastAsia="宋体"/>
                      <w:color w:val="000000" w:themeColor="text1"/>
                      <w:sz w:val="21"/>
                      <w:szCs w:val="21"/>
                      <w:lang w:val="en-US" w:eastAsia="zh-CN"/>
                      <w14:textFill>
                        <w14:solidFill>
                          <w14:schemeClr w14:val="tx1"/>
                        </w14:solidFill>
                      </w14:textFill>
                    </w:rPr>
                    <w:t>2</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.04</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11</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挥发性酚类</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≤0.002</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0.0003</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0.0003</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.15</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12</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铁</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0.03</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0.03</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.1</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13</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锰</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0.01</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0.01</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.1</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14</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铜</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1582" w:type="dxa"/>
                  <w:tcBorders>
                    <w:right w:val="single" w:color="000000" w:sz="4" w:space="0"/>
                  </w:tcBorders>
                  <w:vAlign w:val="center"/>
                </w:tcPr>
                <w:p>
                  <w:pPr>
                    <w:widowControl/>
                    <w:jc w:val="center"/>
                    <w:rPr>
                      <w:rFonts w:hint="default" w:eastAsia="宋体"/>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0.05</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0.05</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.05</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15</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锌</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0.05</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0.05</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.05</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16</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汞</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≤0.001</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0.00004</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0.00004</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.04</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17</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砷</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w:t>
                  </w:r>
                  <w:r>
                    <w:rPr>
                      <w:rFonts w:hint="eastAsia" w:eastAsia="宋体"/>
                      <w:color w:val="000000" w:themeColor="text1"/>
                      <w:sz w:val="21"/>
                      <w:szCs w:val="21"/>
                      <w14:textFill>
                        <w14:solidFill>
                          <w14:schemeClr w14:val="tx1"/>
                        </w14:solidFill>
                      </w14:textFill>
                    </w:rPr>
                    <w:t>1</w:t>
                  </w:r>
                </w:p>
              </w:tc>
              <w:tc>
                <w:tcPr>
                  <w:tcW w:w="1582" w:type="dxa"/>
                  <w:tcBorders>
                    <w:right w:val="single" w:color="000000" w:sz="4" w:space="0"/>
                  </w:tcBorders>
                  <w:vAlign w:val="center"/>
                </w:tcPr>
                <w:p>
                  <w:pPr>
                    <w:widowControl/>
                    <w:jc w:val="center"/>
                    <w:rPr>
                      <w:rFonts w:hint="eastAsia"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0.000</w:t>
                  </w:r>
                  <w:r>
                    <w:rPr>
                      <w:rFonts w:hint="eastAsia" w:eastAsia="宋体"/>
                      <w:color w:val="000000" w:themeColor="text1"/>
                      <w:sz w:val="21"/>
                      <w:szCs w:val="21"/>
                      <w:lang w:val="en-US" w:eastAsia="zh-CN"/>
                      <w14:textFill>
                        <w14:solidFill>
                          <w14:schemeClr w14:val="tx1"/>
                        </w14:solidFill>
                      </w14:textFill>
                    </w:rPr>
                    <w:t>3</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0.000</w:t>
                  </w:r>
                  <w:r>
                    <w:rPr>
                      <w:rFonts w:hint="eastAsia" w:eastAsia="宋体"/>
                      <w:color w:val="000000" w:themeColor="text1"/>
                      <w:sz w:val="21"/>
                      <w:szCs w:val="21"/>
                      <w:lang w:val="en-US" w:eastAsia="zh-CN"/>
                      <w14:textFill>
                        <w14:solidFill>
                          <w14:schemeClr w14:val="tx1"/>
                        </w14:solidFill>
                      </w14:textFill>
                    </w:rPr>
                    <w:t>3</w:t>
                  </w:r>
                </w:p>
              </w:tc>
              <w:tc>
                <w:tcPr>
                  <w:tcW w:w="1292" w:type="dxa"/>
                  <w:tcBorders>
                    <w:right w:val="single" w:color="000000" w:sz="4" w:space="0"/>
                  </w:tcBorders>
                  <w:vAlign w:val="center"/>
                </w:tcPr>
                <w:p>
                  <w:pPr>
                    <w:widowControl/>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0.0</w:t>
                  </w:r>
                  <w:r>
                    <w:rPr>
                      <w:rFonts w:hint="eastAsia" w:eastAsia="宋体"/>
                      <w:color w:val="000000" w:themeColor="text1"/>
                      <w:sz w:val="21"/>
                      <w:szCs w:val="21"/>
                      <w:lang w:val="en-US" w:eastAsia="zh-CN"/>
                      <w14:textFill>
                        <w14:solidFill>
                          <w14:schemeClr w14:val="tx1"/>
                        </w14:solidFill>
                      </w14:textFill>
                    </w:rPr>
                    <w:t>3</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hint="eastAsia" w:eastAsia="宋体"/>
                      <w:color w:val="000000" w:themeColor="text1"/>
                      <w:sz w:val="21"/>
                      <w:szCs w:val="21"/>
                      <w:lang w:val="en-US" w:eastAsia="zh-CN"/>
                      <w14:textFill>
                        <w14:solidFill>
                          <w14:schemeClr w14:val="tx1"/>
                        </w14:solidFill>
                      </w14:textFill>
                    </w:rPr>
                    <w:t>8</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铬</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六价</w:t>
                  </w:r>
                  <w:r>
                    <w:rPr>
                      <w:rFonts w:eastAsia="宋体"/>
                      <w:color w:val="000000" w:themeColor="text1"/>
                      <w:sz w:val="21"/>
                      <w:szCs w:val="21"/>
                      <w14:textFill>
                        <w14:solidFill>
                          <w14:schemeClr w14:val="tx1"/>
                        </w14:solidFill>
                      </w14:textFill>
                    </w:rPr>
                    <w:t>)</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≤0.05</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0.004</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0.004</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.08</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19</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硒</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w:t>
                  </w:r>
                  <w:r>
                    <w:rPr>
                      <w:rFonts w:hint="eastAsia" w:eastAsia="宋体"/>
                      <w:color w:val="000000" w:themeColor="text1"/>
                      <w:sz w:val="21"/>
                      <w:szCs w:val="21"/>
                      <w14:textFill>
                        <w14:solidFill>
                          <w14:schemeClr w14:val="tx1"/>
                        </w14:solidFill>
                      </w14:textFill>
                    </w:rPr>
                    <w:t>1</w:t>
                  </w:r>
                </w:p>
              </w:tc>
              <w:tc>
                <w:tcPr>
                  <w:tcW w:w="1582" w:type="dxa"/>
                  <w:tcBorders>
                    <w:right w:val="single" w:color="000000" w:sz="4" w:space="0"/>
                  </w:tcBorders>
                  <w:vAlign w:val="center"/>
                </w:tcPr>
                <w:p>
                  <w:pPr>
                    <w:widowControl/>
                    <w:jc w:val="center"/>
                    <w:rPr>
                      <w:rFonts w:hint="eastAsia"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0.000</w:t>
                  </w:r>
                  <w:r>
                    <w:rPr>
                      <w:rFonts w:hint="eastAsia" w:eastAsia="宋体"/>
                      <w:color w:val="000000" w:themeColor="text1"/>
                      <w:sz w:val="21"/>
                      <w:szCs w:val="21"/>
                      <w:lang w:val="en-US" w:eastAsia="zh-CN"/>
                      <w14:textFill>
                        <w14:solidFill>
                          <w14:schemeClr w14:val="tx1"/>
                        </w14:solidFill>
                      </w14:textFill>
                    </w:rPr>
                    <w:t>4</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0.000</w:t>
                  </w:r>
                  <w:r>
                    <w:rPr>
                      <w:rFonts w:hint="eastAsia" w:eastAsia="宋体"/>
                      <w:color w:val="000000" w:themeColor="text1"/>
                      <w:sz w:val="21"/>
                      <w:szCs w:val="21"/>
                      <w:lang w:val="en-US" w:eastAsia="zh-CN"/>
                      <w14:textFill>
                        <w14:solidFill>
                          <w14:schemeClr w14:val="tx1"/>
                        </w14:solidFill>
                      </w14:textFill>
                    </w:rPr>
                    <w:t>4</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.04</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842" w:type="dxa"/>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20</w:t>
                  </w:r>
                </w:p>
              </w:tc>
              <w:tc>
                <w:tcPr>
                  <w:tcW w:w="1916"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阴离子表面活性剂</w:t>
                  </w:r>
                </w:p>
              </w:tc>
              <w:tc>
                <w:tcPr>
                  <w:tcW w:w="1015"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w:t>
                  </w:r>
                </w:p>
              </w:tc>
              <w:tc>
                <w:tcPr>
                  <w:tcW w:w="1582" w:type="dxa"/>
                  <w:tcBorders>
                    <w:right w:val="single" w:color="000000" w:sz="4" w:space="0"/>
                  </w:tcBorders>
                  <w:vAlign w:val="center"/>
                </w:tcPr>
                <w:p>
                  <w:pPr>
                    <w:widowControl/>
                    <w:jc w:val="center"/>
                    <w:rPr>
                      <w:rFonts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0.05</w:t>
                  </w:r>
                </w:p>
              </w:tc>
              <w:tc>
                <w:tcPr>
                  <w:tcW w:w="1505" w:type="dxa"/>
                  <w:tcBorders>
                    <w:left w:val="single" w:color="000000" w:sz="4" w:space="0"/>
                  </w:tcBorders>
                  <w:vAlign w:val="center"/>
                </w:tcPr>
                <w:p>
                  <w:pPr>
                    <w:widowControl/>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0.05</w:t>
                  </w:r>
                </w:p>
              </w:tc>
              <w:tc>
                <w:tcPr>
                  <w:tcW w:w="1292" w:type="dxa"/>
                  <w:tcBorders>
                    <w:righ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.16</w:t>
                  </w:r>
                </w:p>
              </w:tc>
              <w:tc>
                <w:tcPr>
                  <w:tcW w:w="920" w:type="dxa"/>
                  <w:tcBorders>
                    <w:left w:val="single" w:color="000000" w:sz="4" w:space="0"/>
                  </w:tcBorders>
                  <w:vAlign w:val="center"/>
                </w:tcPr>
                <w:p>
                  <w:pPr>
                    <w:widowControl/>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0.16</w:t>
                  </w:r>
                </w:p>
              </w:tc>
            </w:tr>
          </w:tbl>
          <w:p>
            <w:pPr>
              <w:spacing w:line="560" w:lineRule="exact"/>
              <w:ind w:firstLine="480" w:firstLineChars="20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从评价结果可以看出，</w:t>
            </w:r>
            <w:r>
              <w:rPr>
                <w:rFonts w:hint="eastAsia" w:eastAsia="宋体"/>
                <w:color w:val="000000" w:themeColor="text1"/>
                <w:sz w:val="24"/>
                <w14:textFill>
                  <w14:solidFill>
                    <w14:schemeClr w14:val="tx1"/>
                  </w14:solidFill>
                </w14:textFill>
              </w:rPr>
              <w:t>本项目区地下水</w:t>
            </w:r>
            <w:r>
              <w:rPr>
                <w:rFonts w:hint="eastAsia" w:eastAsia="宋体"/>
                <w:color w:val="000000" w:themeColor="text1"/>
                <w:sz w:val="24"/>
                <w:lang w:val="en-US" w:eastAsia="zh-CN"/>
                <w14:textFill>
                  <w14:solidFill>
                    <w14:schemeClr w14:val="tx1"/>
                  </w14:solidFill>
                </w14:textFill>
              </w:rPr>
              <w:t>除氯化物超标，其他</w:t>
            </w:r>
            <w:r>
              <w:rPr>
                <w:rFonts w:hint="eastAsia" w:eastAsia="宋体"/>
                <w:color w:val="000000" w:themeColor="text1"/>
                <w:sz w:val="24"/>
                <w14:textFill>
                  <w14:solidFill>
                    <w14:schemeClr w14:val="tx1"/>
                  </w14:solidFill>
                </w14:textFill>
              </w:rPr>
              <w:t>各指标</w:t>
            </w:r>
            <w:r>
              <w:rPr>
                <w:rFonts w:eastAsia="宋体"/>
                <w:color w:val="000000" w:themeColor="text1"/>
                <w:sz w:val="24"/>
                <w14:textFill>
                  <w14:solidFill>
                    <w14:schemeClr w14:val="tx1"/>
                  </w14:solidFill>
                </w14:textFill>
              </w:rPr>
              <w:t>均能达到《地下水质量标准》（GB/T14848-2017）中的</w:t>
            </w:r>
            <w:r>
              <w:rPr>
                <w:rFonts w:hint="eastAsia" w:eastAsia="宋体"/>
                <w:color w:val="000000" w:themeColor="text1"/>
                <w:sz w:val="24"/>
                <w14:textFill>
                  <w14:solidFill>
                    <w14:schemeClr w14:val="tx1"/>
                  </w14:solidFill>
                </w14:textFill>
              </w:rPr>
              <w:t>Ⅲ</w:t>
            </w:r>
            <w:r>
              <w:rPr>
                <w:rFonts w:eastAsia="宋体"/>
                <w:color w:val="000000" w:themeColor="text1"/>
                <w:sz w:val="24"/>
                <w14:textFill>
                  <w14:solidFill>
                    <w14:schemeClr w14:val="tx1"/>
                  </w14:solidFill>
                </w14:textFill>
              </w:rPr>
              <w:t>类标准要求</w:t>
            </w:r>
            <w:r>
              <w:rPr>
                <w:rFonts w:hint="eastAsia" w:eastAsia="宋体"/>
                <w:color w:val="000000" w:themeColor="text1"/>
                <w:sz w:val="24"/>
                <w:lang w:eastAsia="zh-CN"/>
                <w14:textFill>
                  <w14:solidFill>
                    <w14:schemeClr w14:val="tx1"/>
                  </w14:solidFill>
                </w14:textFill>
              </w:rPr>
              <w:t>，</w:t>
            </w:r>
            <w:r>
              <w:rPr>
                <w:rFonts w:hint="eastAsia" w:eastAsia="宋体"/>
                <w:color w:val="000000" w:themeColor="text1"/>
                <w:sz w:val="24"/>
                <w14:textFill>
                  <w14:solidFill>
                    <w14:schemeClr w14:val="tx1"/>
                  </w14:solidFill>
                </w14:textFill>
              </w:rPr>
              <w:t>表明本项目区地下水水质较好。</w:t>
            </w:r>
            <w:r>
              <w:rPr>
                <w:rFonts w:hint="eastAsia" w:eastAsia="宋体"/>
                <w:color w:val="000000" w:themeColor="text1"/>
                <w:sz w:val="24"/>
                <w:szCs w:val="24"/>
                <w:lang w:val="en-US" w:eastAsia="zh-CN"/>
                <w14:textFill>
                  <w14:solidFill>
                    <w14:schemeClr w14:val="tx1"/>
                  </w14:solidFill>
                </w14:textFill>
              </w:rPr>
              <w:t>根据</w:t>
            </w:r>
            <w:r>
              <w:rPr>
                <w:rFonts w:hint="eastAsia" w:eastAsia="宋体"/>
                <w:color w:val="000000" w:themeColor="text1"/>
                <w:sz w:val="24"/>
                <w:szCs w:val="24"/>
                <w:lang w:val="zh-CN" w:eastAsia="zh-CN"/>
                <w14:textFill>
                  <w14:solidFill>
                    <w14:schemeClr w14:val="tx1"/>
                  </w14:solidFill>
                </w14:textFill>
              </w:rPr>
              <w:t>区域地下水水文地质情况，</w:t>
            </w:r>
            <w:r>
              <w:rPr>
                <w:rFonts w:hint="eastAsia" w:eastAsia="宋体"/>
                <w:color w:val="000000" w:themeColor="text1"/>
                <w:sz w:val="24"/>
                <w:szCs w:val="24"/>
                <w:lang w:val="en-US" w:eastAsia="zh-CN"/>
                <w14:textFill>
                  <w14:solidFill>
                    <w14:schemeClr w14:val="tx1"/>
                  </w14:solidFill>
                </w14:textFill>
              </w:rPr>
              <w:t>项目区地下水流向为南向北方向，渗滤液处理区位于垃圾填埋场填埋区的下游。1#</w:t>
            </w:r>
            <w:r>
              <w:rPr>
                <w:rFonts w:hint="eastAsia" w:eastAsia="宋体"/>
                <w:color w:val="000000" w:themeColor="text1"/>
                <w:sz w:val="24"/>
                <w:szCs w:val="24"/>
                <w14:textFill>
                  <w14:solidFill>
                    <w14:schemeClr w14:val="tx1"/>
                  </w14:solidFill>
                </w14:textFill>
              </w:rPr>
              <w:t>地下水监测</w:t>
            </w:r>
            <w:r>
              <w:rPr>
                <w:rFonts w:hint="eastAsia" w:eastAsia="宋体"/>
                <w:color w:val="000000" w:themeColor="text1"/>
                <w:sz w:val="24"/>
                <w:szCs w:val="24"/>
                <w:lang w:val="zh-CN" w:eastAsia="zh-CN"/>
                <w14:textFill>
                  <w14:solidFill>
                    <w14:schemeClr w14:val="tx1"/>
                  </w14:solidFill>
                </w14:textFill>
              </w:rPr>
              <w:t>井</w:t>
            </w:r>
            <w:r>
              <w:rPr>
                <w:rFonts w:hint="eastAsia" w:eastAsia="宋体"/>
                <w:color w:val="000000" w:themeColor="text1"/>
                <w:sz w:val="24"/>
                <w:szCs w:val="24"/>
                <w:lang w:val="en-US" w:eastAsia="zh-CN"/>
                <w14:textFill>
                  <w14:solidFill>
                    <w14:schemeClr w14:val="tx1"/>
                  </w14:solidFill>
                </w14:textFill>
              </w:rPr>
              <w:t>位于垃圾填埋场的南侧，地下水流的上游，为本底值井，6#</w:t>
            </w:r>
            <w:r>
              <w:rPr>
                <w:rFonts w:hint="eastAsia" w:eastAsia="宋体"/>
                <w:color w:val="000000" w:themeColor="text1"/>
                <w:sz w:val="24"/>
                <w:szCs w:val="24"/>
                <w:lang w:val="zh-CN" w:eastAsia="zh-CN"/>
                <w14:textFill>
                  <w14:solidFill>
                    <w14:schemeClr w14:val="tx1"/>
                  </w14:solidFill>
                </w14:textFill>
              </w:rPr>
              <w:t>地下水</w:t>
            </w:r>
            <w:r>
              <w:rPr>
                <w:rFonts w:hint="eastAsia" w:eastAsia="宋体"/>
                <w:color w:val="000000" w:themeColor="text1"/>
                <w:sz w:val="24"/>
                <w:szCs w:val="24"/>
                <w:lang w:val="en-US" w:eastAsia="zh-CN"/>
                <w14:textFill>
                  <w14:solidFill>
                    <w14:schemeClr w14:val="tx1"/>
                  </w14:solidFill>
                </w14:textFill>
              </w:rPr>
              <w:t>监测井位于垃圾填埋场的北侧，地下水流的下游</w:t>
            </w:r>
            <w:r>
              <w:rPr>
                <w:rFonts w:hint="eastAsia"/>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为污染监视井，</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地下水监测点位监测数据</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具有</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代表性。</w:t>
            </w:r>
          </w:p>
          <w:p>
            <w:pPr>
              <w:adjustRightInd w:val="0"/>
              <w:snapToGrid w:val="0"/>
              <w:spacing w:line="560" w:lineRule="exact"/>
              <w:ind w:firstLine="482" w:firstLineChars="200"/>
              <w:rPr>
                <w:rFonts w:eastAsia="宋体"/>
                <w:b/>
                <w:bCs/>
                <w:color w:val="000000" w:themeColor="text1"/>
                <w:sz w:val="24"/>
                <w:szCs w:val="24"/>
                <w14:textFill>
                  <w14:solidFill>
                    <w14:schemeClr w14:val="tx1"/>
                  </w14:solidFill>
                </w14:textFill>
              </w:rPr>
            </w:pPr>
            <w:r>
              <w:rPr>
                <w:rFonts w:hint="eastAsia" w:eastAsia="宋体"/>
                <w:b/>
                <w:bCs/>
                <w:color w:val="000000" w:themeColor="text1"/>
                <w:sz w:val="24"/>
                <w:szCs w:val="24"/>
                <w14:textFill>
                  <w14:solidFill>
                    <w14:schemeClr w14:val="tx1"/>
                  </w14:solidFill>
                </w14:textFill>
              </w:rPr>
              <w:t>3</w:t>
            </w:r>
            <w:r>
              <w:rPr>
                <w:rFonts w:eastAsia="宋体"/>
                <w:b/>
                <w:bCs/>
                <w:color w:val="000000" w:themeColor="text1"/>
                <w:sz w:val="24"/>
                <w:szCs w:val="24"/>
                <w14:textFill>
                  <w14:solidFill>
                    <w14:schemeClr w14:val="tx1"/>
                  </w14:solidFill>
                </w14:textFill>
              </w:rPr>
              <w:t>、声环境现状</w:t>
            </w:r>
          </w:p>
          <w:p>
            <w:pPr>
              <w:adjustRightInd w:val="0"/>
              <w:snapToGrid w:val="0"/>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为了了解本项目区声环境质量现状，本次环评委托新疆锡水金山环境科技有限公司对项目区声环境质量进行监测。监测时间为2019年8月24日。</w:t>
            </w:r>
          </w:p>
          <w:p>
            <w:pPr>
              <w:adjustRightInd w:val="0"/>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（1）监测点位布设</w:t>
            </w:r>
          </w:p>
          <w:p>
            <w:pPr>
              <w:adjustRightInd w:val="0"/>
              <w:snapToGrid w:val="0"/>
              <w:spacing w:line="560" w:lineRule="exact"/>
              <w:ind w:firstLine="360" w:firstLineChars="15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在项目区</w:t>
            </w:r>
            <w:r>
              <w:rPr>
                <w:rFonts w:hint="eastAsia" w:eastAsia="宋体"/>
                <w:color w:val="000000" w:themeColor="text1"/>
                <w:sz w:val="24"/>
                <w:szCs w:val="24"/>
                <w14:textFill>
                  <w14:solidFill>
                    <w14:schemeClr w14:val="tx1"/>
                  </w14:solidFill>
                </w14:textFill>
              </w:rPr>
              <w:t>东、西、南、北厂界各设置1个监测点，共4个监测点。具体监测点分布见附</w:t>
            </w:r>
            <w:r>
              <w:rPr>
                <w:rFonts w:eastAsia="宋体"/>
                <w:color w:val="000000" w:themeColor="text1"/>
                <w:sz w:val="24"/>
                <w:szCs w:val="24"/>
                <w14:textFill>
                  <w14:solidFill>
                    <w14:schemeClr w14:val="tx1"/>
                  </w14:solidFill>
                </w14:textFill>
              </w:rPr>
              <w:t>图</w:t>
            </w:r>
            <w:r>
              <w:rPr>
                <w:rFonts w:hint="eastAsia" w:eastAsia="宋体"/>
                <w:color w:val="000000" w:themeColor="text1"/>
                <w:sz w:val="24"/>
                <w:szCs w:val="24"/>
                <w:lang w:val="en-US" w:eastAsia="zh-CN"/>
                <w14:textFill>
                  <w14:solidFill>
                    <w14:schemeClr w14:val="tx1"/>
                  </w14:solidFill>
                </w14:textFill>
              </w:rPr>
              <w:t>8</w:t>
            </w:r>
            <w:r>
              <w:rPr>
                <w:rFonts w:eastAsia="宋体"/>
                <w:color w:val="000000" w:themeColor="text1"/>
                <w:sz w:val="24"/>
                <w:szCs w:val="24"/>
                <w14:textFill>
                  <w14:solidFill>
                    <w14:schemeClr w14:val="tx1"/>
                  </w14:solidFill>
                </w14:textFill>
              </w:rPr>
              <w:t>。</w:t>
            </w:r>
          </w:p>
          <w:p>
            <w:pPr>
              <w:spacing w:before="156" w:beforeLines="50" w:line="560" w:lineRule="exact"/>
              <w:ind w:left="140" w:leftChars="50" w:right="140" w:rightChars="50" w:firstLine="480" w:firstLineChars="200"/>
              <w:rPr>
                <w:rFonts w:eastAsia="宋体"/>
                <w:color w:val="000000" w:themeColor="text1"/>
                <w:sz w:val="24"/>
                <w14:textFill>
                  <w14:solidFill>
                    <w14:schemeClr w14:val="tx1"/>
                  </w14:solidFill>
                </w14:textFill>
              </w:rPr>
            </w:pPr>
            <w:r>
              <w:rPr>
                <w:rFonts w:eastAsia="宋体"/>
                <w:bCs/>
                <w:color w:val="000000" w:themeColor="text1"/>
                <w:sz w:val="24"/>
                <w14:textFill>
                  <w14:solidFill>
                    <w14:schemeClr w14:val="tx1"/>
                  </w14:solidFill>
                </w14:textFill>
              </w:rPr>
              <w:t>（</w:t>
            </w:r>
            <w:r>
              <w:rPr>
                <w:rFonts w:hint="eastAsia" w:eastAsia="宋体"/>
                <w:bCs/>
                <w:color w:val="000000" w:themeColor="text1"/>
                <w:sz w:val="24"/>
                <w14:textFill>
                  <w14:solidFill>
                    <w14:schemeClr w14:val="tx1"/>
                  </w14:solidFill>
                </w14:textFill>
              </w:rPr>
              <w:t>2</w:t>
            </w:r>
            <w:r>
              <w:rPr>
                <w:rFonts w:eastAsia="宋体"/>
                <w:bCs/>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监测方法</w:t>
            </w:r>
          </w:p>
          <w:p>
            <w:pPr>
              <w:spacing w:line="560" w:lineRule="exact"/>
              <w:ind w:left="140" w:leftChars="50" w:right="140" w:rightChars="50" w:firstLine="480" w:firstLineChars="200"/>
              <w:rPr>
                <w:rFonts w:eastAsia="宋体"/>
                <w:b/>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监测方法采用《声环境质量标准》（GB3096-2008）中的规定进行监测，监测仪器为AWA5688型多功能声级计，监测前后用</w:t>
            </w:r>
            <w:r>
              <w:rPr>
                <w:rFonts w:hint="eastAsia" w:eastAsia="宋体"/>
                <w:color w:val="000000" w:themeColor="text1"/>
                <w:sz w:val="24"/>
                <w14:textFill>
                  <w14:solidFill>
                    <w14:schemeClr w14:val="tx1"/>
                  </w14:solidFill>
                </w14:textFill>
              </w:rPr>
              <w:t>6221B型声级校准器</w:t>
            </w:r>
            <w:r>
              <w:rPr>
                <w:rFonts w:eastAsia="宋体"/>
                <w:color w:val="000000" w:themeColor="text1"/>
                <w:sz w:val="24"/>
                <w14:textFill>
                  <w14:solidFill>
                    <w14:schemeClr w14:val="tx1"/>
                  </w14:solidFill>
                </w14:textFill>
              </w:rPr>
              <w:t>进行校准。</w:t>
            </w:r>
          </w:p>
          <w:p>
            <w:pPr>
              <w:adjustRightInd w:val="0"/>
              <w:snapToGrid w:val="0"/>
              <w:spacing w:line="560" w:lineRule="exact"/>
              <w:ind w:left="140" w:leftChars="50" w:right="140" w:rightChars="50"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3</w:t>
            </w:r>
            <w:r>
              <w:rPr>
                <w:rFonts w:eastAsia="宋体"/>
                <w:color w:val="000000" w:themeColor="text1"/>
                <w:sz w:val="24"/>
                <w:szCs w:val="24"/>
                <w14:textFill>
                  <w14:solidFill>
                    <w14:schemeClr w14:val="tx1"/>
                  </w14:solidFill>
                </w14:textFill>
              </w:rPr>
              <w:t>）评价标准</w:t>
            </w:r>
          </w:p>
          <w:p>
            <w:pPr>
              <w:adjustRightInd w:val="0"/>
              <w:snapToGrid w:val="0"/>
              <w:spacing w:line="560" w:lineRule="exact"/>
              <w:ind w:left="140" w:leftChars="50" w:right="140" w:rightChars="50"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项目区声环境现状评价执行《声环境质量标准》（GB3096-2008）中的2类标准，具体标准限值见</w:t>
            </w:r>
            <w:r>
              <w:rPr>
                <w:rFonts w:hint="eastAsia" w:eastAsia="宋体"/>
                <w:color w:val="000000" w:themeColor="text1"/>
                <w:sz w:val="24"/>
                <w:szCs w:val="24"/>
                <w14:textFill>
                  <w14:solidFill>
                    <w14:schemeClr w14:val="tx1"/>
                  </w14:solidFill>
                </w14:textFill>
              </w:rPr>
              <w:t>下表</w:t>
            </w:r>
            <w:r>
              <w:rPr>
                <w:rFonts w:eastAsia="宋体"/>
                <w:color w:val="000000" w:themeColor="text1"/>
                <w:sz w:val="24"/>
                <w:szCs w:val="24"/>
                <w14:textFill>
                  <w14:solidFill>
                    <w14:schemeClr w14:val="tx1"/>
                  </w14:solidFill>
                </w14:textFill>
              </w:rPr>
              <w:t>。</w:t>
            </w:r>
          </w:p>
          <w:p>
            <w:pPr>
              <w:pStyle w:val="66"/>
              <w:adjustRightInd w:val="0"/>
              <w:snapToGrid w:val="0"/>
              <w:spacing w:before="156" w:beforeLines="50" w:line="240" w:lineRule="auto"/>
              <w:ind w:right="-40"/>
              <w:rPr>
                <w:rFonts w:eastAsia="宋体"/>
                <w:b/>
                <w:snapToGrid w:val="0"/>
                <w:color w:val="000000" w:themeColor="text1"/>
                <w:kern w:val="0"/>
                <w:lang w:val="en-US"/>
                <w14:textFill>
                  <w14:solidFill>
                    <w14:schemeClr w14:val="tx1"/>
                  </w14:solidFill>
                </w14:textFill>
              </w:rPr>
            </w:pPr>
            <w:r>
              <w:rPr>
                <w:rFonts w:eastAsia="宋体"/>
                <w:b/>
                <w:snapToGrid w:val="0"/>
                <w:color w:val="000000" w:themeColor="text1"/>
                <w:kern w:val="0"/>
                <w:lang w:val="en-US"/>
                <w14:textFill>
                  <w14:solidFill>
                    <w14:schemeClr w14:val="tx1"/>
                  </w14:solidFill>
                </w14:textFill>
              </w:rPr>
              <w:t>表</w:t>
            </w:r>
            <w:r>
              <w:rPr>
                <w:rFonts w:hint="eastAsia" w:eastAsia="宋体"/>
                <w:b/>
                <w:snapToGrid w:val="0"/>
                <w:color w:val="000000" w:themeColor="text1"/>
                <w:kern w:val="0"/>
                <w:lang w:val="en-US"/>
                <w14:textFill>
                  <w14:solidFill>
                    <w14:schemeClr w14:val="tx1"/>
                  </w14:solidFill>
                </w14:textFill>
              </w:rPr>
              <w:t>1</w:t>
            </w:r>
            <w:r>
              <w:rPr>
                <w:rFonts w:hint="eastAsia" w:eastAsia="宋体"/>
                <w:b/>
                <w:snapToGrid w:val="0"/>
                <w:color w:val="000000" w:themeColor="text1"/>
                <w:kern w:val="0"/>
                <w:lang w:val="en-US" w:eastAsia="zh-CN"/>
                <w14:textFill>
                  <w14:solidFill>
                    <w14:schemeClr w14:val="tx1"/>
                  </w14:solidFill>
                </w14:textFill>
              </w:rPr>
              <w:t>3</w:t>
            </w:r>
            <w:r>
              <w:rPr>
                <w:rFonts w:hint="eastAsia" w:eastAsia="宋体"/>
                <w:b/>
                <w:snapToGrid w:val="0"/>
                <w:color w:val="000000" w:themeColor="text1"/>
                <w:kern w:val="0"/>
                <w:lang w:val="en-US"/>
                <w14:textFill>
                  <w14:solidFill>
                    <w14:schemeClr w14:val="tx1"/>
                  </w14:solidFill>
                </w14:textFill>
              </w:rPr>
              <w:t xml:space="preserve">   </w:t>
            </w:r>
            <w:r>
              <w:rPr>
                <w:rFonts w:eastAsia="宋体"/>
                <w:b/>
                <w:snapToGrid w:val="0"/>
                <w:color w:val="000000" w:themeColor="text1"/>
                <w:kern w:val="0"/>
                <w:lang w:val="en-US"/>
                <w14:textFill>
                  <w14:solidFill>
                    <w14:schemeClr w14:val="tx1"/>
                  </w14:solidFill>
                </w14:textFill>
              </w:rPr>
              <w:t>环境噪声限值   单位：dB(A)</w:t>
            </w:r>
          </w:p>
          <w:tbl>
            <w:tblPr>
              <w:tblStyle w:val="32"/>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2190"/>
              <w:gridCol w:w="3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9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标准时段</w:t>
                  </w:r>
                </w:p>
                <w:p>
                  <w:pPr>
                    <w:adjustRightInd w:val="0"/>
                    <w:snapToGrid w:val="0"/>
                    <w:jc w:val="center"/>
                    <w:rPr>
                      <w:rFonts w:eastAsia="宋体"/>
                      <w:color w:val="000000" w:themeColor="text1"/>
                      <w:sz w:val="21"/>
                      <w:szCs w:val="21"/>
                      <w14:textFill>
                        <w14:solidFill>
                          <w14:schemeClr w14:val="tx1"/>
                        </w14:solidFill>
                      </w14:textFill>
                    </w:rPr>
                  </w:pPr>
                </w:p>
              </w:tc>
              <w:tc>
                <w:tcPr>
                  <w:tcW w:w="2190"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昼间</w:t>
                  </w:r>
                </w:p>
              </w:tc>
              <w:tc>
                <w:tcPr>
                  <w:tcW w:w="3485"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97"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2类</w:t>
                  </w:r>
                </w:p>
              </w:tc>
              <w:tc>
                <w:tcPr>
                  <w:tcW w:w="2190"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60</w:t>
                  </w:r>
                </w:p>
              </w:tc>
              <w:tc>
                <w:tcPr>
                  <w:tcW w:w="3485"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r>
          </w:tbl>
          <w:p>
            <w:pPr>
              <w:adjustRightInd w:val="0"/>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4</w:t>
            </w:r>
            <w:r>
              <w:rPr>
                <w:rFonts w:eastAsia="宋体"/>
                <w:color w:val="000000" w:themeColor="text1"/>
                <w:sz w:val="24"/>
                <w:szCs w:val="24"/>
                <w14:textFill>
                  <w14:solidFill>
                    <w14:schemeClr w14:val="tx1"/>
                  </w14:solidFill>
                </w14:textFill>
              </w:rPr>
              <w:t>）监测结果</w:t>
            </w:r>
          </w:p>
          <w:p>
            <w:pPr>
              <w:adjustRightInd w:val="0"/>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现状噪声监测结果见</w:t>
            </w:r>
            <w:r>
              <w:rPr>
                <w:rFonts w:hint="eastAsia" w:eastAsia="宋体"/>
                <w:color w:val="000000" w:themeColor="text1"/>
                <w:sz w:val="24"/>
                <w:szCs w:val="24"/>
                <w14:textFill>
                  <w14:solidFill>
                    <w14:schemeClr w14:val="tx1"/>
                  </w14:solidFill>
                </w14:textFill>
              </w:rPr>
              <w:t>下表</w:t>
            </w:r>
            <w:r>
              <w:rPr>
                <w:rFonts w:eastAsia="宋体"/>
                <w:color w:val="000000" w:themeColor="text1"/>
                <w:sz w:val="24"/>
                <w:szCs w:val="24"/>
                <w14:textFill>
                  <w14:solidFill>
                    <w14:schemeClr w14:val="tx1"/>
                  </w14:solidFill>
                </w14:textFill>
              </w:rPr>
              <w:t>。</w:t>
            </w:r>
          </w:p>
          <w:p>
            <w:pPr>
              <w:pStyle w:val="66"/>
              <w:adjustRightInd w:val="0"/>
              <w:snapToGrid w:val="0"/>
              <w:spacing w:before="156" w:beforeLines="50" w:line="240" w:lineRule="auto"/>
              <w:ind w:right="-40"/>
              <w:rPr>
                <w:rFonts w:eastAsia="宋体"/>
                <w:b/>
                <w:snapToGrid w:val="0"/>
                <w:color w:val="000000" w:themeColor="text1"/>
                <w:kern w:val="0"/>
                <w:lang w:val="en-US"/>
                <w14:textFill>
                  <w14:solidFill>
                    <w14:schemeClr w14:val="tx1"/>
                  </w14:solidFill>
                </w14:textFill>
              </w:rPr>
            </w:pPr>
            <w:r>
              <w:rPr>
                <w:rFonts w:eastAsia="宋体"/>
                <w:b/>
                <w:snapToGrid w:val="0"/>
                <w:color w:val="000000" w:themeColor="text1"/>
                <w:kern w:val="0"/>
                <w:lang w:val="en-US"/>
                <w14:textFill>
                  <w14:solidFill>
                    <w14:schemeClr w14:val="tx1"/>
                  </w14:solidFill>
                </w14:textFill>
              </w:rPr>
              <w:t>表</w:t>
            </w:r>
            <w:r>
              <w:rPr>
                <w:rFonts w:hint="eastAsia" w:eastAsia="宋体"/>
                <w:b/>
                <w:snapToGrid w:val="0"/>
                <w:color w:val="000000" w:themeColor="text1"/>
                <w:kern w:val="0"/>
                <w:lang w:val="en-US"/>
                <w14:textFill>
                  <w14:solidFill>
                    <w14:schemeClr w14:val="tx1"/>
                  </w14:solidFill>
                </w14:textFill>
              </w:rPr>
              <w:t>1</w:t>
            </w:r>
            <w:r>
              <w:rPr>
                <w:rFonts w:hint="eastAsia" w:eastAsia="宋体"/>
                <w:b/>
                <w:snapToGrid w:val="0"/>
                <w:color w:val="000000" w:themeColor="text1"/>
                <w:kern w:val="0"/>
                <w:lang w:val="en-US" w:eastAsia="zh-CN"/>
                <w14:textFill>
                  <w14:solidFill>
                    <w14:schemeClr w14:val="tx1"/>
                  </w14:solidFill>
                </w14:textFill>
              </w:rPr>
              <w:t>4</w:t>
            </w:r>
            <w:r>
              <w:rPr>
                <w:rFonts w:hint="eastAsia" w:eastAsia="宋体"/>
                <w:b/>
                <w:snapToGrid w:val="0"/>
                <w:color w:val="000000" w:themeColor="text1"/>
                <w:kern w:val="0"/>
                <w:lang w:val="en-US"/>
                <w14:textFill>
                  <w14:solidFill>
                    <w14:schemeClr w14:val="tx1"/>
                  </w14:solidFill>
                </w14:textFill>
              </w:rPr>
              <w:t xml:space="preserve">  </w:t>
            </w:r>
            <w:r>
              <w:rPr>
                <w:rFonts w:eastAsia="宋体"/>
                <w:b/>
                <w:snapToGrid w:val="0"/>
                <w:color w:val="000000" w:themeColor="text1"/>
                <w:kern w:val="0"/>
                <w:lang w:val="en-US"/>
                <w14:textFill>
                  <w14:solidFill>
                    <w14:schemeClr w14:val="tx1"/>
                  </w14:solidFill>
                </w14:textFill>
              </w:rPr>
              <w:t>评价区环境噪声现状监测及评价结果      单位：dB(A)</w:t>
            </w:r>
          </w:p>
          <w:tbl>
            <w:tblPr>
              <w:tblStyle w:val="32"/>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3182"/>
              <w:gridCol w:w="1348"/>
              <w:gridCol w:w="1167"/>
              <w:gridCol w:w="1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2256" w:type="dxa"/>
                  <w:vMerge w:val="restart"/>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监测点类型</w:t>
                  </w:r>
                </w:p>
              </w:tc>
              <w:tc>
                <w:tcPr>
                  <w:tcW w:w="3182" w:type="dxa"/>
                  <w:vMerge w:val="restart"/>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测点位置</w:t>
                  </w:r>
                </w:p>
              </w:tc>
              <w:tc>
                <w:tcPr>
                  <w:tcW w:w="2515" w:type="dxa"/>
                  <w:gridSpan w:val="2"/>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监测值</w:t>
                  </w:r>
                </w:p>
              </w:tc>
              <w:tc>
                <w:tcPr>
                  <w:tcW w:w="1119" w:type="dxa"/>
                  <w:vMerge w:val="restart"/>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超达标</w:t>
                  </w:r>
                </w:p>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2256" w:type="dxa"/>
                  <w:vMerge w:val="continue"/>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p>
              </w:tc>
              <w:tc>
                <w:tcPr>
                  <w:tcW w:w="3182" w:type="dxa"/>
                  <w:vMerge w:val="continue"/>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p>
              </w:tc>
              <w:tc>
                <w:tcPr>
                  <w:tcW w:w="1348"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昼</w:t>
                  </w:r>
                </w:p>
              </w:tc>
              <w:tc>
                <w:tcPr>
                  <w:tcW w:w="1167"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夜</w:t>
                  </w:r>
                </w:p>
              </w:tc>
              <w:tc>
                <w:tcPr>
                  <w:tcW w:w="1119" w:type="dxa"/>
                  <w:vMerge w:val="continue"/>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2256" w:type="dxa"/>
                  <w:vMerge w:val="restart"/>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厂界环境</w:t>
                  </w:r>
                </w:p>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噪声现状</w:t>
                  </w:r>
                </w:p>
              </w:tc>
              <w:tc>
                <w:tcPr>
                  <w:tcW w:w="3182"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东厂界</w:t>
                  </w:r>
                </w:p>
              </w:tc>
              <w:tc>
                <w:tcPr>
                  <w:tcW w:w="1348"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39.2</w:t>
                  </w:r>
                </w:p>
              </w:tc>
              <w:tc>
                <w:tcPr>
                  <w:tcW w:w="1167"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36.5</w:t>
                  </w:r>
                </w:p>
              </w:tc>
              <w:tc>
                <w:tcPr>
                  <w:tcW w:w="1119"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2256" w:type="dxa"/>
                  <w:vMerge w:val="continue"/>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p>
              </w:tc>
              <w:tc>
                <w:tcPr>
                  <w:tcW w:w="3182"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西厂界</w:t>
                  </w:r>
                </w:p>
              </w:tc>
              <w:tc>
                <w:tcPr>
                  <w:tcW w:w="1348"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38.8</w:t>
                  </w:r>
                </w:p>
              </w:tc>
              <w:tc>
                <w:tcPr>
                  <w:tcW w:w="1167"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36.4</w:t>
                  </w:r>
                </w:p>
              </w:tc>
              <w:tc>
                <w:tcPr>
                  <w:tcW w:w="1119"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2256" w:type="dxa"/>
                  <w:vMerge w:val="continue"/>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p>
              </w:tc>
              <w:tc>
                <w:tcPr>
                  <w:tcW w:w="3182"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南厂界</w:t>
                  </w:r>
                </w:p>
              </w:tc>
              <w:tc>
                <w:tcPr>
                  <w:tcW w:w="1348"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39.2</w:t>
                  </w:r>
                </w:p>
              </w:tc>
              <w:tc>
                <w:tcPr>
                  <w:tcW w:w="1167"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37.5</w:t>
                  </w:r>
                </w:p>
              </w:tc>
              <w:tc>
                <w:tcPr>
                  <w:tcW w:w="1119"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2256" w:type="dxa"/>
                  <w:vMerge w:val="continue"/>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p>
              </w:tc>
              <w:tc>
                <w:tcPr>
                  <w:tcW w:w="3182"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北厂界</w:t>
                  </w:r>
                </w:p>
              </w:tc>
              <w:tc>
                <w:tcPr>
                  <w:tcW w:w="1348"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41.7</w:t>
                  </w:r>
                </w:p>
              </w:tc>
              <w:tc>
                <w:tcPr>
                  <w:tcW w:w="1167"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36.6</w:t>
                  </w:r>
                </w:p>
              </w:tc>
              <w:tc>
                <w:tcPr>
                  <w:tcW w:w="1119" w:type="dxa"/>
                  <w:vAlign w:val="center"/>
                </w:tcPr>
                <w:p>
                  <w:pPr>
                    <w:pStyle w:val="15"/>
                    <w:jc w:val="center"/>
                    <w:rPr>
                      <w:rFonts w:ascii="Times New Roman" w:hAnsi="Times New Roman" w:eastAsia="宋体"/>
                      <w:color w:val="000000" w:themeColor="text1"/>
                      <w:sz w:val="21"/>
                      <w:szCs w:val="21"/>
                      <w:shd w:val="pct10" w:color="auto" w:fill="FFFFFF"/>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5438" w:type="dxa"/>
                  <w:gridSpan w:val="2"/>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标准限值</w:t>
                  </w:r>
                </w:p>
              </w:tc>
              <w:tc>
                <w:tcPr>
                  <w:tcW w:w="1348"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6</w:t>
                  </w:r>
                  <w:r>
                    <w:rPr>
                      <w:rFonts w:ascii="Times New Roman" w:hAnsi="Times New Roman" w:eastAsia="宋体"/>
                      <w:color w:val="000000" w:themeColor="text1"/>
                      <w:sz w:val="21"/>
                      <w:szCs w:val="21"/>
                      <w14:textFill>
                        <w14:solidFill>
                          <w14:schemeClr w14:val="tx1"/>
                        </w14:solidFill>
                      </w14:textFill>
                    </w:rPr>
                    <w:t>0</w:t>
                  </w:r>
                </w:p>
              </w:tc>
              <w:tc>
                <w:tcPr>
                  <w:tcW w:w="1167"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c>
                <w:tcPr>
                  <w:tcW w:w="1119"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spacing w:line="520" w:lineRule="exact"/>
              <w:ind w:left="140" w:leftChars="50" w:right="140" w:rightChars="50" w:firstLine="480" w:firstLineChars="200"/>
              <w:textAlignment w:val="auto"/>
              <w:rPr>
                <w:rFonts w:eastAsia="宋体"/>
                <w:b/>
                <w:color w:val="000000" w:themeColor="text1"/>
                <w:sz w:val="24"/>
                <w14:textFill>
                  <w14:solidFill>
                    <w14:schemeClr w14:val="tx1"/>
                  </w14:solidFill>
                </w14:textFill>
              </w:rPr>
            </w:pPr>
            <w:r>
              <w:rPr>
                <w:rFonts w:eastAsia="宋体"/>
                <w:color w:val="000000" w:themeColor="text1"/>
                <w:sz w:val="24"/>
                <w:szCs w:val="24"/>
                <w14:textFill>
                  <w14:solidFill>
                    <w14:schemeClr w14:val="tx1"/>
                  </w14:solidFill>
                </w14:textFill>
              </w:rPr>
              <w:t>从</w:t>
            </w:r>
            <w:r>
              <w:rPr>
                <w:rFonts w:hint="eastAsia" w:eastAsia="宋体"/>
                <w:color w:val="000000" w:themeColor="text1"/>
                <w:sz w:val="24"/>
                <w:szCs w:val="24"/>
                <w14:textFill>
                  <w14:solidFill>
                    <w14:schemeClr w14:val="tx1"/>
                  </w14:solidFill>
                </w14:textFill>
              </w:rPr>
              <w:t>上表</w:t>
            </w:r>
            <w:r>
              <w:rPr>
                <w:rFonts w:eastAsia="宋体"/>
                <w:color w:val="000000" w:themeColor="text1"/>
                <w:sz w:val="24"/>
                <w:szCs w:val="24"/>
                <w14:textFill>
                  <w14:solidFill>
                    <w14:schemeClr w14:val="tx1"/>
                  </w14:solidFill>
                </w14:textFill>
              </w:rPr>
              <w:t>的监测结果可以看出，评价区域昼、夜间噪声监测结果均满足《声环境质量标准》（GB3096-2008）中2类标准要求，表明评价区的声环境质量现状较好。</w:t>
            </w:r>
          </w:p>
          <w:p>
            <w:pPr>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firstLine="482" w:firstLineChars="200"/>
              <w:textAlignment w:val="auto"/>
              <w:rPr>
                <w:rFonts w:hint="eastAsia" w:eastAsia="宋体"/>
                <w:b/>
                <w:bCs/>
                <w:color w:val="000000" w:themeColor="text1"/>
                <w:sz w:val="24"/>
                <w:szCs w:val="24"/>
                <w:lang w:val="en-US" w:eastAsia="zh-CN"/>
                <w14:textFill>
                  <w14:solidFill>
                    <w14:schemeClr w14:val="tx1"/>
                  </w14:solidFill>
                </w14:textFill>
              </w:rPr>
            </w:pPr>
            <w:r>
              <w:rPr>
                <w:rFonts w:hint="eastAsia" w:eastAsia="宋体"/>
                <w:b/>
                <w:bCs/>
                <w:color w:val="000000" w:themeColor="text1"/>
                <w:sz w:val="24"/>
                <w:szCs w:val="24"/>
                <w:lang w:val="en-US" w:eastAsia="zh-CN"/>
                <w14:textFill>
                  <w14:solidFill>
                    <w14:schemeClr w14:val="tx1"/>
                  </w14:solidFill>
                </w14:textFill>
              </w:rPr>
              <w:t>土壤环境质量现状</w:t>
            </w:r>
          </w:p>
          <w:p>
            <w:pPr>
              <w:keepNext w:val="0"/>
              <w:keepLines w:val="0"/>
              <w:pageBreakBefore w:val="0"/>
              <w:widowControl w:val="0"/>
              <w:kinsoku/>
              <w:wordWrap/>
              <w:overflowPunct/>
              <w:topLinePunct w:val="0"/>
              <w:autoSpaceDE/>
              <w:autoSpaceDN/>
              <w:bidi w:val="0"/>
              <w:adjustRightInd w:val="0"/>
              <w:snapToGrid w:val="0"/>
              <w:spacing w:line="520" w:lineRule="exact"/>
              <w:ind w:firstLine="482"/>
              <w:textAlignment w:val="auto"/>
              <w:rPr>
                <w:rFonts w:hint="default" w:eastAsia="宋体"/>
                <w:b/>
                <w:color w:val="000000" w:themeColor="text1"/>
                <w:sz w:val="24"/>
                <w:lang w:val="en-US" w:eastAsia="zh-CN"/>
                <w14:textFill>
                  <w14:solidFill>
                    <w14:schemeClr w14:val="tx1"/>
                  </w14:solidFill>
                </w14:textFill>
              </w:rPr>
            </w:pPr>
            <w:r>
              <w:rPr>
                <w:rFonts w:hint="eastAsia" w:eastAsia="宋体"/>
                <w:b w:val="0"/>
                <w:bCs/>
                <w:color w:val="000000" w:themeColor="text1"/>
                <w:sz w:val="24"/>
                <w:lang w:val="en-US" w:eastAsia="zh-CN"/>
                <w14:textFill>
                  <w14:solidFill>
                    <w14:schemeClr w14:val="tx1"/>
                  </w14:solidFill>
                </w14:textFill>
              </w:rPr>
              <w:t>根据《</w:t>
            </w:r>
            <w:r>
              <w:rPr>
                <w:rFonts w:hint="eastAsia" w:eastAsia="宋体"/>
                <w:b w:val="0"/>
                <w:bCs/>
                <w:color w:val="000000" w:themeColor="text1"/>
                <w:sz w:val="24"/>
                <w14:textFill>
                  <w14:solidFill>
                    <w14:schemeClr w14:val="tx1"/>
                  </w14:solidFill>
                </w14:textFill>
              </w:rPr>
              <w:t xml:space="preserve">环境影响评价技术导则 </w:t>
            </w:r>
            <w:r>
              <w:rPr>
                <w:rFonts w:hint="eastAsia" w:eastAsia="宋体"/>
                <w:b w:val="0"/>
                <w:bCs/>
                <w:color w:val="000000" w:themeColor="text1"/>
                <w:sz w:val="24"/>
                <w:lang w:val="en-US" w:eastAsia="zh-CN"/>
                <w14:textFill>
                  <w14:solidFill>
                    <w14:schemeClr w14:val="tx1"/>
                  </w14:solidFill>
                </w14:textFill>
              </w:rPr>
              <w:t>土壤</w:t>
            </w:r>
            <w:r>
              <w:rPr>
                <w:rFonts w:hint="eastAsia" w:eastAsia="宋体"/>
                <w:b w:val="0"/>
                <w:bCs/>
                <w:color w:val="000000" w:themeColor="text1"/>
                <w:sz w:val="24"/>
                <w14:textFill>
                  <w14:solidFill>
                    <w14:schemeClr w14:val="tx1"/>
                  </w14:solidFill>
                </w14:textFill>
              </w:rPr>
              <w:t>环境</w:t>
            </w:r>
            <w:r>
              <w:rPr>
                <w:rFonts w:hint="eastAsia" w:eastAsia="宋体"/>
                <w:b w:val="0"/>
                <w:bCs/>
                <w:color w:val="000000" w:themeColor="text1"/>
                <w:sz w:val="24"/>
                <w:lang w:eastAsia="zh-CN"/>
                <w14:textFill>
                  <w14:solidFill>
                    <w14:schemeClr w14:val="tx1"/>
                  </w14:solidFill>
                </w14:textFill>
              </w:rPr>
              <w:t>（</w:t>
            </w:r>
            <w:r>
              <w:rPr>
                <w:rFonts w:hint="eastAsia" w:eastAsia="宋体"/>
                <w:b w:val="0"/>
                <w:bCs/>
                <w:color w:val="000000" w:themeColor="text1"/>
                <w:sz w:val="24"/>
                <w:lang w:val="en-US" w:eastAsia="zh-CN"/>
                <w14:textFill>
                  <w14:solidFill>
                    <w14:schemeClr w14:val="tx1"/>
                  </w14:solidFill>
                </w14:textFill>
              </w:rPr>
              <w:t>试行</w:t>
            </w:r>
            <w:r>
              <w:rPr>
                <w:rFonts w:hint="eastAsia" w:eastAsia="宋体"/>
                <w:b w:val="0"/>
                <w:bCs/>
                <w:color w:val="000000" w:themeColor="text1"/>
                <w:sz w:val="24"/>
                <w:lang w:eastAsia="zh-CN"/>
                <w14:textFill>
                  <w14:solidFill>
                    <w14:schemeClr w14:val="tx1"/>
                  </w14:solidFill>
                </w14:textFill>
              </w:rPr>
              <w:t>）</w:t>
            </w:r>
            <w:r>
              <w:rPr>
                <w:rFonts w:hint="eastAsia" w:eastAsia="宋体"/>
                <w:b w:val="0"/>
                <w:bCs/>
                <w:color w:val="000000" w:themeColor="text1"/>
                <w:sz w:val="24"/>
                <w14:textFill>
                  <w14:solidFill>
                    <w14:schemeClr w14:val="tx1"/>
                  </w14:solidFill>
                </w14:textFill>
              </w:rPr>
              <w:t>》（HJ</w:t>
            </w:r>
            <w:r>
              <w:rPr>
                <w:rFonts w:hint="eastAsia" w:eastAsia="宋体"/>
                <w:b w:val="0"/>
                <w:bCs/>
                <w:color w:val="000000" w:themeColor="text1"/>
                <w:sz w:val="24"/>
                <w:lang w:val="en-US" w:eastAsia="zh-CN"/>
                <w14:textFill>
                  <w14:solidFill>
                    <w14:schemeClr w14:val="tx1"/>
                  </w14:solidFill>
                </w14:textFill>
              </w:rPr>
              <w:t>964</w:t>
            </w:r>
            <w:r>
              <w:rPr>
                <w:rFonts w:hint="eastAsia" w:eastAsia="宋体"/>
                <w:b w:val="0"/>
                <w:bCs/>
                <w:color w:val="000000" w:themeColor="text1"/>
                <w:sz w:val="24"/>
                <w14:textFill>
                  <w14:solidFill>
                    <w14:schemeClr w14:val="tx1"/>
                  </w14:solidFill>
                </w14:textFill>
              </w:rPr>
              <w:t>-2018），</w:t>
            </w:r>
            <w:r>
              <w:rPr>
                <w:rFonts w:hint="eastAsia" w:eastAsia="宋体"/>
                <w:b w:val="0"/>
                <w:bCs/>
                <w:color w:val="000000" w:themeColor="text1"/>
                <w:sz w:val="24"/>
                <w:lang w:val="en-US" w:eastAsia="zh-CN"/>
                <w14:textFill>
                  <w14:solidFill>
                    <w14:schemeClr w14:val="tx1"/>
                  </w14:solidFill>
                </w14:textFill>
              </w:rPr>
              <w:t>本项目为生活垃圾处理场的渗滤液处理，对比附录A行业特征、工艺特点</w:t>
            </w:r>
            <w:r>
              <w:rPr>
                <w:rFonts w:hint="eastAsia" w:eastAsia="宋体"/>
                <w:color w:val="000000" w:themeColor="text1"/>
                <w:sz w:val="24"/>
                <w:lang w:val="en-US" w:eastAsia="zh-CN"/>
                <w14:textFill>
                  <w14:solidFill>
                    <w14:schemeClr w14:val="tx1"/>
                  </w14:solidFill>
                </w14:textFill>
              </w:rPr>
              <w:t>或规模大小，为环境和公共设施管理业中的其他，</w:t>
            </w:r>
            <w:r>
              <w:rPr>
                <w:rFonts w:hint="eastAsia" w:ascii="宋体" w:hAnsi="宋体" w:eastAsia="宋体" w:cs="宋体"/>
                <w:color w:val="000000" w:themeColor="text1"/>
                <w:sz w:val="24"/>
                <w:lang w:val="en-US" w:eastAsia="zh-CN"/>
                <w14:textFill>
                  <w14:solidFill>
                    <w14:schemeClr w14:val="tx1"/>
                  </w14:solidFill>
                </w14:textFill>
              </w:rPr>
              <w:t>Ⅳ类项目类别，可不开展土壤环境影响评价。</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eastAsia="宋体"/>
                <w:b/>
                <w:bCs/>
                <w:color w:val="000000" w:themeColor="text1"/>
                <w:sz w:val="24"/>
                <w:szCs w:val="24"/>
                <w14:textFill>
                  <w14:solidFill>
                    <w14:schemeClr w14:val="tx1"/>
                  </w14:solidFill>
                </w14:textFill>
              </w:rPr>
            </w:pPr>
            <w:r>
              <w:rPr>
                <w:rFonts w:hint="eastAsia" w:eastAsia="宋体"/>
                <w:b/>
                <w:color w:val="000000" w:themeColor="text1"/>
                <w:sz w:val="24"/>
                <w:lang w:val="en-US" w:eastAsia="zh-CN"/>
                <w14:textFill>
                  <w14:solidFill>
                    <w14:schemeClr w14:val="tx1"/>
                  </w14:solidFill>
                </w14:textFill>
              </w:rPr>
              <w:t>5、</w:t>
            </w:r>
            <w:r>
              <w:rPr>
                <w:rFonts w:hint="eastAsia" w:eastAsia="宋体"/>
                <w:b/>
                <w:color w:val="000000" w:themeColor="text1"/>
                <w:sz w:val="24"/>
                <w14:textFill>
                  <w14:solidFill>
                    <w14:schemeClr w14:val="tx1"/>
                  </w14:solidFill>
                </w14:textFill>
              </w:rPr>
              <w:t>生态环境质量现状</w:t>
            </w:r>
          </w:p>
          <w:p>
            <w:pPr>
              <w:keepNext w:val="0"/>
              <w:keepLines w:val="0"/>
              <w:pageBreakBefore w:val="0"/>
              <w:widowControl w:val="0"/>
              <w:kinsoku/>
              <w:wordWrap/>
              <w:overflowPunct/>
              <w:topLinePunct w:val="0"/>
              <w:autoSpaceDE/>
              <w:autoSpaceDN/>
              <w:bidi w:val="0"/>
              <w:adjustRightInd w:val="0"/>
              <w:snapToGrid w:val="0"/>
              <w:spacing w:line="520" w:lineRule="exact"/>
              <w:ind w:firstLine="482"/>
              <w:textAlignment w:val="auto"/>
              <w:rPr>
                <w:rFonts w:hint="eastAsia" w:eastAsia="宋体"/>
                <w:b w:val="0"/>
                <w:bCs/>
                <w:color w:val="000000" w:themeColor="text1"/>
                <w:sz w:val="24"/>
                <w:szCs w:val="22"/>
                <w:lang w:val="en-US" w:eastAsia="zh-CN"/>
                <w14:textFill>
                  <w14:solidFill>
                    <w14:schemeClr w14:val="tx1"/>
                  </w14:solidFill>
                </w14:textFill>
              </w:rPr>
            </w:pPr>
            <w:r>
              <w:rPr>
                <w:rFonts w:hint="eastAsia" w:eastAsia="宋体"/>
                <w:b w:val="0"/>
                <w:bCs/>
                <w:color w:val="000000" w:themeColor="text1"/>
                <w:sz w:val="24"/>
                <w:szCs w:val="22"/>
                <w:lang w:val="en-US" w:eastAsia="zh-CN"/>
                <w14:textFill>
                  <w14:solidFill>
                    <w14:schemeClr w14:val="tx1"/>
                  </w14:solidFill>
                </w14:textFill>
              </w:rPr>
              <w:t>玛纳斯县境内野生动物种类繁多，数量较大。主要植物有云杉、桦树、密叶杨、山杨、胡杨、准噶尔柳、天山花楸、白梭梭、沙枣、柳树、青杨、白腊、榆树；黄花苜蓿、珠芽寥、狐茅、野葱、水芹菜、乌头、狼毒、大较、尊麻、独活、小叶薄荷、雀麦、骆驼刺等。此外，还生长有雪莲、贝母、防风、麻黄、元胡、冬花、甘草、锁阳、枸杞、苦豆子、大芸、大黄、党参、阿魏等上百种野生中药材。主要动物有马鹿、棕熊、野猪、袍子、雪豹、野山羊、大头羊、鹅吼玲、毛腿沙鸡、绿头鸭、灰雁、高山雪鸡、隼、苍鹰、麻雀、粉红掠鸟等野生动物。</w:t>
            </w:r>
          </w:p>
          <w:p>
            <w:pPr>
              <w:keepNext w:val="0"/>
              <w:keepLines w:val="0"/>
              <w:pageBreakBefore w:val="0"/>
              <w:widowControl w:val="0"/>
              <w:kinsoku/>
              <w:wordWrap/>
              <w:overflowPunct/>
              <w:topLinePunct w:val="0"/>
              <w:autoSpaceDE/>
              <w:autoSpaceDN/>
              <w:bidi w:val="0"/>
              <w:adjustRightInd w:val="0"/>
              <w:snapToGrid w:val="0"/>
              <w:spacing w:line="520" w:lineRule="exact"/>
              <w:ind w:firstLine="482"/>
              <w:textAlignment w:val="auto"/>
              <w:rPr>
                <w:rFonts w:eastAsia="宋体"/>
                <w:color w:val="000000" w:themeColor="text1"/>
                <w:lang w:val="en-US"/>
                <w14:textFill>
                  <w14:solidFill>
                    <w14:schemeClr w14:val="tx1"/>
                  </w14:solidFill>
                </w14:textFill>
              </w:rPr>
            </w:pPr>
            <w:r>
              <w:rPr>
                <w:rFonts w:hint="eastAsia" w:eastAsia="宋体"/>
                <w:b w:val="0"/>
                <w:bCs/>
                <w:color w:val="000000" w:themeColor="text1"/>
                <w:sz w:val="24"/>
                <w:szCs w:val="22"/>
                <w:lang w:val="en-US" w:eastAsia="zh-CN"/>
                <w14:textFill>
                  <w14:solidFill>
                    <w14:schemeClr w14:val="tx1"/>
                  </w14:solidFill>
                </w14:textFill>
              </w:rPr>
              <w:t>拟建区周围自然植被为干旱盐化荒漠类型项目，选址处人为活动比较频繁，原生植被破坏，场址区域有骆驼刺、猪毛菜、苦豆子、碱蓬等耐寒植物零星分布，没有牧业利用价值。动物主要以麻雀、老鼠为主，无国家及自治区级野生保护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6" w:hRule="atLeast"/>
        </w:trPr>
        <w:tc>
          <w:tcPr>
            <w:tcW w:w="9288" w:type="dxa"/>
          </w:tcPr>
          <w:p>
            <w:pPr>
              <w:spacing w:line="360" w:lineRule="auto"/>
              <w:rPr>
                <w:rFonts w:eastAsia="宋体"/>
                <w:b/>
                <w:bCs/>
                <w:color w:val="000000" w:themeColor="text1"/>
                <w:sz w:val="24"/>
                <w:szCs w:val="24"/>
                <w14:textFill>
                  <w14:solidFill>
                    <w14:schemeClr w14:val="tx1"/>
                  </w14:solidFill>
                </w14:textFill>
              </w:rPr>
            </w:pPr>
            <w:r>
              <w:rPr>
                <w:rFonts w:eastAsia="宋体"/>
                <w:b/>
                <w:bCs/>
                <w:color w:val="000000" w:themeColor="text1"/>
                <w:sz w:val="24"/>
                <w:szCs w:val="24"/>
                <w14:textFill>
                  <w14:solidFill>
                    <w14:schemeClr w14:val="tx1"/>
                  </w14:solidFill>
                </w14:textFill>
              </w:rPr>
              <w:t>主要环境保护目标（列出名单及保护级别）：</w:t>
            </w:r>
          </w:p>
          <w:p>
            <w:pPr>
              <w:pStyle w:val="15"/>
              <w:adjustRightInd w:val="0"/>
              <w:snapToGrid w:val="0"/>
              <w:spacing w:line="520" w:lineRule="exact"/>
              <w:ind w:left="140" w:leftChars="50" w:right="140" w:rightChars="50" w:firstLine="480" w:firstLineChars="200"/>
              <w:rPr>
                <w:rFonts w:ascii="Times New Roman" w:hAnsi="Times New Roman" w:eastAsia="宋体"/>
                <w:color w:val="000000" w:themeColor="text1"/>
                <w:sz w:val="24"/>
                <w:szCs w:val="24"/>
                <w14:textFill>
                  <w14:solidFill>
                    <w14:schemeClr w14:val="tx1"/>
                  </w14:solidFill>
                </w14:textFill>
              </w:rPr>
            </w:pPr>
            <w:r>
              <w:rPr>
                <w:rStyle w:val="98"/>
                <w:rFonts w:hint="default" w:ascii="Times New Roman" w:hAnsi="Times New Roman"/>
                <w:color w:val="000000" w:themeColor="text1"/>
                <w14:textFill>
                  <w14:solidFill>
                    <w14:schemeClr w14:val="tx1"/>
                  </w14:solidFill>
                </w14:textFill>
              </w:rPr>
              <w:t>本项目位于</w:t>
            </w:r>
            <w:r>
              <w:rPr>
                <w:rFonts w:ascii="Times New Roman" w:hAnsi="Times New Roman" w:eastAsia="宋体"/>
                <w:bCs/>
                <w:color w:val="000000" w:themeColor="text1"/>
                <w:sz w:val="24"/>
                <w:szCs w:val="24"/>
                <w14:textFill>
                  <w14:solidFill>
                    <w14:schemeClr w14:val="tx1"/>
                  </w14:solidFill>
                </w14:textFill>
              </w:rPr>
              <w:t>玛纳斯县兰州湾镇东北方向，生活垃圾填埋场东北侧预留空地内，周边主要为农田和林地环绕</w:t>
            </w:r>
            <w:r>
              <w:rPr>
                <w:rFonts w:hint="eastAsia" w:ascii="Times New Roman" w:hAnsi="Times New Roman" w:eastAsia="宋体"/>
                <w:bCs/>
                <w:color w:val="000000" w:themeColor="text1"/>
                <w:sz w:val="24"/>
                <w:szCs w:val="24"/>
                <w14:textFill>
                  <w14:solidFill>
                    <w14:schemeClr w14:val="tx1"/>
                  </w14:solidFill>
                </w14:textFill>
              </w:rPr>
              <w:t>，项目</w:t>
            </w:r>
            <w:r>
              <w:rPr>
                <w:rStyle w:val="98"/>
                <w:rFonts w:hint="default" w:ascii="Times New Roman" w:hAnsi="Times New Roman"/>
                <w:color w:val="000000" w:themeColor="text1"/>
                <w14:textFill>
                  <w14:solidFill>
                    <w14:schemeClr w14:val="tx1"/>
                  </w14:solidFill>
                </w14:textFill>
              </w:rPr>
              <w:t>中心地理坐标为E86°11′32.76″, N44°19′33.72″。项目周围无风景名胜区、生活饮用水源地和其他需要特别保护的敏感目标分布，</w:t>
            </w:r>
            <w:r>
              <w:rPr>
                <w:rFonts w:ascii="Times New Roman" w:hAnsi="Times New Roman" w:eastAsia="宋体"/>
                <w:color w:val="000000" w:themeColor="text1"/>
                <w:sz w:val="24"/>
                <w:lang w:val="zh-CN"/>
                <w14:textFill>
                  <w14:solidFill>
                    <w14:schemeClr w14:val="tx1"/>
                  </w14:solidFill>
                </w14:textFill>
              </w:rPr>
              <w:t>主要环境保护目标见</w:t>
            </w:r>
            <w:r>
              <w:rPr>
                <w:rFonts w:hint="eastAsia" w:ascii="Times New Roman" w:hAnsi="Times New Roman" w:eastAsia="宋体"/>
                <w:color w:val="000000" w:themeColor="text1"/>
                <w:sz w:val="24"/>
                <w:lang w:val="zh-CN"/>
                <w14:textFill>
                  <w14:solidFill>
                    <w14:schemeClr w14:val="tx1"/>
                  </w14:solidFill>
                </w14:textFill>
              </w:rPr>
              <w:t>附图2及下表</w:t>
            </w:r>
            <w:r>
              <w:rPr>
                <w:rFonts w:ascii="Times New Roman" w:hAnsi="Times New Roman" w:eastAsia="宋体"/>
                <w:color w:val="000000" w:themeColor="text1"/>
                <w:sz w:val="24"/>
                <w:lang w:val="zh-CN"/>
                <w14:textFill>
                  <w14:solidFill>
                    <w14:schemeClr w14:val="tx1"/>
                  </w14:solidFill>
                </w14:textFill>
              </w:rPr>
              <w:t>。</w:t>
            </w:r>
          </w:p>
          <w:p>
            <w:pPr>
              <w:pStyle w:val="158"/>
              <w:spacing w:before="156" w:beforeLines="50" w:line="240" w:lineRule="auto"/>
              <w:ind w:firstLine="0" w:firstLineChars="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表</w:t>
            </w:r>
            <w:r>
              <w:rPr>
                <w:rFonts w:hint="eastAsia" w:ascii="Times New Roman" w:hAnsi="Times New Roman" w:eastAsia="宋体"/>
                <w:b/>
                <w:color w:val="000000" w:themeColor="text1"/>
                <w:sz w:val="21"/>
                <w14:textFill>
                  <w14:solidFill>
                    <w14:schemeClr w14:val="tx1"/>
                  </w14:solidFill>
                </w14:textFill>
              </w:rPr>
              <w:t xml:space="preserve">15  </w:t>
            </w:r>
            <w:r>
              <w:rPr>
                <w:rFonts w:ascii="Times New Roman" w:hAnsi="Times New Roman" w:eastAsia="宋体"/>
                <w:b/>
                <w:color w:val="000000" w:themeColor="text1"/>
                <w:sz w:val="21"/>
                <w14:textFill>
                  <w14:solidFill>
                    <w14:schemeClr w14:val="tx1"/>
                  </w14:solidFill>
                </w14:textFill>
              </w:rPr>
              <w:t>主要环境保护目标一览表</w:t>
            </w:r>
          </w:p>
          <w:tbl>
            <w:tblPr>
              <w:tblStyle w:val="32"/>
              <w:tblW w:w="902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984"/>
              <w:gridCol w:w="851"/>
              <w:gridCol w:w="992"/>
              <w:gridCol w:w="992"/>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restart"/>
                  <w:vAlign w:val="center"/>
                </w:tcPr>
                <w:p>
                  <w:pPr>
                    <w:pStyle w:val="92"/>
                    <w:spacing w:line="240" w:lineRule="auto"/>
                    <w:rPr>
                      <w:rFonts w:ascii="Times New Roman"/>
                      <w:color w:val="000000" w:themeColor="text1"/>
                      <w:szCs w:val="21"/>
                      <w:lang w:val="en-US"/>
                      <w14:textFill>
                        <w14:solidFill>
                          <w14:schemeClr w14:val="tx1"/>
                        </w14:solidFill>
                      </w14:textFill>
                    </w:rPr>
                  </w:pPr>
                  <w:r>
                    <w:rPr>
                      <w:rFonts w:ascii="Times New Roman"/>
                      <w:color w:val="000000" w:themeColor="text1"/>
                      <w:szCs w:val="21"/>
                      <w:lang w:val="en-US"/>
                      <w14:textFill>
                        <w14:solidFill>
                          <w14:schemeClr w14:val="tx1"/>
                        </w14:solidFill>
                      </w14:textFill>
                    </w:rPr>
                    <w:t>环境要素</w:t>
                  </w:r>
                </w:p>
              </w:tc>
              <w:tc>
                <w:tcPr>
                  <w:tcW w:w="1984" w:type="dxa"/>
                  <w:vMerge w:val="restart"/>
                  <w:vAlign w:val="center"/>
                </w:tcPr>
                <w:p>
                  <w:pPr>
                    <w:pStyle w:val="92"/>
                    <w:spacing w:line="240" w:lineRule="auto"/>
                    <w:rPr>
                      <w:rFonts w:ascii="Times New Roman"/>
                      <w:color w:val="000000" w:themeColor="text1"/>
                      <w:szCs w:val="21"/>
                      <w:lang w:val="en-US"/>
                      <w14:textFill>
                        <w14:solidFill>
                          <w14:schemeClr w14:val="tx1"/>
                        </w14:solidFill>
                      </w14:textFill>
                    </w:rPr>
                  </w:pPr>
                  <w:r>
                    <w:rPr>
                      <w:rFonts w:ascii="Times New Roman"/>
                      <w:color w:val="000000" w:themeColor="text1"/>
                      <w:szCs w:val="21"/>
                      <w:lang w:val="en-US"/>
                      <w14:textFill>
                        <w14:solidFill>
                          <w14:schemeClr w14:val="tx1"/>
                        </w14:solidFill>
                      </w14:textFill>
                    </w:rPr>
                    <w:t>环境敏感目标</w:t>
                  </w:r>
                </w:p>
              </w:tc>
              <w:tc>
                <w:tcPr>
                  <w:tcW w:w="1843" w:type="dxa"/>
                  <w:gridSpan w:val="2"/>
                  <w:vAlign w:val="center"/>
                </w:tcPr>
                <w:p>
                  <w:pPr>
                    <w:pStyle w:val="92"/>
                    <w:spacing w:line="240" w:lineRule="auto"/>
                    <w:rPr>
                      <w:rFonts w:ascii="Times New Roman"/>
                      <w:color w:val="000000" w:themeColor="text1"/>
                      <w:szCs w:val="21"/>
                      <w:lang w:val="en-US"/>
                      <w14:textFill>
                        <w14:solidFill>
                          <w14:schemeClr w14:val="tx1"/>
                        </w14:solidFill>
                      </w14:textFill>
                    </w:rPr>
                  </w:pPr>
                  <w:r>
                    <w:rPr>
                      <w:rFonts w:ascii="Times New Roman"/>
                      <w:color w:val="000000" w:themeColor="text1"/>
                      <w:szCs w:val="21"/>
                      <w:lang w:val="en-US"/>
                      <w14:textFill>
                        <w14:solidFill>
                          <w14:schemeClr w14:val="tx1"/>
                        </w14:solidFill>
                      </w14:textFill>
                    </w:rPr>
                    <w:t>相对位置</w:t>
                  </w:r>
                </w:p>
              </w:tc>
              <w:tc>
                <w:tcPr>
                  <w:tcW w:w="992" w:type="dxa"/>
                  <w:vMerge w:val="restart"/>
                  <w:vAlign w:val="center"/>
                </w:tcPr>
                <w:p>
                  <w:pPr>
                    <w:pStyle w:val="92"/>
                    <w:spacing w:line="240" w:lineRule="auto"/>
                    <w:rPr>
                      <w:rFonts w:ascii="Times New Roman"/>
                      <w:color w:val="000000" w:themeColor="text1"/>
                      <w:szCs w:val="21"/>
                      <w:lang w:val="en-US"/>
                      <w14:textFill>
                        <w14:solidFill>
                          <w14:schemeClr w14:val="tx1"/>
                        </w14:solidFill>
                      </w14:textFill>
                    </w:rPr>
                  </w:pPr>
                  <w:r>
                    <w:rPr>
                      <w:rFonts w:ascii="Times New Roman"/>
                      <w:color w:val="000000" w:themeColor="text1"/>
                      <w:szCs w:val="21"/>
                      <w:lang w:val="en-US"/>
                      <w14:textFill>
                        <w14:solidFill>
                          <w14:schemeClr w14:val="tx1"/>
                        </w14:solidFill>
                      </w14:textFill>
                    </w:rPr>
                    <w:t>规模</w:t>
                  </w:r>
                </w:p>
                <w:p>
                  <w:pPr>
                    <w:pStyle w:val="92"/>
                    <w:spacing w:line="240" w:lineRule="auto"/>
                    <w:rPr>
                      <w:rFonts w:ascii="Times New Roman"/>
                      <w:color w:val="000000" w:themeColor="text1"/>
                      <w:szCs w:val="21"/>
                      <w:lang w:val="en-US"/>
                      <w14:textFill>
                        <w14:solidFill>
                          <w14:schemeClr w14:val="tx1"/>
                        </w14:solidFill>
                      </w14:textFill>
                    </w:rPr>
                  </w:pPr>
                  <w:r>
                    <w:rPr>
                      <w:rFonts w:hint="eastAsia" w:ascii="Times New Roman"/>
                      <w:color w:val="000000" w:themeColor="text1"/>
                      <w:szCs w:val="21"/>
                      <w:lang w:val="en-US"/>
                      <w14:textFill>
                        <w14:solidFill>
                          <w14:schemeClr w14:val="tx1"/>
                        </w14:solidFill>
                      </w14:textFill>
                    </w:rPr>
                    <w:t>（人）</w:t>
                  </w:r>
                </w:p>
              </w:tc>
              <w:tc>
                <w:tcPr>
                  <w:tcW w:w="2812" w:type="dxa"/>
                  <w:vMerge w:val="restart"/>
                  <w:vAlign w:val="center"/>
                </w:tcPr>
                <w:p>
                  <w:pPr>
                    <w:pStyle w:val="92"/>
                    <w:spacing w:line="240" w:lineRule="auto"/>
                    <w:rPr>
                      <w:rFonts w:ascii="Times New Roman"/>
                      <w:color w:val="000000" w:themeColor="text1"/>
                      <w:szCs w:val="21"/>
                      <w:lang w:val="en-US"/>
                      <w14:textFill>
                        <w14:solidFill>
                          <w14:schemeClr w14:val="tx1"/>
                        </w14:solidFill>
                      </w14:textFill>
                    </w:rPr>
                  </w:pPr>
                  <w:r>
                    <w:rPr>
                      <w:rFonts w:ascii="Times New Roman"/>
                      <w:color w:val="000000" w:themeColor="text1"/>
                      <w:szCs w:val="21"/>
                      <w:lang w:val="en-US"/>
                      <w14:textFill>
                        <w14:solidFill>
                          <w14:schemeClr w14:val="tx1"/>
                        </w14:solidFill>
                      </w14:textFill>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1984"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851"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ascii="Times New Roman"/>
                      <w:color w:val="000000" w:themeColor="text1"/>
                      <w:szCs w:val="21"/>
                      <w:lang w:val="en-US"/>
                      <w14:textFill>
                        <w14:solidFill>
                          <w14:schemeClr w14:val="tx1"/>
                        </w14:solidFill>
                      </w14:textFill>
                    </w:rPr>
                    <w:t>方位</w:t>
                  </w:r>
                </w:p>
              </w:tc>
              <w:tc>
                <w:tcPr>
                  <w:tcW w:w="992"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ascii="Times New Roman"/>
                      <w:color w:val="000000" w:themeColor="text1"/>
                      <w:szCs w:val="21"/>
                      <w:lang w:val="en-US"/>
                      <w14:textFill>
                        <w14:solidFill>
                          <w14:schemeClr w14:val="tx1"/>
                        </w14:solidFill>
                      </w14:textFill>
                    </w:rPr>
                    <w:t>距离</w:t>
                  </w:r>
                  <w:r>
                    <w:rPr>
                      <w:rFonts w:hint="eastAsia" w:ascii="Times New Roman"/>
                      <w:color w:val="000000" w:themeColor="text1"/>
                      <w:szCs w:val="21"/>
                      <w:lang w:val="en-US"/>
                      <w14:textFill>
                        <w14:solidFill>
                          <w14:schemeClr w14:val="tx1"/>
                        </w14:solidFill>
                      </w14:textFill>
                    </w:rPr>
                    <w:t>（</w:t>
                  </w:r>
                  <w:r>
                    <w:rPr>
                      <w:rFonts w:ascii="Times New Roman"/>
                      <w:color w:val="000000" w:themeColor="text1"/>
                      <w:szCs w:val="21"/>
                      <w:lang w:val="en-US"/>
                      <w14:textFill>
                        <w14:solidFill>
                          <w14:schemeClr w14:val="tx1"/>
                        </w14:solidFill>
                      </w14:textFill>
                    </w:rPr>
                    <w:t>m</w:t>
                  </w:r>
                  <w:r>
                    <w:rPr>
                      <w:rFonts w:hint="eastAsia" w:ascii="Times New Roman"/>
                      <w:color w:val="000000" w:themeColor="text1"/>
                      <w:szCs w:val="21"/>
                      <w:lang w:val="en-US"/>
                      <w14:textFill>
                        <w14:solidFill>
                          <w14:schemeClr w14:val="tx1"/>
                        </w14:solidFill>
                      </w14:textFill>
                    </w:rPr>
                    <w:t>）</w:t>
                  </w:r>
                </w:p>
              </w:tc>
              <w:tc>
                <w:tcPr>
                  <w:tcW w:w="992"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2812"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restart"/>
                  <w:vAlign w:val="center"/>
                </w:tcPr>
                <w:p>
                  <w:pPr>
                    <w:pStyle w:val="92"/>
                    <w:spacing w:line="240" w:lineRule="auto"/>
                    <w:rPr>
                      <w:rFonts w:ascii="Times New Roman"/>
                      <w:color w:val="000000" w:themeColor="text1"/>
                      <w:szCs w:val="21"/>
                      <w:lang w:val="en-US"/>
                      <w14:textFill>
                        <w14:solidFill>
                          <w14:schemeClr w14:val="tx1"/>
                        </w14:solidFill>
                      </w14:textFill>
                    </w:rPr>
                  </w:pPr>
                  <w:r>
                    <w:rPr>
                      <w:rFonts w:ascii="Times New Roman"/>
                      <w:color w:val="000000" w:themeColor="text1"/>
                      <w:szCs w:val="21"/>
                      <w:lang w:val="en-US"/>
                      <w14:textFill>
                        <w14:solidFill>
                          <w14:schemeClr w14:val="tx1"/>
                        </w14:solidFill>
                      </w14:textFill>
                    </w:rPr>
                    <w:t>大气环境</w:t>
                  </w:r>
                </w:p>
              </w:tc>
              <w:tc>
                <w:tcPr>
                  <w:tcW w:w="1984"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hint="eastAsia" w:ascii="Times New Roman"/>
                      <w:color w:val="000000" w:themeColor="text1"/>
                      <w:szCs w:val="21"/>
                      <w:lang w:val="en-US"/>
                      <w14:textFill>
                        <w14:solidFill>
                          <w14:schemeClr w14:val="tx1"/>
                        </w14:solidFill>
                      </w14:textFill>
                    </w:rPr>
                    <w:t>兰州湾镇</w:t>
                  </w:r>
                </w:p>
              </w:tc>
              <w:tc>
                <w:tcPr>
                  <w:tcW w:w="851"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西</w:t>
                  </w:r>
                </w:p>
              </w:tc>
              <w:tc>
                <w:tcPr>
                  <w:tcW w:w="99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500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20000</w:t>
                  </w:r>
                </w:p>
              </w:tc>
              <w:tc>
                <w:tcPr>
                  <w:tcW w:w="2812" w:type="dxa"/>
                  <w:vMerge w:val="restart"/>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1984"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hint="eastAsia" w:ascii="Times New Roman"/>
                      <w:color w:val="000000" w:themeColor="text1"/>
                      <w:szCs w:val="21"/>
                      <w:lang w:val="en-US"/>
                      <w14:textFill>
                        <w14:solidFill>
                          <w14:schemeClr w14:val="tx1"/>
                        </w14:solidFill>
                      </w14:textFill>
                    </w:rPr>
                    <w:t>下兰州湾村</w:t>
                  </w:r>
                </w:p>
              </w:tc>
              <w:tc>
                <w:tcPr>
                  <w:tcW w:w="851"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东南</w:t>
                  </w:r>
                </w:p>
              </w:tc>
              <w:tc>
                <w:tcPr>
                  <w:tcW w:w="99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670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400</w:t>
                  </w:r>
                </w:p>
              </w:tc>
              <w:tc>
                <w:tcPr>
                  <w:tcW w:w="2812" w:type="dxa"/>
                  <w:vMerge w:val="continue"/>
                  <w:vAlign w:val="center"/>
                </w:tcPr>
                <w:p>
                  <w:pPr>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1984"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hint="eastAsia" w:ascii="Times New Roman"/>
                      <w:color w:val="000000" w:themeColor="text1"/>
                      <w:szCs w:val="21"/>
                      <w:lang w:val="en-US"/>
                      <w14:textFill>
                        <w14:solidFill>
                          <w14:schemeClr w14:val="tx1"/>
                        </w14:solidFill>
                      </w14:textFill>
                    </w:rPr>
                    <w:t>高家湖村</w:t>
                  </w:r>
                </w:p>
              </w:tc>
              <w:tc>
                <w:tcPr>
                  <w:tcW w:w="851"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东北</w:t>
                  </w:r>
                </w:p>
              </w:tc>
              <w:tc>
                <w:tcPr>
                  <w:tcW w:w="99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1000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350</w:t>
                  </w:r>
                </w:p>
              </w:tc>
              <w:tc>
                <w:tcPr>
                  <w:tcW w:w="2812" w:type="dxa"/>
                  <w:vMerge w:val="continue"/>
                  <w:vAlign w:val="center"/>
                </w:tcPr>
                <w:p>
                  <w:pPr>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1984"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hint="eastAsia" w:ascii="Times New Roman"/>
                      <w:color w:val="000000" w:themeColor="text1"/>
                      <w:szCs w:val="21"/>
                      <w:lang w:val="en-US"/>
                      <w14:textFill>
                        <w14:solidFill>
                          <w14:schemeClr w14:val="tx1"/>
                        </w14:solidFill>
                      </w14:textFill>
                    </w:rPr>
                    <w:t>王家庄村</w:t>
                  </w:r>
                </w:p>
              </w:tc>
              <w:tc>
                <w:tcPr>
                  <w:tcW w:w="851"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东北</w:t>
                  </w:r>
                </w:p>
              </w:tc>
              <w:tc>
                <w:tcPr>
                  <w:tcW w:w="99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1450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380</w:t>
                  </w:r>
                </w:p>
              </w:tc>
              <w:tc>
                <w:tcPr>
                  <w:tcW w:w="2812" w:type="dxa"/>
                  <w:vMerge w:val="continue"/>
                  <w:vAlign w:val="center"/>
                </w:tcPr>
                <w:p>
                  <w:pPr>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1984"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hint="eastAsia" w:ascii="Times New Roman"/>
                      <w:color w:val="000000" w:themeColor="text1"/>
                      <w:szCs w:val="21"/>
                      <w:lang w:val="en-US"/>
                      <w14:textFill>
                        <w14:solidFill>
                          <w14:schemeClr w14:val="tx1"/>
                        </w14:solidFill>
                      </w14:textFill>
                    </w:rPr>
                    <w:t>下马场湖村</w:t>
                  </w:r>
                </w:p>
              </w:tc>
              <w:tc>
                <w:tcPr>
                  <w:tcW w:w="851"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东</w:t>
                  </w:r>
                </w:p>
              </w:tc>
              <w:tc>
                <w:tcPr>
                  <w:tcW w:w="99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1160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430</w:t>
                  </w:r>
                </w:p>
              </w:tc>
              <w:tc>
                <w:tcPr>
                  <w:tcW w:w="2812" w:type="dxa"/>
                  <w:vMerge w:val="continue"/>
                  <w:vAlign w:val="center"/>
                </w:tcPr>
                <w:p>
                  <w:pPr>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1984"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hint="eastAsia" w:ascii="Times New Roman"/>
                      <w:color w:val="000000" w:themeColor="text1"/>
                      <w:szCs w:val="21"/>
                      <w:lang w:val="en-US"/>
                      <w14:textFill>
                        <w14:solidFill>
                          <w14:schemeClr w14:val="tx1"/>
                        </w14:solidFill>
                      </w14:textFill>
                    </w:rPr>
                    <w:t>玛纳斯县城北郊</w:t>
                  </w:r>
                </w:p>
              </w:tc>
              <w:tc>
                <w:tcPr>
                  <w:tcW w:w="851"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东南</w:t>
                  </w:r>
                </w:p>
              </w:tc>
              <w:tc>
                <w:tcPr>
                  <w:tcW w:w="99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2400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500</w:t>
                  </w:r>
                </w:p>
              </w:tc>
              <w:tc>
                <w:tcPr>
                  <w:tcW w:w="2812" w:type="dxa"/>
                  <w:vMerge w:val="continue"/>
                  <w:vAlign w:val="center"/>
                </w:tcPr>
                <w:p>
                  <w:pPr>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1984"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hint="eastAsia" w:ascii="Times New Roman"/>
                      <w:color w:val="000000" w:themeColor="text1"/>
                      <w:szCs w:val="21"/>
                      <w:lang w:val="en-US"/>
                      <w14:textFill>
                        <w14:solidFill>
                          <w14:schemeClr w14:val="tx1"/>
                        </w14:solidFill>
                      </w14:textFill>
                    </w:rPr>
                    <w:t>大疙瘩村</w:t>
                  </w:r>
                </w:p>
              </w:tc>
              <w:tc>
                <w:tcPr>
                  <w:tcW w:w="851"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南</w:t>
                  </w:r>
                </w:p>
              </w:tc>
              <w:tc>
                <w:tcPr>
                  <w:tcW w:w="99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2300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350</w:t>
                  </w:r>
                </w:p>
              </w:tc>
              <w:tc>
                <w:tcPr>
                  <w:tcW w:w="2812" w:type="dxa"/>
                  <w:vMerge w:val="continue"/>
                  <w:vAlign w:val="center"/>
                </w:tcPr>
                <w:p>
                  <w:pPr>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continue"/>
                  <w:vAlign w:val="center"/>
                </w:tcPr>
                <w:p>
                  <w:pPr>
                    <w:pStyle w:val="92"/>
                    <w:spacing w:line="240" w:lineRule="auto"/>
                    <w:rPr>
                      <w:rFonts w:ascii="Times New Roman"/>
                      <w:color w:val="000000" w:themeColor="text1"/>
                      <w:szCs w:val="21"/>
                      <w:lang w:val="en-US"/>
                      <w14:textFill>
                        <w14:solidFill>
                          <w14:schemeClr w14:val="tx1"/>
                        </w14:solidFill>
                      </w14:textFill>
                    </w:rPr>
                  </w:pPr>
                </w:p>
              </w:tc>
              <w:tc>
                <w:tcPr>
                  <w:tcW w:w="1984" w:type="dxa"/>
                  <w:vAlign w:val="center"/>
                </w:tcPr>
                <w:p>
                  <w:pPr>
                    <w:pStyle w:val="92"/>
                    <w:spacing w:line="240" w:lineRule="auto"/>
                    <w:rPr>
                      <w:rFonts w:ascii="Times New Roman"/>
                      <w:color w:val="000000" w:themeColor="text1"/>
                      <w:szCs w:val="21"/>
                      <w:lang w:val="en-US"/>
                      <w14:textFill>
                        <w14:solidFill>
                          <w14:schemeClr w14:val="tx1"/>
                        </w14:solidFill>
                      </w14:textFill>
                    </w:rPr>
                  </w:pPr>
                  <w:r>
                    <w:rPr>
                      <w:rFonts w:hint="eastAsia" w:ascii="Times New Roman"/>
                      <w:color w:val="000000" w:themeColor="text1"/>
                      <w:szCs w:val="21"/>
                      <w:lang w:val="en-US"/>
                      <w14:textFill>
                        <w14:solidFill>
                          <w14:schemeClr w14:val="tx1"/>
                        </w14:solidFill>
                      </w14:textFill>
                    </w:rPr>
                    <w:t>兰州湾村</w:t>
                  </w:r>
                </w:p>
              </w:tc>
              <w:tc>
                <w:tcPr>
                  <w:tcW w:w="851"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东南</w:t>
                  </w:r>
                </w:p>
              </w:tc>
              <w:tc>
                <w:tcPr>
                  <w:tcW w:w="992" w:type="dxa"/>
                  <w:vAlign w:val="center"/>
                </w:tcPr>
                <w:p>
                  <w:pPr>
                    <w:adjustRightInd w:val="0"/>
                    <w:snapToGrid w:val="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2300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500</w:t>
                  </w:r>
                </w:p>
              </w:tc>
              <w:tc>
                <w:tcPr>
                  <w:tcW w:w="2812" w:type="dxa"/>
                  <w:vMerge w:val="continue"/>
                  <w:vAlign w:val="center"/>
                </w:tcPr>
                <w:p>
                  <w:pPr>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restart"/>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地表水环境</w:t>
                  </w:r>
                </w:p>
              </w:tc>
              <w:tc>
                <w:tcPr>
                  <w:tcW w:w="1984"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六浮渠</w:t>
                  </w:r>
                </w:p>
              </w:tc>
              <w:tc>
                <w:tcPr>
                  <w:tcW w:w="851"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西北</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2812" w:type="dxa"/>
                  <w:vMerge w:val="restart"/>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《地表水环境质量标准》（GB3838-2002）III类标准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Merge w:val="continue"/>
                  <w:vAlign w:val="center"/>
                </w:tcPr>
                <w:p>
                  <w:pPr>
                    <w:jc w:val="center"/>
                    <w:rPr>
                      <w:rFonts w:eastAsia="宋体"/>
                      <w:color w:val="000000" w:themeColor="text1"/>
                      <w:sz w:val="21"/>
                      <w:szCs w:val="21"/>
                      <w14:textFill>
                        <w14:solidFill>
                          <w14:schemeClr w14:val="tx1"/>
                        </w14:solidFill>
                      </w14:textFill>
                    </w:rPr>
                  </w:pPr>
                </w:p>
              </w:tc>
              <w:tc>
                <w:tcPr>
                  <w:tcW w:w="1984"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广丰渠</w:t>
                  </w:r>
                </w:p>
              </w:tc>
              <w:tc>
                <w:tcPr>
                  <w:tcW w:w="851"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南</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640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2812" w:type="dxa"/>
                  <w:vMerge w:val="continue"/>
                  <w:vAlign w:val="center"/>
                </w:tcPr>
                <w:p>
                  <w:pPr>
                    <w:widowControl/>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地下水环境</w:t>
                  </w:r>
                </w:p>
              </w:tc>
              <w:tc>
                <w:tcPr>
                  <w:tcW w:w="1984"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项目所在区域潜水层</w:t>
                  </w:r>
                </w:p>
              </w:tc>
              <w:tc>
                <w:tcPr>
                  <w:tcW w:w="851"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992" w:type="dxa"/>
                  <w:vAlign w:val="center"/>
                </w:tcPr>
                <w:p>
                  <w:pPr>
                    <w:jc w:val="center"/>
                    <w:rPr>
                      <w:rFonts w:eastAsia="宋体"/>
                      <w:color w:val="000000" w:themeColor="text1"/>
                      <w:sz w:val="21"/>
                      <w:szCs w:val="21"/>
                      <w14:textFill>
                        <w14:solidFill>
                          <w14:schemeClr w14:val="tx1"/>
                        </w14:solidFill>
                      </w14:textFill>
                    </w:rPr>
                  </w:pPr>
                </w:p>
              </w:tc>
              <w:tc>
                <w:tcPr>
                  <w:tcW w:w="992"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812" w:type="dxa"/>
                  <w:vAlign w:val="center"/>
                </w:tcPr>
                <w:p>
                  <w:pPr>
                    <w:widowControl/>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《地下水质量标准》（</w:t>
                  </w:r>
                  <w:r>
                    <w:rPr>
                      <w:rFonts w:hint="eastAsia" w:eastAsia="宋体"/>
                      <w:color w:val="000000" w:themeColor="text1"/>
                      <w:sz w:val="21"/>
                      <w:szCs w:val="21"/>
                      <w14:textFill>
                        <w14:solidFill>
                          <w14:schemeClr w14:val="tx1"/>
                        </w14:solidFill>
                      </w14:textFill>
                    </w:rPr>
                    <w:t>GB</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T</w:t>
                  </w:r>
                  <w:r>
                    <w:rPr>
                      <w:rFonts w:eastAsia="宋体"/>
                      <w:color w:val="000000" w:themeColor="text1"/>
                      <w:sz w:val="21"/>
                      <w:szCs w:val="21"/>
                      <w14:textFill>
                        <w14:solidFill>
                          <w14:schemeClr w14:val="tx1"/>
                        </w14:solidFill>
                      </w14:textFill>
                    </w:rPr>
                    <w:t>14848-</w:t>
                  </w:r>
                  <w:r>
                    <w:rPr>
                      <w:rFonts w:hint="eastAsia" w:eastAsia="宋体"/>
                      <w:color w:val="000000" w:themeColor="text1"/>
                      <w:sz w:val="21"/>
                      <w:szCs w:val="21"/>
                      <w14:textFill>
                        <w14:solidFill>
                          <w14:schemeClr w14:val="tx1"/>
                        </w14:solidFill>
                      </w14:textFill>
                    </w:rPr>
                    <w:t>2017</w:t>
                  </w:r>
                  <w:r>
                    <w:rPr>
                      <w:rFonts w:eastAsia="宋体"/>
                      <w:color w:val="000000" w:themeColor="text1"/>
                      <w:sz w:val="21"/>
                      <w:szCs w:val="21"/>
                      <w14:textFill>
                        <w14:solidFill>
                          <w14:schemeClr w14:val="tx1"/>
                        </w14:solidFill>
                      </w14:textFill>
                    </w:rPr>
                    <w:t>）III类标准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95"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生态环境</w:t>
                  </w:r>
                </w:p>
              </w:tc>
              <w:tc>
                <w:tcPr>
                  <w:tcW w:w="1984"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周边农田及林带</w:t>
                  </w:r>
                </w:p>
              </w:tc>
              <w:tc>
                <w:tcPr>
                  <w:tcW w:w="851"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100</w:t>
                  </w:r>
                </w:p>
              </w:tc>
              <w:tc>
                <w:tcPr>
                  <w:tcW w:w="9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2812" w:type="dxa"/>
                  <w:vAlign w:val="center"/>
                </w:tcPr>
                <w:p>
                  <w:pPr>
                    <w:widowControl/>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不受破坏</w:t>
                  </w:r>
                </w:p>
              </w:tc>
            </w:tr>
          </w:tbl>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根据区域内环境状况和本项目污染物排放情况，本项目污染控制目标确定为：</w:t>
            </w:r>
          </w:p>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（1）大气环境</w:t>
            </w:r>
          </w:p>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保护本工程区域大气环境质量，控制施工场地扬尘及运营期恶臭气体造成的污染，确保大气环境质量不因本工程的建设和运营而恶化，保证区域环境空气质量控制在目前的水平。</w:t>
            </w:r>
          </w:p>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（2）水环境</w:t>
            </w:r>
          </w:p>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地表水不低于《地表水环境质量标准》（GB3838-2002）III类标准。地下水环境质量维持在《地下水质量标准》（GB/T14848-2017）Ⅲ类标准。</w:t>
            </w:r>
          </w:p>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（3）声环境</w:t>
            </w:r>
          </w:p>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本工程施工期的施工噪声主要是施工机械和车辆噪声对周边主要敏感目标的影响，应确保区域环境噪声满足《声环境质量标准》（GB3096-2008）中的2类标准要求。</w:t>
            </w:r>
          </w:p>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（4）固体废弃物</w:t>
            </w:r>
          </w:p>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本项目施工期及运营期产生的固体废弃物得到合理处置，不产生二次污染。</w:t>
            </w:r>
          </w:p>
        </w:tc>
      </w:tr>
    </w:tbl>
    <w:p>
      <w:pPr>
        <w:snapToGrid w:val="0"/>
        <w:outlineLvl w:val="0"/>
        <w:rPr>
          <w:rFonts w:eastAsia="宋体"/>
          <w:b/>
          <w:color w:val="000000" w:themeColor="text1"/>
          <w:sz w:val="30"/>
          <w:szCs w:val="30"/>
          <w14:textFill>
            <w14:solidFill>
              <w14:schemeClr w14:val="tx1"/>
            </w14:solidFill>
          </w14:textFill>
        </w:rPr>
      </w:pPr>
      <w:r>
        <w:rPr>
          <w:rFonts w:eastAsia="宋体"/>
          <w:b/>
          <w:color w:val="000000" w:themeColor="text1"/>
          <w:sz w:val="30"/>
          <w:szCs w:val="30"/>
          <w14:textFill>
            <w14:solidFill>
              <w14:schemeClr w14:val="tx1"/>
            </w14:solidFill>
          </w14:textFill>
        </w:rPr>
        <w:t>评价适用标准</w:t>
      </w:r>
    </w:p>
    <w:tbl>
      <w:tblPr>
        <w:tblStyle w:val="32"/>
        <w:tblW w:w="947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8"/>
        <w:gridCol w:w="88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89" w:hRule="atLeast"/>
        </w:trPr>
        <w:tc>
          <w:tcPr>
            <w:tcW w:w="648" w:type="dxa"/>
            <w:vAlign w:val="center"/>
          </w:tcPr>
          <w:p>
            <w:pPr>
              <w:adjustRightInd w:val="0"/>
              <w:snapToGrid w:val="0"/>
              <w:spacing w:line="540" w:lineRule="exact"/>
              <w:ind w:left="113" w:right="113"/>
              <w:jc w:val="center"/>
              <w:rPr>
                <w:rFonts w:eastAsia="宋体"/>
                <w:b/>
                <w:bCs/>
                <w:color w:val="000000" w:themeColor="text1"/>
                <w:sz w:val="24"/>
                <w14:textFill>
                  <w14:solidFill>
                    <w14:schemeClr w14:val="tx1"/>
                  </w14:solidFill>
                </w14:textFill>
              </w:rPr>
            </w:pPr>
            <w:r>
              <w:rPr>
                <w:rFonts w:eastAsia="宋体"/>
                <w:color w:val="000000" w:themeColor="text1"/>
                <w:sz w:val="24"/>
                <w:szCs w:val="24"/>
                <w14:textFill>
                  <w14:solidFill>
                    <w14:schemeClr w14:val="tx1"/>
                  </w14:solidFill>
                </w14:textFill>
              </w:rPr>
              <w:t>环境质量标准</w:t>
            </w:r>
          </w:p>
        </w:tc>
        <w:tc>
          <w:tcPr>
            <w:tcW w:w="8825" w:type="dxa"/>
          </w:tcPr>
          <w:p>
            <w:pPr>
              <w:adjustRightInd w:val="0"/>
              <w:snapToGrid w:val="0"/>
              <w:spacing w:line="360" w:lineRule="auto"/>
              <w:ind w:firstLine="480" w:firstLineChars="200"/>
              <w:jc w:val="left"/>
              <w:rPr>
                <w:rFonts w:eastAsia="宋体"/>
                <w:color w:val="000000" w:themeColor="text1"/>
                <w:sz w:val="24"/>
                <w:szCs w:val="24"/>
                <w14:textFill>
                  <w14:solidFill>
                    <w14:schemeClr w14:val="tx1"/>
                  </w14:solidFill>
                </w14:textFill>
              </w:rPr>
            </w:pPr>
          </w:p>
          <w:p>
            <w:pPr>
              <w:spacing w:line="560" w:lineRule="exact"/>
              <w:ind w:left="84" w:leftChars="30" w:right="84" w:rightChars="3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1、《环境空气质量标准》（GB3095-2012）二级</w:t>
            </w:r>
            <w:r>
              <w:rPr>
                <w:rFonts w:hint="eastAsia" w:eastAsia="宋体"/>
                <w:color w:val="000000" w:themeColor="text1"/>
                <w:sz w:val="24"/>
                <w14:textFill>
                  <w14:solidFill>
                    <w14:schemeClr w14:val="tx1"/>
                  </w14:solidFill>
                </w14:textFill>
              </w:rPr>
              <w:t>；</w:t>
            </w:r>
          </w:p>
          <w:p>
            <w:pPr>
              <w:adjustRightInd w:val="0"/>
              <w:snapToGrid w:val="0"/>
              <w:spacing w:line="560" w:lineRule="exact"/>
              <w:ind w:left="84" w:leftChars="30" w:right="84" w:rightChars="3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2、</w:t>
            </w:r>
            <w:r>
              <w:rPr>
                <w:rFonts w:hint="eastAsia" w:eastAsia="宋体"/>
                <w:color w:val="000000" w:themeColor="text1"/>
                <w:sz w:val="24"/>
                <w:szCs w:val="24"/>
                <w14:textFill>
                  <w14:solidFill>
                    <w14:schemeClr w14:val="tx1"/>
                  </w14:solidFill>
                </w14:textFill>
              </w:rPr>
              <w:t>《环境影响评价技术导则 大气环境》（HJ2.2-2018）附录D中标准；</w:t>
            </w:r>
          </w:p>
          <w:p>
            <w:pPr>
              <w:adjustRightInd w:val="0"/>
              <w:snapToGrid w:val="0"/>
              <w:spacing w:line="560" w:lineRule="exact"/>
              <w:ind w:left="84" w:leftChars="30" w:right="84" w:rightChars="3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3、</w:t>
            </w:r>
            <w:r>
              <w:rPr>
                <w:rFonts w:eastAsia="宋体"/>
                <w:color w:val="000000" w:themeColor="text1"/>
                <w:sz w:val="24"/>
                <w14:textFill>
                  <w14:solidFill>
                    <w14:schemeClr w14:val="tx1"/>
                  </w14:solidFill>
                </w14:textFill>
              </w:rPr>
              <w:t>《地下水质量标准》（GB/T14848-2017）</w:t>
            </w:r>
            <w:r>
              <w:rPr>
                <w:rFonts w:eastAsia="宋体"/>
                <w:color w:val="000000" w:themeColor="text1"/>
                <w:sz w:val="24"/>
                <w14:textFill>
                  <w14:solidFill>
                    <w14:schemeClr w14:val="tx1"/>
                  </w14:solidFill>
                </w14:textFill>
              </w:rPr>
              <w:fldChar w:fldCharType="begin"/>
            </w:r>
            <w:r>
              <w:rPr>
                <w:rFonts w:eastAsia="宋体"/>
                <w:color w:val="000000" w:themeColor="text1"/>
                <w:sz w:val="24"/>
                <w14:textFill>
                  <w14:solidFill>
                    <w14:schemeClr w14:val="tx1"/>
                  </w14:solidFill>
                </w14:textFill>
              </w:rPr>
              <w:instrText xml:space="preserve"> </w:instrText>
            </w:r>
            <w:r>
              <w:rPr>
                <w:rFonts w:hint="eastAsia" w:eastAsia="宋体"/>
                <w:color w:val="000000" w:themeColor="text1"/>
                <w:sz w:val="24"/>
                <w14:textFill>
                  <w14:solidFill>
                    <w14:schemeClr w14:val="tx1"/>
                  </w14:solidFill>
                </w14:textFill>
              </w:rPr>
              <w:instrText xml:space="preserve">= 3 \* ROMAN</w:instrText>
            </w:r>
            <w:r>
              <w:rPr>
                <w:rFonts w:eastAsia="宋体"/>
                <w:color w:val="000000" w:themeColor="text1"/>
                <w:sz w:val="24"/>
                <w14:textFill>
                  <w14:solidFill>
                    <w14:schemeClr w14:val="tx1"/>
                  </w14:solidFill>
                </w14:textFill>
              </w:rPr>
              <w:instrText xml:space="preserve"> </w:instrText>
            </w:r>
            <w:r>
              <w:rPr>
                <w:rFonts w:eastAsia="宋体"/>
                <w:color w:val="000000" w:themeColor="text1"/>
                <w:sz w:val="24"/>
                <w14:textFill>
                  <w14:solidFill>
                    <w14:schemeClr w14:val="tx1"/>
                  </w14:solidFill>
                </w14:textFill>
              </w:rPr>
              <w:fldChar w:fldCharType="separate"/>
            </w:r>
            <w:r>
              <w:rPr>
                <w:rFonts w:eastAsia="宋体"/>
                <w:color w:val="000000" w:themeColor="text1"/>
                <w:sz w:val="24"/>
                <w14:textFill>
                  <w14:solidFill>
                    <w14:schemeClr w14:val="tx1"/>
                  </w14:solidFill>
                </w14:textFill>
              </w:rPr>
              <w:t>III</w:t>
            </w:r>
            <w:r>
              <w:rPr>
                <w:rFonts w:eastAsia="宋体"/>
                <w:color w:val="000000" w:themeColor="text1"/>
                <w:sz w:val="24"/>
                <w14:textFill>
                  <w14:solidFill>
                    <w14:schemeClr w14:val="tx1"/>
                  </w14:solidFill>
                </w14:textFill>
              </w:rPr>
              <w:fldChar w:fldCharType="end"/>
            </w:r>
            <w:r>
              <w:rPr>
                <w:rFonts w:eastAsia="宋体"/>
                <w:color w:val="000000" w:themeColor="text1"/>
                <w:sz w:val="24"/>
                <w14:textFill>
                  <w14:solidFill>
                    <w14:schemeClr w14:val="tx1"/>
                  </w14:solidFill>
                </w14:textFill>
              </w:rPr>
              <w:t>类</w:t>
            </w:r>
            <w:r>
              <w:rPr>
                <w:rFonts w:hint="eastAsia" w:eastAsia="宋体"/>
                <w:color w:val="000000" w:themeColor="text1"/>
                <w:sz w:val="24"/>
                <w14:textFill>
                  <w14:solidFill>
                    <w14:schemeClr w14:val="tx1"/>
                  </w14:solidFill>
                </w14:textFill>
              </w:rPr>
              <w:t>；</w:t>
            </w:r>
          </w:p>
          <w:p>
            <w:pPr>
              <w:spacing w:line="560" w:lineRule="exact"/>
              <w:ind w:left="84" w:leftChars="30" w:right="84" w:rightChars="3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4</w:t>
            </w:r>
            <w:r>
              <w:rPr>
                <w:rFonts w:eastAsia="宋体"/>
                <w:color w:val="000000" w:themeColor="text1"/>
                <w:sz w:val="24"/>
                <w14:textFill>
                  <w14:solidFill>
                    <w14:schemeClr w14:val="tx1"/>
                  </w14:solidFill>
                </w14:textFill>
              </w:rPr>
              <w:t>、《声环境质量标准》（GB3096-2008）</w:t>
            </w:r>
            <w:r>
              <w:rPr>
                <w:rFonts w:hint="eastAsia" w:eastAsia="宋体"/>
                <w:color w:val="000000" w:themeColor="text1"/>
                <w:sz w:val="24"/>
                <w14:textFill>
                  <w14:solidFill>
                    <w14:schemeClr w14:val="tx1"/>
                  </w14:solidFill>
                </w14:textFill>
              </w:rPr>
              <w:t>2</w:t>
            </w:r>
            <w:r>
              <w:rPr>
                <w:rFonts w:eastAsia="宋体"/>
                <w:color w:val="000000" w:themeColor="text1"/>
                <w:sz w:val="24"/>
                <w14:textFill>
                  <w14:solidFill>
                    <w14:schemeClr w14:val="tx1"/>
                  </w14:solidFill>
                </w14:textFill>
              </w:rPr>
              <w:t>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73" w:hRule="atLeast"/>
        </w:trPr>
        <w:tc>
          <w:tcPr>
            <w:tcW w:w="648" w:type="dxa"/>
            <w:vAlign w:val="center"/>
          </w:tcPr>
          <w:p>
            <w:pPr>
              <w:adjustRightInd w:val="0"/>
              <w:snapToGrid w:val="0"/>
              <w:spacing w:line="540" w:lineRule="exact"/>
              <w:ind w:left="113" w:right="113"/>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污</w:t>
            </w:r>
          </w:p>
          <w:p>
            <w:pPr>
              <w:adjustRightInd w:val="0"/>
              <w:snapToGrid w:val="0"/>
              <w:spacing w:line="540" w:lineRule="exact"/>
              <w:ind w:left="113" w:right="113"/>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染</w:t>
            </w:r>
          </w:p>
          <w:p>
            <w:pPr>
              <w:adjustRightInd w:val="0"/>
              <w:snapToGrid w:val="0"/>
              <w:spacing w:line="540" w:lineRule="exact"/>
              <w:ind w:left="113" w:right="113"/>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物</w:t>
            </w:r>
          </w:p>
          <w:p>
            <w:pPr>
              <w:adjustRightInd w:val="0"/>
              <w:snapToGrid w:val="0"/>
              <w:spacing w:line="540" w:lineRule="exact"/>
              <w:ind w:left="113" w:right="113"/>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排</w:t>
            </w:r>
          </w:p>
          <w:p>
            <w:pPr>
              <w:adjustRightInd w:val="0"/>
              <w:snapToGrid w:val="0"/>
              <w:spacing w:line="540" w:lineRule="exact"/>
              <w:ind w:left="113" w:right="113"/>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放</w:t>
            </w:r>
          </w:p>
          <w:p>
            <w:pPr>
              <w:adjustRightInd w:val="0"/>
              <w:snapToGrid w:val="0"/>
              <w:spacing w:line="540" w:lineRule="exact"/>
              <w:ind w:left="113" w:right="113"/>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标</w:t>
            </w:r>
          </w:p>
          <w:p>
            <w:pPr>
              <w:adjustRightInd w:val="0"/>
              <w:snapToGrid w:val="0"/>
              <w:spacing w:line="540" w:lineRule="exact"/>
              <w:ind w:left="113" w:right="113"/>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准</w:t>
            </w:r>
          </w:p>
          <w:p>
            <w:pPr>
              <w:adjustRightInd w:val="0"/>
              <w:snapToGrid w:val="0"/>
              <w:spacing w:line="540" w:lineRule="exact"/>
              <w:ind w:left="113" w:right="113"/>
              <w:jc w:val="center"/>
              <w:rPr>
                <w:rFonts w:eastAsia="宋体"/>
                <w:color w:val="000000" w:themeColor="text1"/>
                <w:sz w:val="24"/>
                <w:szCs w:val="24"/>
                <w14:textFill>
                  <w14:solidFill>
                    <w14:schemeClr w14:val="tx1"/>
                  </w14:solidFill>
                </w14:textFill>
              </w:rPr>
            </w:pPr>
          </w:p>
        </w:tc>
        <w:tc>
          <w:tcPr>
            <w:tcW w:w="8825" w:type="dxa"/>
            <w:vAlign w:val="center"/>
          </w:tcPr>
          <w:p>
            <w:pPr>
              <w:adjustRightInd w:val="0"/>
              <w:snapToGrid w:val="0"/>
              <w:spacing w:line="560" w:lineRule="exact"/>
              <w:ind w:left="84" w:leftChars="30" w:right="84" w:rightChars="3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1、</w:t>
            </w:r>
            <w:r>
              <w:rPr>
                <w:rFonts w:hint="eastAsia" w:eastAsia="宋体"/>
                <w:color w:val="000000" w:themeColor="text1"/>
                <w:sz w:val="24"/>
                <w14:textFill>
                  <w14:solidFill>
                    <w14:schemeClr w14:val="tx1"/>
                  </w14:solidFill>
                </w14:textFill>
              </w:rPr>
              <w:t>《大气污染物综合排放标准》（GB16297-1996）排放限值；</w:t>
            </w:r>
          </w:p>
          <w:p>
            <w:pPr>
              <w:adjustRightInd w:val="0"/>
              <w:snapToGrid w:val="0"/>
              <w:spacing w:line="560" w:lineRule="exact"/>
              <w:ind w:left="84" w:leftChars="30" w:right="84" w:rightChars="3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2、《恶臭污染物排放标准》（GB14554-93）排放限值；</w:t>
            </w:r>
          </w:p>
          <w:p>
            <w:pPr>
              <w:adjustRightInd w:val="0"/>
              <w:snapToGrid w:val="0"/>
              <w:spacing w:line="560" w:lineRule="exact"/>
              <w:ind w:left="84" w:leftChars="30" w:right="84" w:rightChars="3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3、</w:t>
            </w:r>
            <w:r>
              <w:rPr>
                <w:rFonts w:hint="eastAsia" w:eastAsia="宋体"/>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生活垃圾填埋场污染控制标准</w:t>
            </w:r>
            <w:r>
              <w:rPr>
                <w:rFonts w:hint="eastAsia" w:eastAsia="宋体"/>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（GB16889-2008）</w:t>
            </w:r>
            <w:r>
              <w:rPr>
                <w:rFonts w:hint="eastAsia" w:eastAsia="宋体"/>
                <w:color w:val="000000" w:themeColor="text1"/>
                <w:sz w:val="24"/>
                <w14:textFill>
                  <w14:solidFill>
                    <w14:schemeClr w14:val="tx1"/>
                  </w14:solidFill>
                </w14:textFill>
              </w:rPr>
              <w:t>中表2排放限值；</w:t>
            </w:r>
          </w:p>
          <w:p>
            <w:pPr>
              <w:adjustRightInd w:val="0"/>
              <w:snapToGrid w:val="0"/>
              <w:spacing w:line="560" w:lineRule="exact"/>
              <w:ind w:left="84" w:leftChars="30" w:right="84" w:rightChars="3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4、《施工场界环境噪声排放标准》（GB12523-2011）排放限值</w:t>
            </w:r>
            <w:r>
              <w:rPr>
                <w:rFonts w:hint="eastAsia" w:eastAsia="宋体"/>
                <w:color w:val="000000" w:themeColor="text1"/>
                <w:sz w:val="24"/>
                <w:szCs w:val="24"/>
                <w14:textFill>
                  <w14:solidFill>
                    <w14:schemeClr w14:val="tx1"/>
                  </w14:solidFill>
                </w14:textFill>
              </w:rPr>
              <w:t>；</w:t>
            </w:r>
          </w:p>
          <w:p>
            <w:pPr>
              <w:adjustRightInd w:val="0"/>
              <w:snapToGrid w:val="0"/>
              <w:spacing w:line="560" w:lineRule="exact"/>
              <w:ind w:left="84" w:leftChars="30" w:right="84" w:rightChars="3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5、《工业企业厂界环境噪声排放标准》（GB12348-2008）2类标准。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73" w:hRule="atLeast"/>
        </w:trPr>
        <w:tc>
          <w:tcPr>
            <w:tcW w:w="648" w:type="dxa"/>
            <w:vAlign w:val="center"/>
          </w:tcPr>
          <w:p>
            <w:pPr>
              <w:adjustRightInd w:val="0"/>
              <w:snapToGrid w:val="0"/>
              <w:spacing w:line="540" w:lineRule="exact"/>
              <w:ind w:left="113" w:right="113"/>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 xml:space="preserve">    总量控制指标</w:t>
            </w:r>
          </w:p>
        </w:tc>
        <w:tc>
          <w:tcPr>
            <w:tcW w:w="8825" w:type="dxa"/>
          </w:tcPr>
          <w:p>
            <w:pPr>
              <w:pStyle w:val="2"/>
              <w:spacing w:line="560" w:lineRule="exact"/>
              <w:ind w:left="84" w:leftChars="30" w:right="84" w:rightChars="30" w:firstLine="480" w:firstLineChars="200"/>
              <w:jc w:val="both"/>
              <w:rPr>
                <w:rFonts w:eastAsia="宋体"/>
                <w:snapToGrid/>
                <w:color w:val="000000" w:themeColor="text1"/>
                <w:kern w:val="2"/>
                <w:sz w:val="24"/>
                <w:szCs w:val="20"/>
                <w:lang w:val="en-US"/>
                <w14:textFill>
                  <w14:solidFill>
                    <w14:schemeClr w14:val="tx1"/>
                  </w14:solidFill>
                </w14:textFill>
              </w:rPr>
            </w:pPr>
          </w:p>
          <w:p>
            <w:pPr>
              <w:pStyle w:val="2"/>
              <w:spacing w:line="560" w:lineRule="exact"/>
              <w:ind w:left="84" w:leftChars="30" w:right="84" w:rightChars="30" w:firstLine="480" w:firstLineChars="200"/>
              <w:jc w:val="both"/>
              <w:rPr>
                <w:rFonts w:eastAsia="宋体"/>
                <w:snapToGrid/>
                <w:color w:val="000000" w:themeColor="text1"/>
                <w:kern w:val="2"/>
                <w:sz w:val="24"/>
                <w:szCs w:val="20"/>
                <w:lang w:val="en-US"/>
                <w14:textFill>
                  <w14:solidFill>
                    <w14:schemeClr w14:val="tx1"/>
                  </w14:solidFill>
                </w14:textFill>
              </w:rPr>
            </w:pPr>
          </w:p>
          <w:p>
            <w:pPr>
              <w:pStyle w:val="2"/>
              <w:spacing w:line="560" w:lineRule="exact"/>
              <w:ind w:left="84" w:leftChars="30" w:right="84" w:rightChars="30" w:firstLine="480" w:firstLineChars="200"/>
              <w:jc w:val="both"/>
              <w:rPr>
                <w:rFonts w:eastAsia="宋体"/>
                <w:snapToGrid/>
                <w:color w:val="000000" w:themeColor="text1"/>
                <w:kern w:val="2"/>
                <w:sz w:val="24"/>
                <w:szCs w:val="20"/>
                <w:lang w:val="en-US"/>
                <w14:textFill>
                  <w14:solidFill>
                    <w14:schemeClr w14:val="tx1"/>
                  </w14:solidFill>
                </w14:textFill>
              </w:rPr>
            </w:pPr>
          </w:p>
          <w:p>
            <w:pPr>
              <w:pStyle w:val="2"/>
              <w:spacing w:line="560" w:lineRule="exact"/>
              <w:ind w:left="84" w:leftChars="30" w:right="84" w:rightChars="30" w:firstLine="480" w:firstLineChars="200"/>
              <w:jc w:val="both"/>
              <w:rPr>
                <w:rFonts w:eastAsia="宋体"/>
                <w:snapToGrid/>
                <w:color w:val="000000" w:themeColor="text1"/>
                <w:kern w:val="2"/>
                <w:sz w:val="24"/>
                <w:szCs w:val="20"/>
                <w:lang w:val="en-US"/>
                <w14:textFill>
                  <w14:solidFill>
                    <w14:schemeClr w14:val="tx1"/>
                  </w14:solidFill>
                </w14:textFill>
              </w:rPr>
            </w:pPr>
            <w:r>
              <w:rPr>
                <w:rFonts w:hint="eastAsia" w:eastAsia="宋体"/>
                <w:snapToGrid/>
                <w:color w:val="000000" w:themeColor="text1"/>
                <w:kern w:val="2"/>
                <w:sz w:val="24"/>
                <w:szCs w:val="20"/>
                <w:lang w:val="en-US"/>
                <w14:textFill>
                  <w14:solidFill>
                    <w14:schemeClr w14:val="tx1"/>
                  </w14:solidFill>
                </w14:textFill>
              </w:rPr>
              <w:t>因本项目渗滤液处理系统处理后的尾水均回用于洒水抑尘和绿化，故本项目不设置总量控制指标。</w:t>
            </w:r>
          </w:p>
          <w:p>
            <w:pPr>
              <w:pStyle w:val="2"/>
              <w:spacing w:line="560" w:lineRule="exact"/>
              <w:ind w:left="84" w:leftChars="30" w:right="84" w:rightChars="30" w:firstLine="480" w:firstLineChars="200"/>
              <w:jc w:val="both"/>
              <w:rPr>
                <w:rFonts w:eastAsia="宋体"/>
                <w:snapToGrid/>
                <w:color w:val="000000" w:themeColor="text1"/>
                <w:kern w:val="2"/>
                <w:sz w:val="24"/>
                <w:szCs w:val="20"/>
                <w:lang w:val="en-US"/>
                <w14:textFill>
                  <w14:solidFill>
                    <w14:schemeClr w14:val="tx1"/>
                  </w14:solidFill>
                </w14:textFill>
              </w:rPr>
            </w:pPr>
          </w:p>
          <w:p>
            <w:pPr>
              <w:pStyle w:val="2"/>
              <w:spacing w:line="560" w:lineRule="exact"/>
              <w:ind w:left="84" w:leftChars="30" w:right="84" w:rightChars="30" w:firstLine="480" w:firstLineChars="200"/>
              <w:jc w:val="both"/>
              <w:rPr>
                <w:rFonts w:eastAsia="宋体"/>
                <w:snapToGrid/>
                <w:color w:val="000000" w:themeColor="text1"/>
                <w:kern w:val="2"/>
                <w:sz w:val="24"/>
                <w:szCs w:val="20"/>
                <w:lang w:val="en-US"/>
                <w14:textFill>
                  <w14:solidFill>
                    <w14:schemeClr w14:val="tx1"/>
                  </w14:solidFill>
                </w14:textFill>
              </w:rPr>
            </w:pPr>
          </w:p>
          <w:p>
            <w:pPr>
              <w:pStyle w:val="2"/>
              <w:spacing w:line="560" w:lineRule="exact"/>
              <w:ind w:left="84" w:leftChars="30" w:right="84" w:rightChars="30" w:firstLine="480" w:firstLineChars="200"/>
              <w:jc w:val="both"/>
              <w:rPr>
                <w:rFonts w:eastAsia="宋体"/>
                <w:snapToGrid/>
                <w:color w:val="000000" w:themeColor="text1"/>
                <w:kern w:val="2"/>
                <w:sz w:val="24"/>
                <w:szCs w:val="20"/>
                <w:lang w:val="en-US"/>
                <w14:textFill>
                  <w14:solidFill>
                    <w14:schemeClr w14:val="tx1"/>
                  </w14:solidFill>
                </w14:textFill>
              </w:rPr>
            </w:pPr>
          </w:p>
          <w:p>
            <w:pPr>
              <w:pStyle w:val="2"/>
              <w:spacing w:line="560" w:lineRule="exact"/>
              <w:ind w:right="84" w:rightChars="30"/>
              <w:jc w:val="both"/>
              <w:rPr>
                <w:rFonts w:eastAsia="宋体"/>
                <w:snapToGrid/>
                <w:color w:val="000000" w:themeColor="text1"/>
                <w:kern w:val="2"/>
                <w:sz w:val="24"/>
                <w:szCs w:val="20"/>
                <w:lang w:val="en-US"/>
                <w14:textFill>
                  <w14:solidFill>
                    <w14:schemeClr w14:val="tx1"/>
                  </w14:solidFill>
                </w14:textFill>
              </w:rPr>
            </w:pPr>
          </w:p>
        </w:tc>
      </w:tr>
    </w:tbl>
    <w:p>
      <w:pPr>
        <w:snapToGrid w:val="0"/>
        <w:outlineLvl w:val="0"/>
        <w:rPr>
          <w:rFonts w:eastAsia="宋体"/>
          <w:b/>
          <w:color w:val="000000" w:themeColor="text1"/>
          <w:sz w:val="30"/>
          <w:szCs w:val="30"/>
          <w14:textFill>
            <w14:solidFill>
              <w14:schemeClr w14:val="tx1"/>
            </w14:solidFill>
          </w14:textFill>
        </w:rPr>
      </w:pPr>
      <w:r>
        <w:rPr>
          <w:rFonts w:eastAsia="宋体"/>
          <w:b/>
          <w:color w:val="000000" w:themeColor="text1"/>
          <w:sz w:val="30"/>
          <w:szCs w:val="30"/>
          <w14:textFill>
            <w14:solidFill>
              <w14:schemeClr w14:val="tx1"/>
            </w14:solidFill>
          </w14:textFill>
        </w:rPr>
        <w:t>建设项目工程分析</w:t>
      </w:r>
    </w:p>
    <w:tbl>
      <w:tblPr>
        <w:tblStyle w:val="32"/>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73" w:hRule="atLeast"/>
        </w:trPr>
        <w:tc>
          <w:tcPr>
            <w:tcW w:w="9180" w:type="dxa"/>
          </w:tcPr>
          <w:p>
            <w:pPr>
              <w:pStyle w:val="158"/>
              <w:spacing w:after="156" w:afterLines="50" w:line="560" w:lineRule="exact"/>
              <w:ind w:firstLine="0" w:firstLineChars="0"/>
              <w:rPr>
                <w:rFonts w:hint="default" w:ascii="Times New Roman" w:hAnsi="Times New Roman" w:eastAsia="宋体" w:cs="Times New Roman"/>
                <w:b/>
                <w:bCs/>
                <w:snapToGrid/>
                <w:color w:val="000000" w:themeColor="text1"/>
                <w:spacing w:val="4"/>
                <w:kern w:val="2"/>
                <w14:textFill>
                  <w14:solidFill>
                    <w14:schemeClr w14:val="tx1"/>
                  </w14:solidFill>
                </w14:textFill>
              </w:rPr>
            </w:pPr>
            <w:r>
              <w:rPr>
                <w:rFonts w:hint="default" w:ascii="Times New Roman" w:hAnsi="Times New Roman" w:eastAsia="宋体" w:cs="Times New Roman"/>
                <w:b/>
                <w:bCs/>
                <w:snapToGrid/>
                <w:color w:val="000000" w:themeColor="text1"/>
                <w:spacing w:val="4"/>
                <w:kern w:val="2"/>
                <w14:textFill>
                  <w14:solidFill>
                    <w14:schemeClr w14:val="tx1"/>
                  </w14:solidFill>
                </w14:textFill>
              </w:rPr>
              <w:t>工艺流程简述（图示）：</w:t>
            </w:r>
          </w:p>
          <w:p>
            <w:pPr>
              <w:pStyle w:val="158"/>
              <w:spacing w:line="560" w:lineRule="exact"/>
              <w:ind w:firstLine="498"/>
              <w:rPr>
                <w:rFonts w:hint="default" w:ascii="Times New Roman" w:hAnsi="Times New Roman" w:eastAsia="宋体" w:cs="Times New Roman"/>
                <w:b/>
                <w:snapToGrid/>
                <w:color w:val="000000" w:themeColor="text1"/>
                <w:spacing w:val="4"/>
                <w:kern w:val="2"/>
                <w14:textFill>
                  <w14:solidFill>
                    <w14:schemeClr w14:val="tx1"/>
                  </w14:solidFill>
                </w14:textFill>
              </w:rPr>
            </w:pPr>
            <w:r>
              <w:rPr>
                <w:rFonts w:hint="default" w:ascii="Times New Roman" w:hAnsi="Times New Roman" w:eastAsia="宋体" w:cs="Times New Roman"/>
                <w:b/>
                <w:snapToGrid/>
                <w:color w:val="000000" w:themeColor="text1"/>
                <w:spacing w:val="4"/>
                <w:kern w:val="2"/>
                <w14:textFill>
                  <w14:solidFill>
                    <w14:schemeClr w14:val="tx1"/>
                  </w14:solidFill>
                </w14:textFill>
              </w:rPr>
              <w:t>一、施工期</w:t>
            </w:r>
          </w:p>
          <w:p>
            <w:pPr>
              <w:spacing w:line="560" w:lineRule="exac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本项目施工内容包括场地平整、</w:t>
            </w:r>
            <w:r>
              <w:rPr>
                <w:rFonts w:hint="default" w:ascii="Times New Roman" w:hAnsi="Times New Roman" w:eastAsia="宋体" w:cs="Times New Roman"/>
                <w:bCs/>
                <w:color w:val="000000" w:themeColor="text1"/>
                <w:sz w:val="24"/>
                <w:szCs w:val="24"/>
                <w:lang w:val="pt-BR"/>
                <w14:textFill>
                  <w14:solidFill>
                    <w14:schemeClr w14:val="tx1"/>
                  </w14:solidFill>
                </w14:textFill>
              </w:rPr>
              <w:t>新建池体、综合用房等。</w:t>
            </w:r>
            <w:r>
              <w:rPr>
                <w:rFonts w:hint="default" w:ascii="Times New Roman" w:hAnsi="Times New Roman" w:eastAsia="宋体" w:cs="Times New Roman"/>
                <w:color w:val="000000" w:themeColor="text1"/>
                <w:sz w:val="24"/>
                <w:szCs w:val="24"/>
                <w14:textFill>
                  <w14:solidFill>
                    <w14:schemeClr w14:val="tx1"/>
                  </w14:solidFill>
                </w14:textFill>
              </w:rPr>
              <w:t>工艺流程</w:t>
            </w:r>
            <w:r>
              <w:rPr>
                <w:rFonts w:hint="default" w:ascii="Times New Roman" w:hAnsi="Times New Roman" w:eastAsia="宋体" w:cs="Times New Roman"/>
                <w:bCs/>
                <w:color w:val="000000" w:themeColor="text1"/>
                <w:sz w:val="24"/>
                <w:szCs w:val="24"/>
                <w14:textFill>
                  <w14:solidFill>
                    <w14:schemeClr w14:val="tx1"/>
                  </w14:solidFill>
                </w14:textFill>
              </w:rPr>
              <w:t>及产污环节见下图。</w:t>
            </w:r>
          </w:p>
          <w:p>
            <w:pPr>
              <w:pStyle w:val="158"/>
              <w:spacing w:line="560" w:lineRule="exact"/>
              <w:jc w:val="center"/>
              <w:rPr>
                <w:rFonts w:hint="default" w:ascii="Times New Roman" w:hAnsi="Times New Roman" w:eastAsia="宋体" w:cs="Times New Roman"/>
                <w:b/>
                <w:snapToGrid/>
                <w:color w:val="000000" w:themeColor="text1"/>
                <w:spacing w:val="4"/>
                <w:kern w:val="2"/>
                <w14:textFill>
                  <w14:solidFill>
                    <w14:schemeClr w14:val="tx1"/>
                  </w14:solidFill>
                </w14:textFill>
              </w:rPr>
            </w:pPr>
            <w:r>
              <w:rPr>
                <w:rFonts w:hint="default" w:ascii="Times New Roman" w:hAnsi="Times New Roman" w:eastAsia="宋体" w:cs="Times New Roman"/>
                <w:bCs/>
                <w:color w:val="000000" w:themeColor="text1"/>
                <w:szCs w:val="28"/>
                <w14:textFill>
                  <w14:solidFill>
                    <w14:schemeClr w14:val="tx1"/>
                  </w14:solidFill>
                </w14:textFill>
              </w:rPr>
              <mc:AlternateContent>
                <mc:Choice Requires="wpc">
                  <w:drawing>
                    <wp:anchor distT="0" distB="0" distL="114300" distR="114300" simplePos="0" relativeHeight="251659264" behindDoc="0" locked="0" layoutInCell="1" allowOverlap="1">
                      <wp:simplePos x="0" y="0"/>
                      <wp:positionH relativeFrom="column">
                        <wp:posOffset>91440</wp:posOffset>
                      </wp:positionH>
                      <wp:positionV relativeFrom="paragraph">
                        <wp:posOffset>107315</wp:posOffset>
                      </wp:positionV>
                      <wp:extent cx="5602605" cy="1374140"/>
                      <wp:effectExtent l="0" t="6350" r="5715" b="0"/>
                      <wp:wrapNone/>
                      <wp:docPr id="21" name="画布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矩形 282"/>
                              <wps:cNvSpPr/>
                              <wps:spPr>
                                <a:xfrm>
                                  <a:off x="60695" y="119051"/>
                                  <a:ext cx="973453" cy="305019"/>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宋体" w:hAnsi="宋体" w:eastAsia="宋体"/>
                                        <w:sz w:val="21"/>
                                      </w:rPr>
                                    </w:pPr>
                                    <w:r>
                                      <w:rPr>
                                        <w:rFonts w:hint="eastAsia" w:ascii="宋体" w:hAnsi="宋体" w:eastAsia="宋体"/>
                                        <w:sz w:val="21"/>
                                      </w:rPr>
                                      <w:t>场地平整</w:t>
                                    </w:r>
                                  </w:p>
                                </w:txbxContent>
                              </wps:txbx>
                              <wps:bodyPr upright="1"/>
                            </wps:wsp>
                            <wps:wsp>
                              <wps:cNvPr id="8" name="矩形 283"/>
                              <wps:cNvSpPr/>
                              <wps:spPr>
                                <a:xfrm>
                                  <a:off x="1718132" y="119051"/>
                                  <a:ext cx="1399873" cy="305019"/>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宋体" w:hAnsi="宋体" w:eastAsia="宋体"/>
                                        <w:sz w:val="21"/>
                                        <w:szCs w:val="21"/>
                                      </w:rPr>
                                    </w:pPr>
                                    <w:r>
                                      <w:rPr>
                                        <w:rFonts w:hint="eastAsia" w:ascii="宋体" w:hAnsi="宋体" w:eastAsia="宋体"/>
                                        <w:sz w:val="21"/>
                                        <w:szCs w:val="21"/>
                                      </w:rPr>
                                      <w:t>池体、地基开挖</w:t>
                                    </w:r>
                                  </w:p>
                                </w:txbxContent>
                              </wps:txbx>
                              <wps:bodyPr upright="1"/>
                            </wps:wsp>
                            <wps:wsp>
                              <wps:cNvPr id="9" name="矩形 284"/>
                              <wps:cNvSpPr/>
                              <wps:spPr>
                                <a:xfrm>
                                  <a:off x="3605121" y="0"/>
                                  <a:ext cx="846616" cy="543120"/>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宋体" w:hAnsi="宋体" w:eastAsia="宋体"/>
                                        <w:sz w:val="21"/>
                                      </w:rPr>
                                    </w:pPr>
                                    <w:r>
                                      <w:rPr>
                                        <w:rFonts w:hint="eastAsia" w:ascii="宋体" w:hAnsi="宋体" w:eastAsia="宋体"/>
                                        <w:sz w:val="21"/>
                                      </w:rPr>
                                      <w:t>池体建设</w:t>
                                    </w:r>
                                  </w:p>
                                  <w:p>
                                    <w:pPr>
                                      <w:jc w:val="center"/>
                                      <w:rPr>
                                        <w:rFonts w:ascii="宋体" w:hAnsi="宋体" w:eastAsia="宋体"/>
                                        <w:sz w:val="21"/>
                                      </w:rPr>
                                    </w:pPr>
                                    <w:r>
                                      <w:rPr>
                                        <w:rFonts w:hint="eastAsia" w:ascii="宋体" w:hAnsi="宋体" w:eastAsia="宋体"/>
                                        <w:sz w:val="21"/>
                                      </w:rPr>
                                      <w:t>房屋建设</w:t>
                                    </w:r>
                                  </w:p>
                                </w:txbxContent>
                              </wps:txbx>
                              <wps:bodyPr upright="1"/>
                            </wps:wsp>
                            <wps:wsp>
                              <wps:cNvPr id="10" name="矩形 285"/>
                              <wps:cNvSpPr/>
                              <wps:spPr>
                                <a:xfrm>
                                  <a:off x="4765040" y="58420"/>
                                  <a:ext cx="821055" cy="417830"/>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宋体" w:hAnsi="宋体" w:eastAsia="宋体"/>
                                        <w:sz w:val="21"/>
                                      </w:rPr>
                                    </w:pPr>
                                    <w:r>
                                      <w:rPr>
                                        <w:rFonts w:hint="eastAsia" w:ascii="宋体" w:hAnsi="宋体" w:eastAsia="宋体"/>
                                        <w:sz w:val="21"/>
                                      </w:rPr>
                                      <w:t>设备安装</w:t>
                                    </w:r>
                                  </w:p>
                                </w:txbxContent>
                              </wps:txbx>
                              <wps:bodyPr upright="1"/>
                            </wps:wsp>
                            <wps:wsp>
                              <wps:cNvPr id="11" name="自选图形 286"/>
                              <wps:cNvCnPr/>
                              <wps:spPr>
                                <a:xfrm>
                                  <a:off x="1034148" y="271560"/>
                                  <a:ext cx="683985" cy="778"/>
                                </a:xfrm>
                                <a:prstGeom prst="straightConnector1">
                                  <a:avLst/>
                                </a:prstGeom>
                                <a:ln w="12700" cap="flat" cmpd="sng">
                                  <a:solidFill>
                                    <a:srgbClr val="000000"/>
                                  </a:solidFill>
                                  <a:prstDash val="solid"/>
                                  <a:headEnd type="none" w="med" len="med"/>
                                  <a:tailEnd type="triangle" w="med" len="med"/>
                                </a:ln>
                              </wps:spPr>
                              <wps:bodyPr/>
                            </wps:wsp>
                            <wps:wsp>
                              <wps:cNvPr id="12" name="自选图形 287"/>
                              <wps:cNvCnPr/>
                              <wps:spPr>
                                <a:xfrm>
                                  <a:off x="3118005" y="271560"/>
                                  <a:ext cx="487115" cy="778"/>
                                </a:xfrm>
                                <a:prstGeom prst="straightConnector1">
                                  <a:avLst/>
                                </a:prstGeom>
                                <a:ln w="12700" cap="flat" cmpd="sng">
                                  <a:solidFill>
                                    <a:srgbClr val="000000"/>
                                  </a:solidFill>
                                  <a:prstDash val="solid"/>
                                  <a:headEnd type="none" w="med" len="med"/>
                                  <a:tailEnd type="triangle" w="med" len="med"/>
                                </a:ln>
                              </wps:spPr>
                              <wps:bodyPr/>
                            </wps:wsp>
                            <wps:wsp>
                              <wps:cNvPr id="13" name="自选图形 288"/>
                              <wps:cNvCnPr/>
                              <wps:spPr>
                                <a:xfrm>
                                  <a:off x="4467299" y="272338"/>
                                  <a:ext cx="298027" cy="778"/>
                                </a:xfrm>
                                <a:prstGeom prst="straightConnector1">
                                  <a:avLst/>
                                </a:prstGeom>
                                <a:ln w="12700" cap="flat" cmpd="sng">
                                  <a:solidFill>
                                    <a:srgbClr val="000000"/>
                                  </a:solidFill>
                                  <a:prstDash val="solid"/>
                                  <a:headEnd type="none" w="med" len="med"/>
                                  <a:tailEnd type="triangle" w="med" len="med"/>
                                </a:ln>
                              </wps:spPr>
                              <wps:bodyPr/>
                            </wps:wsp>
                            <wps:wsp>
                              <wps:cNvPr id="14" name="自选图形 289"/>
                              <wps:cNvCnPr/>
                              <wps:spPr>
                                <a:xfrm>
                                  <a:off x="564151" y="789780"/>
                                  <a:ext cx="4485975" cy="778"/>
                                </a:xfrm>
                                <a:prstGeom prst="straightConnector1">
                                  <a:avLst/>
                                </a:prstGeom>
                                <a:ln w="9525" cap="flat" cmpd="sng">
                                  <a:solidFill>
                                    <a:srgbClr val="000000"/>
                                  </a:solidFill>
                                  <a:prstDash val="dashDot"/>
                                  <a:headEnd type="none" w="med" len="med"/>
                                  <a:tailEnd type="none" w="med" len="med"/>
                                </a:ln>
                              </wps:spPr>
                              <wps:bodyPr/>
                            </wps:wsp>
                            <wps:wsp>
                              <wps:cNvPr id="15" name="自选图形 290"/>
                              <wps:cNvCnPr/>
                              <wps:spPr>
                                <a:xfrm flipH="1" flipV="1">
                                  <a:off x="547810" y="424069"/>
                                  <a:ext cx="16341" cy="365711"/>
                                </a:xfrm>
                                <a:prstGeom prst="straightConnector1">
                                  <a:avLst/>
                                </a:prstGeom>
                                <a:ln w="9525" cap="flat" cmpd="sng">
                                  <a:solidFill>
                                    <a:srgbClr val="000000"/>
                                  </a:solidFill>
                                  <a:prstDash val="dashDot"/>
                                  <a:headEnd type="none" w="med" len="med"/>
                                  <a:tailEnd type="none" w="med" len="med"/>
                                </a:ln>
                              </wps:spPr>
                              <wps:bodyPr/>
                            </wps:wsp>
                            <wps:wsp>
                              <wps:cNvPr id="16" name="自选图形 291"/>
                              <wps:cNvCnPr/>
                              <wps:spPr>
                                <a:xfrm flipH="1" flipV="1">
                                  <a:off x="2418458" y="424069"/>
                                  <a:ext cx="778" cy="313578"/>
                                </a:xfrm>
                                <a:prstGeom prst="straightConnector1">
                                  <a:avLst/>
                                </a:prstGeom>
                                <a:ln w="9525" cap="flat" cmpd="sng">
                                  <a:solidFill>
                                    <a:srgbClr val="000000"/>
                                  </a:solidFill>
                                  <a:prstDash val="dashDot"/>
                                  <a:headEnd type="none" w="med" len="med"/>
                                  <a:tailEnd type="none" w="med" len="med"/>
                                </a:ln>
                              </wps:spPr>
                              <wps:bodyPr/>
                            </wps:wsp>
                            <wps:wsp>
                              <wps:cNvPr id="17" name="自选图形 292"/>
                              <wps:cNvCnPr/>
                              <wps:spPr>
                                <a:xfrm flipV="1">
                                  <a:off x="4164603" y="543898"/>
                                  <a:ext cx="778" cy="245882"/>
                                </a:xfrm>
                                <a:prstGeom prst="straightConnector1">
                                  <a:avLst/>
                                </a:prstGeom>
                                <a:ln w="9525" cap="flat" cmpd="sng">
                                  <a:solidFill>
                                    <a:srgbClr val="000000"/>
                                  </a:solidFill>
                                  <a:prstDash val="dashDot"/>
                                  <a:headEnd type="none" w="med" len="med"/>
                                  <a:tailEnd type="none" w="med" len="med"/>
                                </a:ln>
                              </wps:spPr>
                              <wps:bodyPr/>
                            </wps:wsp>
                            <wps:wsp>
                              <wps:cNvPr id="18" name="自选图形 293"/>
                              <wps:cNvCnPr/>
                              <wps:spPr>
                                <a:xfrm flipV="1">
                                  <a:off x="5052460" y="476203"/>
                                  <a:ext cx="1556" cy="313578"/>
                                </a:xfrm>
                                <a:prstGeom prst="straightConnector1">
                                  <a:avLst/>
                                </a:prstGeom>
                                <a:ln w="9525" cap="flat" cmpd="sng">
                                  <a:solidFill>
                                    <a:srgbClr val="000000"/>
                                  </a:solidFill>
                                  <a:prstDash val="dashDot"/>
                                  <a:headEnd type="none" w="med" len="med"/>
                                  <a:tailEnd type="none" w="med" len="med"/>
                                </a:ln>
                              </wps:spPr>
                              <wps:bodyPr/>
                            </wps:wsp>
                            <wps:wsp>
                              <wps:cNvPr id="19" name="自选图形 294"/>
                              <wps:cNvCnPr/>
                              <wps:spPr>
                                <a:xfrm>
                                  <a:off x="2907908" y="789780"/>
                                  <a:ext cx="778" cy="210089"/>
                                </a:xfrm>
                                <a:prstGeom prst="straightConnector1">
                                  <a:avLst/>
                                </a:prstGeom>
                                <a:ln w="9525" cap="flat" cmpd="sng">
                                  <a:solidFill>
                                    <a:srgbClr val="000000"/>
                                  </a:solidFill>
                                  <a:prstDash val="dashDot"/>
                                  <a:headEnd type="none" w="med" len="med"/>
                                  <a:tailEnd type="triangle" w="med" len="med"/>
                                </a:ln>
                              </wps:spPr>
                              <wps:bodyPr/>
                            </wps:wsp>
                            <wps:wsp>
                              <wps:cNvPr id="20" name="矩形 295"/>
                              <wps:cNvSpPr/>
                              <wps:spPr>
                                <a:xfrm>
                                  <a:off x="1718132" y="999870"/>
                                  <a:ext cx="2304071" cy="330696"/>
                                </a:xfrm>
                                <a:prstGeom prst="rect">
                                  <a:avLst/>
                                </a:prstGeom>
                                <a:noFill/>
                                <a:ln w="12700">
                                  <a:noFill/>
                                </a:ln>
                              </wps:spPr>
                              <wps:txbx>
                                <w:txbxContent>
                                  <w:p>
                                    <w:pPr>
                                      <w:rPr>
                                        <w:rFonts w:ascii="宋体" w:hAnsi="宋体" w:eastAsia="宋体"/>
                                        <w:sz w:val="21"/>
                                      </w:rPr>
                                    </w:pPr>
                                    <w:r>
                                      <w:rPr>
                                        <w:rFonts w:hint="eastAsia" w:ascii="宋体" w:hAnsi="宋体" w:eastAsia="宋体"/>
                                        <w:sz w:val="21"/>
                                      </w:rPr>
                                      <w:t>固废、废水、废气、噪声、水土流失</w:t>
                                    </w:r>
                                  </w:p>
                                </w:txbxContent>
                              </wps:txbx>
                              <wps:bodyPr upright="1"/>
                            </wps:wsp>
                          </wpc:wpc>
                        </a:graphicData>
                      </a:graphic>
                    </wp:anchor>
                  </w:drawing>
                </mc:Choice>
                <mc:Fallback>
                  <w:pict>
                    <v:group id="画布 280" o:spid="_x0000_s1026" o:spt="203" style="position:absolute;left:0pt;margin-left:7.2pt;margin-top:8.45pt;height:108.2pt;width:441.15pt;z-index:251659264;mso-width-relative:page;mso-height-relative:page;" coordsize="5602605,1374140" editas="canvas" o:gfxdata="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Rt3TaAAAACQEAAA8AAAAAAAAAAQAgAAAAIgAAAGRycy9k&#10;b3ducmV2LnhtbFBLAQIUABQAAAAIAIdO4kA9teC+5QQAAAYgAAAOAAAAAAAAAAEAIAAAACkBAABk&#10;cnMvZTJvRG9jLnhtbFBLBQYAAAAABgAGAFkBAACACAAAAAA=&#10;">
                      <o:lock v:ext="edit" aspectratio="f"/>
                      <v:shape id="画布 280" o:spid="_x0000_s1026" style="position:absolute;left:0;top:0;height:1374140;width:5602605;" filled="f" stroked="f" coordsize="21600,21600" o:gfxdata="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z5G3dNoAAAAJAQAADwAAAAAAAAABACAAAAAiAAAAZHJzL2Rvd25y&#10;ZXYueG1sUEsBAhQAFAAAAAgAh07iQKuDO8aoBAAAgB8AAA4AAAAAAAAAAQAgAAAAKQEAAGRycy9l&#10;Mm9Eb2MueG1sUEsFBgAAAAAGAAYAWQEAAEMIAAAAAA==&#10;">
                        <v:fill on="f" focussize="0,0"/>
                        <v:stroke on="f"/>
                        <v:imagedata o:title=""/>
                        <o:lock v:ext="edit" aspectratio="t"/>
                      </v:shape>
                      <v:rect id="矩形 282" o:spid="_x0000_s1026" o:spt="1" style="position:absolute;left:60695;top:119051;height:305019;width:973453;" filled="f" stroked="t" coordsize="21600,21600" o:gfxdata="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5fg9NoAAAAJAQAADwAAAAAAAAABACAAAAAiAAAAZHJzL2Rvd25yZXYueG1sUEsBAhQAFAAA&#10;AAgAh07iQIEEWpftAQAAvQMAAA4AAAAAAAAAAQAgAAAAKQEAAGRycy9lMm9Eb2MueG1sUEsFBgAA&#10;AAAGAAYAWQEAAIgFAAAAAA==&#10;">
                        <v:fill on="f" focussize="0,0"/>
                        <v:stroke weight="1pt" color="#000000" joinstyle="miter"/>
                        <v:imagedata o:title=""/>
                        <o:lock v:ext="edit" aspectratio="f"/>
                        <v:textbox>
                          <w:txbxContent>
                            <w:p>
                              <w:pPr>
                                <w:jc w:val="center"/>
                                <w:rPr>
                                  <w:rFonts w:ascii="宋体" w:hAnsi="宋体" w:eastAsia="宋体"/>
                                  <w:sz w:val="21"/>
                                </w:rPr>
                              </w:pPr>
                              <w:r>
                                <w:rPr>
                                  <w:rFonts w:hint="eastAsia" w:ascii="宋体" w:hAnsi="宋体" w:eastAsia="宋体"/>
                                  <w:sz w:val="21"/>
                                </w:rPr>
                                <w:t>场地平整</w:t>
                              </w:r>
                            </w:p>
                          </w:txbxContent>
                        </v:textbox>
                      </v:rect>
                      <v:rect id="矩形 283" o:spid="_x0000_s1026" o:spt="1" style="position:absolute;left:1718132;top:119051;height:305019;width:1399873;" filled="f" stroked="t" coordsize="21600,21600" o:gfxdata="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5fg9NoAAAAJAQAADwAAAAAAAAABACAAAAAiAAAAZHJzL2Rvd25yZXYueG1sUEsBAhQAFAAA&#10;AAgAh07iQByVIHbtAQAAwAMAAA4AAAAAAAAAAQAgAAAAKQEAAGRycy9lMm9Eb2MueG1sUEsFBgAA&#10;AAAGAAYAWQEAAIgFAAAAAA==&#10;">
                        <v:fill on="f" focussize="0,0"/>
                        <v:stroke weight="1pt" color="#000000" joinstyle="miter"/>
                        <v:imagedata o:title=""/>
                        <o:lock v:ext="edit" aspectratio="f"/>
                        <v:textbox>
                          <w:txbxContent>
                            <w:p>
                              <w:pPr>
                                <w:jc w:val="center"/>
                                <w:rPr>
                                  <w:rFonts w:ascii="宋体" w:hAnsi="宋体" w:eastAsia="宋体"/>
                                  <w:sz w:val="21"/>
                                  <w:szCs w:val="21"/>
                                </w:rPr>
                              </w:pPr>
                              <w:r>
                                <w:rPr>
                                  <w:rFonts w:hint="eastAsia" w:ascii="宋体" w:hAnsi="宋体" w:eastAsia="宋体"/>
                                  <w:sz w:val="21"/>
                                  <w:szCs w:val="21"/>
                                </w:rPr>
                                <w:t>池体、地基开挖</w:t>
                              </w:r>
                            </w:p>
                          </w:txbxContent>
                        </v:textbox>
                      </v:rect>
                      <v:rect id="矩形 284" o:spid="_x0000_s1026" o:spt="1" style="position:absolute;left:3605121;top:0;height:543120;width:846616;" filled="f" stroked="t" coordsize="21600,21600" o:gfxdata="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uX4PTaAAAACQEAAA8AAAAAAAAAAQAgAAAAIgAAAGRycy9kb3ducmV2LnhtbFBLAQIUABQAAAAI&#10;AIdO4kDhAUKj6wEAALoDAAAOAAAAAAAAAAEAIAAAACkBAABkcnMvZTJvRG9jLnhtbFBLBQYAAAAA&#10;BgAGAFkBAACGBQAAAAA=&#10;">
                        <v:fill on="f" focussize="0,0"/>
                        <v:stroke weight="1pt" color="#000000" joinstyle="miter"/>
                        <v:imagedata o:title=""/>
                        <o:lock v:ext="edit" aspectratio="f"/>
                        <v:textbox>
                          <w:txbxContent>
                            <w:p>
                              <w:pPr>
                                <w:jc w:val="center"/>
                                <w:rPr>
                                  <w:rFonts w:ascii="宋体" w:hAnsi="宋体" w:eastAsia="宋体"/>
                                  <w:sz w:val="21"/>
                                </w:rPr>
                              </w:pPr>
                              <w:r>
                                <w:rPr>
                                  <w:rFonts w:hint="eastAsia" w:ascii="宋体" w:hAnsi="宋体" w:eastAsia="宋体"/>
                                  <w:sz w:val="21"/>
                                </w:rPr>
                                <w:t>池体建设</w:t>
                              </w:r>
                            </w:p>
                            <w:p>
                              <w:pPr>
                                <w:jc w:val="center"/>
                                <w:rPr>
                                  <w:rFonts w:ascii="宋体" w:hAnsi="宋体" w:eastAsia="宋体"/>
                                  <w:sz w:val="21"/>
                                </w:rPr>
                              </w:pPr>
                              <w:r>
                                <w:rPr>
                                  <w:rFonts w:hint="eastAsia" w:ascii="宋体" w:hAnsi="宋体" w:eastAsia="宋体"/>
                                  <w:sz w:val="21"/>
                                </w:rPr>
                                <w:t>房屋建设</w:t>
                              </w:r>
                            </w:p>
                          </w:txbxContent>
                        </v:textbox>
                      </v:rect>
                      <v:rect id="矩形 285" o:spid="_x0000_s1026" o:spt="1" style="position:absolute;left:4765040;top:58420;height:417830;width:821055;" filled="f" stroked="t" coordsize="21600,21600" o:gfxdata="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l+D02gAAAAkBAAAPAAAAAAAAAAEAIAAAACIAAABkcnMvZG93bnJldi54bWxQSwECFAAU&#10;AAAACACHTuJA/lmSou8BAAC/AwAADgAAAAAAAAABACAAAAApAQAAZHJzL2Uyb0RvYy54bWxQSwUG&#10;AAAAAAYABgBZAQAAigUAAAAA&#10;">
                        <v:fill on="f" focussize="0,0"/>
                        <v:stroke weight="1pt" color="#000000" joinstyle="miter"/>
                        <v:imagedata o:title=""/>
                        <o:lock v:ext="edit" aspectratio="f"/>
                        <v:textbox>
                          <w:txbxContent>
                            <w:p>
                              <w:pPr>
                                <w:jc w:val="center"/>
                                <w:rPr>
                                  <w:rFonts w:ascii="宋体" w:hAnsi="宋体" w:eastAsia="宋体"/>
                                  <w:sz w:val="21"/>
                                </w:rPr>
                              </w:pPr>
                              <w:r>
                                <w:rPr>
                                  <w:rFonts w:hint="eastAsia" w:ascii="宋体" w:hAnsi="宋体" w:eastAsia="宋体"/>
                                  <w:sz w:val="21"/>
                                </w:rPr>
                                <w:t>设备安装</w:t>
                              </w:r>
                            </w:p>
                          </w:txbxContent>
                        </v:textbox>
                      </v:rect>
                      <v:shape id="自选图形 286" o:spid="_x0000_s1026" o:spt="32" type="#_x0000_t32" style="position:absolute;left:1034148;top:271560;height:778;width:683985;" filled="f" stroked="t" coordsize="21600,21600" o:gfxdata="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iP+K9cAAAAJAQAADwAAAAAAAAABACAAAAAiAAAAZHJzL2Rvd25yZXYueG1sUEsBAhQAFAAA&#10;AAgAh07iQCo8kxfwAQAAqQMAAA4AAAAAAAAAAQAgAAAAJgEAAGRycy9lMm9Eb2MueG1sUEsFBgAA&#10;AAAGAAYAWQEAAIgFAAAAAA==&#10;">
                        <v:fill on="f" focussize="0,0"/>
                        <v:stroke weight="1pt" color="#000000" joinstyle="round" endarrow="block"/>
                        <v:imagedata o:title=""/>
                        <o:lock v:ext="edit" aspectratio="f"/>
                      </v:shape>
                      <v:shape id="自选图形 287" o:spid="_x0000_s1026" o:spt="32" type="#_x0000_t32" style="position:absolute;left:3118005;top:271560;height:778;width:487115;" filled="f" stroked="t" coordsize="21600,21600" o:gfxdata="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4j/ivXAAAACQEAAA8AAAAAAAAAAQAgAAAAIgAAAGRycy9kb3ducmV2LnhtbFBLAQIUABQAAAAI&#10;AIdO4kATtQOD7gEAAKkDAAAOAAAAAAAAAAEAIAAAACYBAABkcnMvZTJvRG9jLnhtbFBLBQYAAAAA&#10;BgAGAFkBAACGBQAAAAA=&#10;">
                        <v:fill on="f" focussize="0,0"/>
                        <v:stroke weight="1pt" color="#000000" joinstyle="round" endarrow="block"/>
                        <v:imagedata o:title=""/>
                        <o:lock v:ext="edit" aspectratio="f"/>
                      </v:shape>
                      <v:shape id="自选图形 288" o:spid="_x0000_s1026" o:spt="32" type="#_x0000_t32" style="position:absolute;left:4467299;top:272338;height:778;width:298027;" filled="f" stroked="t" coordsize="21600,21600" o:gfxdata="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iP+K9cAAAAJAQAADwAAAAAAAAABACAAAAAiAAAAZHJzL2Rvd25yZXYueG1sUEsBAhQA&#10;FAAAAAgAh07iQN4J2JDzAQAAqQMAAA4AAAAAAAAAAQAgAAAAJgEAAGRycy9lMm9Eb2MueG1sUEsF&#10;BgAAAAAGAAYAWQEAAIsFAAAAAA==&#10;">
                        <v:fill on="f" focussize="0,0"/>
                        <v:stroke weight="1pt" color="#000000" joinstyle="round" endarrow="block"/>
                        <v:imagedata o:title=""/>
                        <o:lock v:ext="edit" aspectratio="f"/>
                      </v:shape>
                      <v:shape id="自选图形 289" o:spid="_x0000_s1026" o:spt="32" type="#_x0000_t32" style="position:absolute;left:564151;top:789780;height:778;width:4485975;" filled="f" stroked="t" coordsize="21600,21600" o:gfxdata="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w&#10;wzyU2AAAAAkBAAAPAAAAAAAAAAEAIAAAACIAAABkcnMvZG93bnJldi54bWxQSwECFAAUAAAACACH&#10;TuJAkTjgp+sBAACmAwAADgAAAAAAAAABACAAAAAnAQAAZHJzL2Uyb0RvYy54bWxQSwUGAAAAAAYA&#10;BgBZAQAAhAUAAAAA&#10;">
                        <v:fill on="f" focussize="0,0"/>
                        <v:stroke color="#000000" joinstyle="round" dashstyle="dashDot"/>
                        <v:imagedata o:title=""/>
                        <o:lock v:ext="edit" aspectratio="f"/>
                      </v:shape>
                      <v:shape id="自选图形 290" o:spid="_x0000_s1026" o:spt="32" type="#_x0000_t32" style="position:absolute;left:547810;top:424069;flip:x y;height:365711;width:16341;" filled="f" stroked="t" coordsize="21600,21600" o:gfxdata="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PdqNYAAAAJAQAADwAAAAAAAAABACAAAAAiAAAAZHJzL2Rvd25yZXYueG1sUEsB&#10;AhQAFAAAAAgAh07iQN+LlOv3AQAAuwMAAA4AAAAAAAAAAQAgAAAAJQEAAGRycy9lMm9Eb2MueG1s&#10;UEsFBgAAAAAGAAYAWQEAAI4FAAAAAA==&#10;">
                        <v:fill on="f" focussize="0,0"/>
                        <v:stroke color="#000000" joinstyle="round" dashstyle="dashDot"/>
                        <v:imagedata o:title=""/>
                        <o:lock v:ext="edit" aspectratio="f"/>
                      </v:shape>
                      <v:shape id="自选图形 291" o:spid="_x0000_s1026" o:spt="32" type="#_x0000_t32" style="position:absolute;left:2418458;top:424069;flip:x y;height:313578;width:778;" filled="f" stroked="t" coordsize="21600,21600" o:gfxdata="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5D3ajWAAAACQEAAA8AAAAAAAAAAQAgAAAAIgAAAGRycy9kb3ducmV2LnhtbFBL&#10;AQIUABQAAAAIAIdO4kArPRWf+AEAALoDAAAOAAAAAAAAAAEAIAAAACUBAABkcnMvZTJvRG9jLnht&#10;bFBLBQYAAAAABgAGAFkBAACPBQAAAAA=&#10;">
                        <v:fill on="f" focussize="0,0"/>
                        <v:stroke color="#000000" joinstyle="round" dashstyle="dashDot"/>
                        <v:imagedata o:title=""/>
                        <o:lock v:ext="edit" aspectratio="f"/>
                      </v:shape>
                      <v:shape id="自选图形 292" o:spid="_x0000_s1026" o:spt="32" type="#_x0000_t32" style="position:absolute;left:4164603;top:543898;flip:y;height:245882;width:778;" filled="f" stroked="t" coordsize="21600,21600" o:gfxdata="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rvn3TbAAAACQEAAA8AAAAAAAAAAQAgAAAAIgAAAGRycy9kb3ducmV2Lnht&#10;bFBLAQIUABQAAAAIAIdO4kA0gPGB9gEAALADAAAOAAAAAAAAAAEAIAAAACoBAABkcnMvZTJvRG9j&#10;LnhtbFBLBQYAAAAABgAGAFkBAACSBQAAAAA=&#10;">
                        <v:fill on="f" focussize="0,0"/>
                        <v:stroke color="#000000" joinstyle="round" dashstyle="dashDot"/>
                        <v:imagedata o:title=""/>
                        <o:lock v:ext="edit" aspectratio="f"/>
                      </v:shape>
                      <v:shape id="自选图形 293" o:spid="_x0000_s1026" o:spt="32" type="#_x0000_t32" style="position:absolute;left:5052460;top:476203;flip:y;height:313578;width:1556;" filled="f" stroked="t" coordsize="21600,21600" o:gfxdata="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u+fdNsAAAAJAQAADwAAAAAAAAABACAAAAAiAAAAZHJzL2Rvd25yZXYueG1s&#10;UEsBAhQAFAAAAAgAh07iQKBXeA31AQAAsQMAAA4AAAAAAAAAAQAgAAAAKgEAAGRycy9lMm9Eb2Mu&#10;eG1sUEsFBgAAAAAGAAYAWQEAAJEFAAAAAA==&#10;">
                        <v:fill on="f" focussize="0,0"/>
                        <v:stroke color="#000000" joinstyle="round" dashstyle="dashDot"/>
                        <v:imagedata o:title=""/>
                        <o:lock v:ext="edit" aspectratio="f"/>
                      </v:shape>
                      <v:shape id="自选图形 294" o:spid="_x0000_s1026" o:spt="32" type="#_x0000_t32" style="position:absolute;left:2907908;top:789780;height:210089;width:778;" filled="f" stroked="t" coordsize="21600,21600" o:gfxdata="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XpHurXAAAACQEAAA8AAAAAAAAAAQAgAAAAIgAAAGRycy9kb3ducmV2LnhtbFBLAQIUABQA&#10;AAAIAIdO4kDuBxoO8QEAAKoDAAAOAAAAAAAAAAEAIAAAACYBAABkcnMvZTJvRG9jLnhtbFBLBQYA&#10;AAAABgAGAFkBAACJBQAAAAA=&#10;">
                        <v:fill on="f" focussize="0,0"/>
                        <v:stroke color="#000000" joinstyle="round" dashstyle="dashDot" endarrow="block"/>
                        <v:imagedata o:title=""/>
                        <o:lock v:ext="edit" aspectratio="f"/>
                      </v:shape>
                      <v:rect id="矩形 295" o:spid="_x0000_s1026" o:spt="1" style="position:absolute;left:1718132;top:999870;height:330696;width:2304071;" filled="f" stroked="f" coordsize="21600,21600" o:gfxdata="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1Eg9tcAAAAJAQAADwAAAAAAAAAB&#10;ACAAAAAiAAAAZHJzL2Rvd25yZXYueG1sUEsBAhQAFAAAAAgAh07iQPFP2t+fAQAACwMAAA4AAAAA&#10;AAAAAQAgAAAAJgEAAGRycy9lMm9Eb2MueG1sUEsFBgAAAAAGAAYAWQEAADcFAAAAAA==&#10;">
                        <v:fill on="f" focussize="0,0"/>
                        <v:stroke on="f" weight="1pt"/>
                        <v:imagedata o:title=""/>
                        <o:lock v:ext="edit" aspectratio="f"/>
                        <v:textbox>
                          <w:txbxContent>
                            <w:p>
                              <w:pPr>
                                <w:rPr>
                                  <w:rFonts w:ascii="宋体" w:hAnsi="宋体" w:eastAsia="宋体"/>
                                  <w:sz w:val="21"/>
                                </w:rPr>
                              </w:pPr>
                              <w:r>
                                <w:rPr>
                                  <w:rFonts w:hint="eastAsia" w:ascii="宋体" w:hAnsi="宋体" w:eastAsia="宋体"/>
                                  <w:sz w:val="21"/>
                                </w:rPr>
                                <w:t>固废、废水、废气、噪声、水土流失</w:t>
                              </w:r>
                            </w:p>
                          </w:txbxContent>
                        </v:textbox>
                      </v:rect>
                    </v:group>
                  </w:pict>
                </mc:Fallback>
              </mc:AlternateContent>
            </w:r>
          </w:p>
          <w:p>
            <w:pPr>
              <w:pStyle w:val="158"/>
              <w:spacing w:line="560" w:lineRule="exact"/>
              <w:ind w:firstLine="498"/>
              <w:jc w:val="center"/>
              <w:rPr>
                <w:rFonts w:hint="default" w:ascii="Times New Roman" w:hAnsi="Times New Roman" w:eastAsia="宋体" w:cs="Times New Roman"/>
                <w:b/>
                <w:snapToGrid/>
                <w:color w:val="000000" w:themeColor="text1"/>
                <w:spacing w:val="4"/>
                <w:kern w:val="2"/>
                <w14:textFill>
                  <w14:solidFill>
                    <w14:schemeClr w14:val="tx1"/>
                  </w14:solidFill>
                </w14:textFill>
              </w:rPr>
            </w:pPr>
          </w:p>
          <w:p>
            <w:pPr>
              <w:pStyle w:val="158"/>
              <w:spacing w:line="560" w:lineRule="exact"/>
              <w:ind w:firstLine="498"/>
              <w:jc w:val="center"/>
              <w:rPr>
                <w:rFonts w:hint="default" w:ascii="Times New Roman" w:hAnsi="Times New Roman" w:eastAsia="宋体" w:cs="Times New Roman"/>
                <w:b/>
                <w:snapToGrid/>
                <w:color w:val="000000" w:themeColor="text1"/>
                <w:spacing w:val="4"/>
                <w:kern w:val="2"/>
                <w14:textFill>
                  <w14:solidFill>
                    <w14:schemeClr w14:val="tx1"/>
                  </w14:solidFill>
                </w14:textFill>
              </w:rPr>
            </w:pPr>
          </w:p>
          <w:p>
            <w:pPr>
              <w:pStyle w:val="158"/>
              <w:spacing w:line="560" w:lineRule="exact"/>
              <w:ind w:firstLine="498"/>
              <w:jc w:val="center"/>
              <w:rPr>
                <w:rFonts w:hint="default" w:ascii="Times New Roman" w:hAnsi="Times New Roman" w:eastAsia="宋体" w:cs="Times New Roman"/>
                <w:b/>
                <w:snapToGrid/>
                <w:color w:val="000000" w:themeColor="text1"/>
                <w:spacing w:val="4"/>
                <w:kern w:val="2"/>
                <w14:textFill>
                  <w14:solidFill>
                    <w14:schemeClr w14:val="tx1"/>
                  </w14:solidFill>
                </w14:textFill>
              </w:rPr>
            </w:pPr>
          </w:p>
          <w:p>
            <w:pPr>
              <w:pStyle w:val="158"/>
              <w:spacing w:line="560" w:lineRule="exact"/>
              <w:ind w:firstLine="438"/>
              <w:jc w:val="center"/>
              <w:rPr>
                <w:rFonts w:hint="default" w:ascii="Times New Roman" w:hAnsi="Times New Roman" w:eastAsia="宋体" w:cs="Times New Roman"/>
                <w:b/>
                <w:snapToGrid/>
                <w:color w:val="000000" w:themeColor="text1"/>
                <w:spacing w:val="4"/>
                <w:kern w:val="2"/>
                <w:sz w:val="21"/>
                <w14:textFill>
                  <w14:solidFill>
                    <w14:schemeClr w14:val="tx1"/>
                  </w14:solidFill>
                </w14:textFill>
              </w:rPr>
            </w:pPr>
            <w:r>
              <w:rPr>
                <w:rFonts w:hint="default" w:ascii="Times New Roman" w:hAnsi="Times New Roman" w:eastAsia="宋体" w:cs="Times New Roman"/>
                <w:b/>
                <w:snapToGrid/>
                <w:color w:val="000000" w:themeColor="text1"/>
                <w:spacing w:val="4"/>
                <w:kern w:val="2"/>
                <w:sz w:val="21"/>
                <w14:textFill>
                  <w14:solidFill>
                    <w14:schemeClr w14:val="tx1"/>
                  </w14:solidFill>
                </w14:textFill>
              </w:rPr>
              <w:t>图</w:t>
            </w:r>
            <w:r>
              <w:rPr>
                <w:rFonts w:hint="eastAsia" w:ascii="Times New Roman" w:hAnsi="Times New Roman" w:eastAsia="宋体" w:cs="Times New Roman"/>
                <w:b/>
                <w:snapToGrid/>
                <w:color w:val="000000" w:themeColor="text1"/>
                <w:spacing w:val="4"/>
                <w:kern w:val="2"/>
                <w:sz w:val="21"/>
                <w:lang w:val="en-US" w:eastAsia="zh-CN"/>
                <w14:textFill>
                  <w14:solidFill>
                    <w14:schemeClr w14:val="tx1"/>
                  </w14:solidFill>
                </w14:textFill>
              </w:rPr>
              <w:t xml:space="preserve">9  </w:t>
            </w:r>
            <w:r>
              <w:rPr>
                <w:rFonts w:hint="default" w:ascii="Times New Roman" w:hAnsi="Times New Roman" w:eastAsia="宋体" w:cs="Times New Roman"/>
                <w:b/>
                <w:snapToGrid/>
                <w:color w:val="000000" w:themeColor="text1"/>
                <w:spacing w:val="4"/>
                <w:kern w:val="2"/>
                <w:sz w:val="21"/>
                <w14:textFill>
                  <w14:solidFill>
                    <w14:schemeClr w14:val="tx1"/>
                  </w14:solidFill>
                </w14:textFill>
              </w:rPr>
              <w:t xml:space="preserve"> 施工期工艺流程及排污节点图</w:t>
            </w:r>
          </w:p>
          <w:p>
            <w:pPr>
              <w:pStyle w:val="158"/>
              <w:spacing w:line="560" w:lineRule="exact"/>
              <w:ind w:firstLine="498"/>
              <w:rPr>
                <w:rFonts w:hint="default" w:ascii="Times New Roman" w:hAnsi="Times New Roman" w:eastAsia="宋体" w:cs="Times New Roman"/>
                <w:b/>
                <w:snapToGrid/>
                <w:color w:val="000000" w:themeColor="text1"/>
                <w:spacing w:val="4"/>
                <w:kern w:val="2"/>
                <w14:textFill>
                  <w14:solidFill>
                    <w14:schemeClr w14:val="tx1"/>
                  </w14:solidFill>
                </w14:textFill>
              </w:rPr>
            </w:pPr>
            <w:r>
              <w:rPr>
                <w:rFonts w:hint="default" w:ascii="Times New Roman" w:hAnsi="Times New Roman" w:eastAsia="宋体" w:cs="Times New Roman"/>
                <w:b/>
                <w:snapToGrid/>
                <w:color w:val="000000" w:themeColor="text1"/>
                <w:spacing w:val="4"/>
                <w:kern w:val="2"/>
                <w14:textFill>
                  <w14:solidFill>
                    <w14:schemeClr w14:val="tx1"/>
                  </w14:solidFill>
                </w14:textFill>
              </w:rPr>
              <w:t>二、运营期工艺流程简述</w:t>
            </w:r>
          </w:p>
          <w:p>
            <w:pPr>
              <w:pStyle w:val="158"/>
              <w:spacing w:line="560" w:lineRule="exact"/>
              <w:ind w:firstLine="498"/>
              <w:rPr>
                <w:rFonts w:hint="default" w:ascii="Times New Roman" w:hAnsi="Times New Roman" w:eastAsia="宋体" w:cs="Times New Roman"/>
                <w:b/>
                <w:snapToGrid/>
                <w:color w:val="000000" w:themeColor="text1"/>
                <w:spacing w:val="4"/>
                <w:kern w:val="2"/>
                <w14:textFill>
                  <w14:solidFill>
                    <w14:schemeClr w14:val="tx1"/>
                  </w14:solidFill>
                </w14:textFill>
              </w:rPr>
            </w:pPr>
            <w:r>
              <w:rPr>
                <w:rFonts w:hint="default" w:ascii="Times New Roman" w:hAnsi="Times New Roman" w:eastAsia="宋体" w:cs="Times New Roman"/>
                <w:b/>
                <w:snapToGrid/>
                <w:color w:val="000000" w:themeColor="text1"/>
                <w:spacing w:val="4"/>
                <w:kern w:val="2"/>
                <w14:textFill>
                  <w14:solidFill>
                    <w14:schemeClr w14:val="tx1"/>
                  </w14:solidFill>
                </w14:textFill>
              </w:rPr>
              <w:t>1、工艺流程</w:t>
            </w:r>
          </w:p>
          <w:p>
            <w:pPr>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本工程</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采用“</w:t>
            </w:r>
            <w:r>
              <w:rPr>
                <w:rFonts w:hint="default" w:ascii="Times New Roman" w:hAnsi="Times New Roman" w:eastAsia="宋体" w:cs="Times New Roman"/>
                <w:color w:val="000000" w:themeColor="text1"/>
                <w:sz w:val="24"/>
                <w:szCs w:val="24"/>
                <w14:textFill>
                  <w14:solidFill>
                    <w14:schemeClr w14:val="tx1"/>
                  </w14:solidFill>
                </w14:textFill>
              </w:rPr>
              <w:t>MBR+反渗透</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处理工艺，具体工艺流程见附图</w:t>
            </w:r>
            <w:r>
              <w:rPr>
                <w:rFonts w:hint="eastAsia"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58"/>
              <w:numPr>
                <w:ilvl w:val="0"/>
                <w:numId w:val="4"/>
              </w:numPr>
              <w:spacing w:line="560" w:lineRule="exact"/>
              <w:ind w:firstLine="498"/>
              <w:rPr>
                <w:rFonts w:hint="default" w:ascii="Times New Roman" w:hAnsi="Times New Roman" w:eastAsia="宋体" w:cs="Times New Roman"/>
                <w:b/>
                <w:snapToGrid/>
                <w:color w:val="000000" w:themeColor="text1"/>
                <w:spacing w:val="4"/>
                <w:kern w:val="2"/>
                <w14:textFill>
                  <w14:solidFill>
                    <w14:schemeClr w14:val="tx1"/>
                  </w14:solidFill>
                </w14:textFill>
              </w:rPr>
            </w:pPr>
            <w:r>
              <w:rPr>
                <w:rFonts w:hint="default" w:ascii="Times New Roman" w:hAnsi="Times New Roman" w:eastAsia="宋体" w:cs="Times New Roman"/>
                <w:b/>
                <w:snapToGrid/>
                <w:color w:val="000000" w:themeColor="text1"/>
                <w:spacing w:val="4"/>
                <w:kern w:val="2"/>
                <w14:textFill>
                  <w14:solidFill>
                    <w14:schemeClr w14:val="tx1"/>
                  </w14:solidFill>
                </w14:textFill>
              </w:rPr>
              <w:t>主要工艺介绍</w:t>
            </w:r>
          </w:p>
          <w:p>
            <w:pPr>
              <w:pStyle w:val="158"/>
              <w:numPr>
                <w:ilvl w:val="0"/>
                <w:numId w:val="0"/>
              </w:numPr>
              <w:spacing w:line="560" w:lineRule="exact"/>
              <w:rPr>
                <w:rFonts w:hint="default" w:ascii="Times New Roman" w:hAnsi="Times New Roman" w:eastAsia="宋体" w:cs="Times New Roman"/>
                <w:b/>
                <w:snapToGrid/>
                <w:color w:val="000000" w:themeColor="text1"/>
                <w:spacing w:val="4"/>
                <w:kern w:val="2"/>
                <w:lang w:val="en-US" w:eastAsia="zh-CN"/>
                <w14:textFill>
                  <w14:solidFill>
                    <w14:schemeClr w14:val="tx1"/>
                  </w14:solidFill>
                </w14:textFill>
              </w:rPr>
            </w:pPr>
            <w:r>
              <w:rPr>
                <w:rFonts w:hint="default" w:ascii="Times New Roman" w:hAnsi="Times New Roman" w:eastAsia="宋体" w:cs="Times New Roman"/>
                <w:b/>
                <w:snapToGrid/>
                <w:color w:val="000000" w:themeColor="text1"/>
                <w:spacing w:val="4"/>
                <w:kern w:val="2"/>
                <w:lang w:val="en-US" w:eastAsia="zh-CN"/>
                <w14:textFill>
                  <w14:solidFill>
                    <w14:schemeClr w14:val="tx1"/>
                  </w14:solidFill>
                </w14:textFill>
              </w:rPr>
              <w:t xml:space="preserve">    （1）工艺流程</w:t>
            </w:r>
          </w:p>
          <w:p>
            <w:pPr>
              <w:bidi w:val="0"/>
              <w:spacing w:line="360" w:lineRule="auto"/>
              <w:ind w:firstLine="480"/>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spacing w:val="1"/>
                <w:kern w:val="0"/>
                <w:sz w:val="24"/>
                <w14:textFill>
                  <w14:solidFill>
                    <w14:schemeClr w14:val="tx1"/>
                  </w14:solidFill>
                </w14:textFill>
              </w:rPr>
              <w:t>渗滤液由填埋场渗滤液收集系统收集至</w:t>
            </w:r>
            <w:r>
              <w:rPr>
                <w:rFonts w:hint="default" w:ascii="Times New Roman" w:hAnsi="Times New Roman" w:cs="Times New Roman" w:eastAsiaTheme="minorEastAsia"/>
                <w:color w:val="000000" w:themeColor="text1"/>
                <w:kern w:val="0"/>
                <w:sz w:val="24"/>
                <w14:textFill>
                  <w14:solidFill>
                    <w14:schemeClr w14:val="tx1"/>
                  </w14:solidFill>
                </w14:textFill>
              </w:rPr>
              <w:t>调</w:t>
            </w:r>
            <w:r>
              <w:rPr>
                <w:rFonts w:hint="default" w:ascii="Times New Roman" w:hAnsi="Times New Roman" w:cs="Times New Roman" w:eastAsiaTheme="minorEastAsia"/>
                <w:color w:val="000000" w:themeColor="text1"/>
                <w:spacing w:val="1"/>
                <w:kern w:val="0"/>
                <w:sz w:val="24"/>
                <w14:textFill>
                  <w14:solidFill>
                    <w14:schemeClr w14:val="tx1"/>
                  </w14:solidFill>
                </w14:textFill>
              </w:rPr>
              <w:t>节池，调节池内设生化进水泵提升进入</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内</w:t>
            </w:r>
            <w:r>
              <w:rPr>
                <w:rFonts w:hint="default" w:ascii="Times New Roman" w:hAnsi="Times New Roman" w:cs="Times New Roman" w:eastAsiaTheme="minorEastAsia"/>
                <w:color w:val="000000" w:themeColor="text1"/>
                <w:spacing w:val="1"/>
                <w:kern w:val="0"/>
                <w:sz w:val="24"/>
                <w14:textFill>
                  <w14:solidFill>
                    <w14:schemeClr w14:val="tx1"/>
                  </w14:solidFill>
                </w14:textFill>
              </w:rPr>
              <w:t>置</w:t>
            </w:r>
            <w:r>
              <w:rPr>
                <w:rFonts w:hint="default" w:ascii="Times New Roman" w:hAnsi="Times New Roman" w:cs="Times New Roman" w:eastAsiaTheme="minorEastAsia"/>
                <w:color w:val="000000" w:themeColor="text1"/>
                <w:spacing w:val="1"/>
                <w:kern w:val="0"/>
                <w:sz w:val="24"/>
                <w:lang w:val="en-US" w:eastAsia="zh-CN"/>
                <w14:textFill>
                  <w14:solidFill>
                    <w14:schemeClr w14:val="tx1"/>
                  </w14:solidFill>
                </w14:textFill>
              </w:rPr>
              <w:t>浸没</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式膜生化反应器。</w:t>
            </w:r>
            <w:r>
              <w:rPr>
                <w:rFonts w:hint="default" w:ascii="Times New Roman" w:hAnsi="Times New Roman" w:cs="Times New Roman" w:eastAsiaTheme="minorEastAsia"/>
                <w:color w:val="000000" w:themeColor="text1"/>
                <w:spacing w:val="1"/>
                <w:kern w:val="0"/>
                <w:sz w:val="24"/>
                <w:lang w:val="en-US" w:eastAsia="zh-CN"/>
                <w14:textFill>
                  <w14:solidFill>
                    <w14:schemeClr w14:val="tx1"/>
                  </w14:solidFill>
                </w14:textFill>
              </w:rPr>
              <w:t>浸没式</w:t>
            </w:r>
            <w:r>
              <w:rPr>
                <w:rFonts w:hint="default" w:ascii="Times New Roman" w:hAnsi="Times New Roman" w:cs="Times New Roman" w:eastAsiaTheme="minorEastAsia"/>
                <w:color w:val="000000" w:themeColor="text1"/>
                <w:spacing w:val="1"/>
                <w:kern w:val="0"/>
                <w:sz w:val="24"/>
                <w14:textFill>
                  <w14:solidFill>
                    <w14:schemeClr w14:val="tx1"/>
                  </w14:solidFill>
                </w14:textFill>
              </w:rPr>
              <w:t>膜生</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化</w:t>
            </w:r>
            <w:r>
              <w:rPr>
                <w:rFonts w:hint="default" w:ascii="Times New Roman" w:hAnsi="Times New Roman" w:cs="Times New Roman" w:eastAsiaTheme="minorEastAsia"/>
                <w:color w:val="000000" w:themeColor="text1"/>
                <w:kern w:val="0"/>
                <w:sz w:val="24"/>
                <w14:textFill>
                  <w14:solidFill>
                    <w14:schemeClr w14:val="tx1"/>
                  </w14:solidFill>
                </w14:textFill>
              </w:rPr>
              <w:t>反应器设有生物反渗透</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RO</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对超滤出水进行深度处理，去除难生化降解的</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重金属、</w:t>
            </w:r>
            <w:r>
              <w:rPr>
                <w:rFonts w:hint="default" w:ascii="Times New Roman" w:hAnsi="Times New Roman" w:cs="Times New Roman" w:eastAsiaTheme="minorEastAsia"/>
                <w:color w:val="000000" w:themeColor="text1"/>
                <w:kern w:val="0"/>
                <w:sz w:val="24"/>
                <w14:textFill>
                  <w14:solidFill>
                    <w14:schemeClr w14:val="tx1"/>
                  </w14:solidFill>
                </w14:textFill>
              </w:rPr>
              <w:t>有机物以及氨氮等。反渗透</w:t>
            </w:r>
            <w:r>
              <w:rPr>
                <w:rFonts w:hint="default" w:ascii="Times New Roman" w:hAnsi="Times New Roman" w:cs="Times New Roman" w:eastAsiaTheme="minorEastAsia"/>
                <w:color w:val="000000" w:themeColor="text1"/>
                <w:spacing w:val="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spacing w:val="1"/>
                <w:kern w:val="0"/>
                <w:sz w:val="24"/>
                <w14:textFill>
                  <w14:solidFill>
                    <w14:schemeClr w14:val="tx1"/>
                  </w14:solidFill>
                </w14:textFill>
              </w:rPr>
              <w:t>RO</w:t>
            </w:r>
            <w:r>
              <w:rPr>
                <w:rFonts w:hint="default" w:ascii="Times New Roman" w:hAnsi="Times New Roman" w:cs="Times New Roman" w:eastAsiaTheme="minorEastAsia"/>
                <w:color w:val="000000" w:themeColor="text1"/>
                <w:spacing w:val="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的清液产率不低于</w:t>
            </w:r>
            <w:r>
              <w:rPr>
                <w:rFonts w:hint="default" w:ascii="Times New Roman" w:hAnsi="Times New Roman" w:cs="Times New Roman" w:eastAsiaTheme="minorEastAsia"/>
                <w:color w:val="000000" w:themeColor="text1"/>
                <w:kern w:val="0"/>
                <w:sz w:val="24"/>
                <w:szCs w:val="22"/>
                <w:lang w:val="en-US" w:eastAsia="zh-CN"/>
                <w14:textFill>
                  <w14:solidFill>
                    <w14:schemeClr w14:val="tx1"/>
                  </w14:solidFill>
                </w14:textFill>
              </w:rPr>
              <w:t>80%</w:t>
            </w:r>
            <w:r>
              <w:rPr>
                <w:rFonts w:hint="default" w:ascii="Times New Roman" w:hAnsi="Times New Roman" w:cs="Times New Roman" w:eastAsiaTheme="minorEastAsia"/>
                <w:color w:val="000000" w:themeColor="text1"/>
                <w:kern w:val="0"/>
                <w:sz w:val="24"/>
                <w14:textFill>
                  <w14:solidFill>
                    <w14:schemeClr w14:val="tx1"/>
                  </w14:solidFill>
                </w14:textFill>
              </w:rPr>
              <w:t>。</w:t>
            </w:r>
          </w:p>
          <w:p>
            <w:pPr>
              <w:bidi w:val="0"/>
              <w:spacing w:line="360" w:lineRule="auto"/>
              <w:ind w:firstLine="480"/>
              <w:rPr>
                <w:rFonts w:hint="default" w:ascii="Times New Roman" w:hAnsi="Times New Roman" w:eastAsia="宋体" w:cs="Times New Roman"/>
                <w:b/>
                <w:snapToGrid/>
                <w:color w:val="000000" w:themeColor="text1"/>
                <w:spacing w:val="4"/>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MBR系统产生的剩余污泥排入污泥浓缩池。污泥经污泥泵提升进入污泥脱水机系统，脱水系统的进泥泵为螺杆泵，从污泥浓缩池取泥送入脱水机，在污泥浓缩池</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先经过暴晒，蒸发部分水分</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并</w:t>
            </w:r>
            <w:r>
              <w:rPr>
                <w:rFonts w:hint="default" w:ascii="Times New Roman" w:hAnsi="Times New Roman" w:cs="Times New Roman" w:eastAsiaTheme="minorEastAsia"/>
                <w:color w:val="000000" w:themeColor="text1"/>
                <w:kern w:val="0"/>
                <w:sz w:val="24"/>
                <w14:textFill>
                  <w14:solidFill>
                    <w14:schemeClr w14:val="tx1"/>
                  </w14:solidFill>
                </w14:textFill>
              </w:rPr>
              <w:t>通过絮凝剂投加装置投加高分子絮凝剂，保证脱水泥饼含水率低于</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0"/>
                <w:sz w:val="24"/>
                <w14:textFill>
                  <w14:solidFill>
                    <w14:schemeClr w14:val="tx1"/>
                  </w14:solidFill>
                </w14:textFill>
              </w:rPr>
              <w:t>0％，脱水污泥运至填埋场填埋处理，液相流入集水井，与污泥浓缩池排出的上清液一同泵回生化系统继续处理。</w:t>
            </w:r>
          </w:p>
          <w:p>
            <w:pPr>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（1）收集池渗滤液通过提水泵经管道及管道口格栅（拦网式过滤器）后首先进入调节池，通过调节池可以调节渗滤液水量的不均匀性，而且对渗滤液水质也有一定的厌氧均化作用。</w:t>
            </w:r>
          </w:p>
          <w:p>
            <w:pPr>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渗滤液经过调节池后进入反硝化池。在反硝化池与回流水完全混合，兼氧微生物分解利用原水中的有机物。在此过程中，把回流液中氧气充分利用后，兼氧微生物将利用硝酸根及亚硝酸根离子作为氧原降解有机污染物，同时使硝酸根离子转化为氮气，溢出水体，使水中总氮含量得以降低，同时产生碱度，使硝化池中硝化作用所需碱度条件更有保障。</w:t>
            </w:r>
          </w:p>
          <w:p>
            <w:pPr>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随后，反硝化池污水自流入硝化池，在硝化池利用好氧微生物的作用，使残余的可生物降解有机物进一步分解去除，使氨氮在亚硝酸和硝酸细菌的作用下，形成硝酸根离子，使氨氮污染物得以控制。不能生物降解的有机污染物在抽吸泵的作用下，随水流进入中间水池。</w:t>
            </w:r>
          </w:p>
          <w:p>
            <w:pPr>
              <w:spacing w:line="560" w:lineRule="exact"/>
              <w:ind w:firstLine="480" w:firstLineChars="200"/>
              <w:rPr>
                <w:rFonts w:hint="default" w:ascii="Times New Roman" w:hAnsi="Times New Roman" w:eastAsia="宋体" w:cs="Times New Roman"/>
                <w:color w:val="000000" w:themeColor="text1"/>
                <w:sz w:val="22"/>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（4）污水进入中间水池后去除由生化处理产生的悬浮污泥；MBR系统内放置浸没式膜组件，利用膜的截留作用将SS及污染物截去，防止污泥流失。</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（5）最后污水进入反渗透系统处理，通过反渗透膜去除COD、BOD、NH3-N、TN、SS、重金属等污染物后，出水即可达到《生活垃圾填埋场污染控制标准》（GB16889-2008）的排放要求。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（6）反</w:t>
            </w:r>
            <w:r>
              <w:rPr>
                <w:rFonts w:hint="default" w:ascii="Times New Roman" w:hAnsi="Times New Roman" w:cs="Times New Roman" w:eastAsiaTheme="minorEastAsia"/>
                <w:color w:val="000000" w:themeColor="text1"/>
                <w:sz w:val="24"/>
                <w:szCs w:val="24"/>
                <w14:textFill>
                  <w14:solidFill>
                    <w14:schemeClr w14:val="tx1"/>
                  </w14:solidFill>
                </w14:textFill>
              </w:rPr>
              <w:t>渗透系统的浓缩液及MBR产生的污泥（脱水至含水率小于60%）回灌至垃圾填埋场。</w:t>
            </w:r>
          </w:p>
          <w:p>
            <w:pPr>
              <w:keepNext w:val="0"/>
              <w:keepLines w:val="0"/>
              <w:pageBreakBefore w:val="0"/>
              <w:widowControl w:val="0"/>
              <w:kinsoku/>
              <w:wordWrap/>
              <w:overflowPunct/>
              <w:topLinePunct w:val="0"/>
              <w:autoSpaceDE/>
              <w:autoSpaceDN/>
              <w:bidi w:val="0"/>
              <w:adjustRightInd/>
              <w:snapToGrid/>
              <w:spacing w:line="520" w:lineRule="exact"/>
              <w:ind w:firstLine="484"/>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渗滤液处理工艺</w:t>
            </w:r>
            <w:r>
              <w:rPr>
                <w:rFonts w:hint="default" w:ascii="Times New Roman" w:hAnsi="Times New Roman" w:cs="Times New Roman" w:eastAsiaTheme="minorEastAsia"/>
                <w:color w:val="000000" w:themeColor="text1"/>
                <w:kern w:val="0"/>
                <w:sz w:val="24"/>
                <w:szCs w:val="24"/>
                <w14:textFill>
                  <w14:solidFill>
                    <w14:schemeClr w14:val="tx1"/>
                  </w14:solidFill>
                </w14:textFill>
              </w:rPr>
              <w:t>脱氮功能即由硝化反硝化</w:t>
            </w:r>
            <w:r>
              <w:rPr>
                <w:rFonts w:hint="default" w:ascii="Times New Roman" w:hAnsi="Times New Roman" w:cs="Times New Roman" w:eastAsiaTheme="minorEastAsia"/>
                <w:color w:val="000000" w:themeColor="text1"/>
                <w:spacing w:val="1"/>
                <w:kern w:val="0"/>
                <w:sz w:val="24"/>
                <w:szCs w:val="24"/>
                <w14:textFill>
                  <w14:solidFill>
                    <w14:schemeClr w14:val="tx1"/>
                  </w14:solidFill>
                </w14:textFill>
              </w:rPr>
              <w:t>和超滤单元组</w:t>
            </w:r>
            <w:r>
              <w:rPr>
                <w:rFonts w:hint="default" w:ascii="Times New Roman" w:hAnsi="Times New Roman" w:cs="Times New Roman" w:eastAsiaTheme="minorEastAsia"/>
                <w:color w:val="000000" w:themeColor="text1"/>
                <w:kern w:val="0"/>
                <w:sz w:val="24"/>
                <w:szCs w:val="24"/>
                <w14:textFill>
                  <w14:solidFill>
                    <w14:schemeClr w14:val="tx1"/>
                  </w14:solidFill>
                </w14:textFill>
              </w:rPr>
              <w:t>成</w:t>
            </w:r>
            <w:r>
              <w:rPr>
                <w:rFonts w:hint="default" w:ascii="Times New Roman" w:hAnsi="Times New Roman" w:cs="Times New Roman" w:eastAsiaTheme="minorEastAsia"/>
                <w:color w:val="000000" w:themeColor="text1"/>
                <w:spacing w:val="1"/>
                <w:kern w:val="0"/>
                <w:sz w:val="24"/>
                <w:szCs w:val="24"/>
                <w14:textFill>
                  <w14:solidFill>
                    <w14:schemeClr w14:val="tx1"/>
                  </w14:solidFill>
                </w14:textFill>
              </w:rPr>
              <w:t>。带有生物脱氮功能的</w:t>
            </w:r>
            <w:r>
              <w:rPr>
                <w:rFonts w:hint="default" w:ascii="Times New Roman" w:hAnsi="Times New Roman" w:cs="Times New Roman" w:eastAsiaTheme="minorEastAsia"/>
                <w:color w:val="000000" w:themeColor="text1"/>
                <w:spacing w:val="1"/>
                <w:kern w:val="0"/>
                <w:sz w:val="24"/>
                <w:szCs w:val="24"/>
                <w:lang w:val="en-US" w:eastAsia="zh-CN"/>
                <w14:textFill>
                  <w14:solidFill>
                    <w14:schemeClr w14:val="tx1"/>
                  </w14:solidFill>
                </w14:textFill>
              </w:rPr>
              <w:t>内</w:t>
            </w:r>
            <w:r>
              <w:rPr>
                <w:rFonts w:hint="default" w:ascii="Times New Roman" w:hAnsi="Times New Roman" w:cs="Times New Roman" w:eastAsiaTheme="minorEastAsia"/>
                <w:color w:val="000000" w:themeColor="text1"/>
                <w:spacing w:val="1"/>
                <w:kern w:val="0"/>
                <w:sz w:val="24"/>
                <w:szCs w:val="24"/>
                <w14:textFill>
                  <w14:solidFill>
                    <w14:schemeClr w14:val="tx1"/>
                  </w14:solidFill>
                </w14:textFill>
              </w:rPr>
              <w:t>置</w:t>
            </w:r>
            <w:r>
              <w:rPr>
                <w:rFonts w:hint="default" w:ascii="Times New Roman" w:hAnsi="Times New Roman" w:cs="Times New Roman" w:eastAsiaTheme="minorEastAsia"/>
                <w:color w:val="000000" w:themeColor="text1"/>
                <w:spacing w:val="1"/>
                <w:kern w:val="0"/>
                <w:sz w:val="24"/>
                <w:szCs w:val="24"/>
                <w:lang w:val="en-US" w:eastAsia="zh-CN"/>
                <w14:textFill>
                  <w14:solidFill>
                    <w14:schemeClr w14:val="tx1"/>
                  </w14:solidFill>
                </w14:textFill>
              </w:rPr>
              <w:t>侵没</w:t>
            </w:r>
            <w:r>
              <w:rPr>
                <w:rFonts w:hint="default" w:ascii="Times New Roman" w:hAnsi="Times New Roman" w:cs="Times New Roman" w:eastAsiaTheme="minorEastAsia"/>
                <w:color w:val="000000" w:themeColor="text1"/>
                <w:spacing w:val="-1"/>
                <w:kern w:val="0"/>
                <w:sz w:val="24"/>
                <w:szCs w:val="24"/>
                <w14:textFill>
                  <w14:solidFill>
                    <w14:schemeClr w14:val="tx1"/>
                  </w14:solidFill>
                </w14:textFill>
              </w:rPr>
              <w:t>式</w:t>
            </w:r>
            <w:r>
              <w:rPr>
                <w:rFonts w:hint="default" w:ascii="Times New Roman" w:hAnsi="Times New Roman" w:cs="Times New Roman" w:eastAsiaTheme="minorEastAsia"/>
                <w:color w:val="000000" w:themeColor="text1"/>
                <w:kern w:val="0"/>
                <w:sz w:val="24"/>
                <w:szCs w:val="24"/>
                <w14:textFill>
                  <w14:solidFill>
                    <w14:schemeClr w14:val="tx1"/>
                  </w14:solidFill>
                </w14:textFill>
              </w:rPr>
              <w:t>膜生化反应器生物脱氮率在</w:t>
            </w:r>
            <w:r>
              <w:rPr>
                <w:rFonts w:hint="default" w:ascii="Times New Roman" w:hAnsi="Times New Roman" w:cs="Times New Roman" w:eastAsiaTheme="minorEastAsia"/>
                <w:color w:val="000000" w:themeColor="text1"/>
                <w:spacing w:val="-50"/>
                <w:kern w:val="0"/>
                <w:sz w:val="24"/>
                <w:szCs w:val="24"/>
                <w14:textFill>
                  <w14:solidFill>
                    <w14:schemeClr w14:val="tx1"/>
                  </w14:solidFill>
                </w14:textFill>
              </w:rPr>
              <w:t xml:space="preserve"> </w:t>
            </w:r>
            <w:r>
              <w:rPr>
                <w:rFonts w:hint="default" w:ascii="Times New Roman" w:hAnsi="Times New Roman" w:cs="Times New Roman" w:eastAsiaTheme="minorEastAsia"/>
                <w:color w:val="000000" w:themeColor="text1"/>
                <w:kern w:val="0"/>
                <w:sz w:val="24"/>
                <w:szCs w:val="24"/>
                <w14:textFill>
                  <w14:solidFill>
                    <w14:schemeClr w14:val="tx1"/>
                  </w14:solidFill>
                </w14:textFill>
              </w:rPr>
              <w:t>99%以上</w:t>
            </w:r>
            <w:r>
              <w:rPr>
                <w:rFonts w:hint="default" w:ascii="Times New Roman" w:hAnsi="Times New Roman" w:cs="Times New Roman" w:eastAsiaTheme="minorEastAsia"/>
                <w:color w:val="000000" w:themeColor="text1"/>
                <w:spacing w:val="1"/>
                <w:kern w:val="0"/>
                <w:sz w:val="24"/>
                <w:szCs w:val="24"/>
                <w14:textFill>
                  <w14:solidFill>
                    <w14:schemeClr w14:val="tx1"/>
                  </w14:solidFill>
                </w14:textFill>
              </w:rPr>
              <w:t>，降低出水污染物浓度</w:t>
            </w:r>
            <w:r>
              <w:rPr>
                <w:rFonts w:hint="default" w:ascii="Times New Roman" w:hAnsi="Times New Roman" w:cs="Times New Roman" w:eastAsiaTheme="minorEastAsia"/>
                <w:color w:val="000000" w:themeColor="text1"/>
                <w:kern w:val="0"/>
                <w:sz w:val="24"/>
                <w:szCs w:val="24"/>
                <w14:textFill>
                  <w14:solidFill>
                    <w14:schemeClr w14:val="tx1"/>
                  </w14:solidFill>
                </w14:textFill>
              </w:rPr>
              <w:t>。</w:t>
            </w:r>
            <w:r>
              <w:rPr>
                <w:rFonts w:hint="default" w:ascii="Times New Roman" w:hAnsi="Times New Roman" w:cs="Times New Roman" w:eastAsiaTheme="minorEastAsia"/>
                <w:color w:val="000000" w:themeColor="text1"/>
                <w:spacing w:val="1"/>
                <w:kern w:val="0"/>
                <w:sz w:val="24"/>
                <w:szCs w:val="24"/>
                <w14:textFill>
                  <w14:solidFill>
                    <w14:schemeClr w14:val="tx1"/>
                  </w14:solidFill>
                </w14:textFill>
              </w:rPr>
              <w:t>为了提高脱氮效果，必要时需在反硝化池投加碳源。由于在调</w:t>
            </w:r>
            <w:r>
              <w:rPr>
                <w:rFonts w:hint="default" w:ascii="Times New Roman" w:hAnsi="Times New Roman" w:cs="Times New Roman" w:eastAsiaTheme="minorEastAsia"/>
                <w:color w:val="000000" w:themeColor="text1"/>
                <w:spacing w:val="1"/>
                <w:kern w:val="0"/>
                <w:sz w:val="24"/>
                <w14:textFill>
                  <w14:solidFill>
                    <w14:schemeClr w14:val="tx1"/>
                  </w14:solidFill>
                </w14:textFill>
              </w:rPr>
              <w:t>试期初或活性</w:t>
            </w:r>
            <w:r>
              <w:rPr>
                <w:rFonts w:hint="default" w:ascii="Times New Roman" w:hAnsi="Times New Roman" w:cs="Times New Roman" w:eastAsiaTheme="minorEastAsia"/>
                <w:color w:val="000000" w:themeColor="text1"/>
                <w:kern w:val="0"/>
                <w:sz w:val="24"/>
                <w14:textFill>
                  <w14:solidFill>
                    <w14:schemeClr w14:val="tx1"/>
                  </w14:solidFill>
                </w14:textFill>
              </w:rPr>
              <w:t>污</w:t>
            </w:r>
            <w:r>
              <w:rPr>
                <w:rFonts w:hint="default" w:ascii="Times New Roman" w:hAnsi="Times New Roman" w:cs="Times New Roman" w:eastAsiaTheme="minorEastAsia"/>
                <w:color w:val="000000" w:themeColor="text1"/>
                <w:spacing w:val="1"/>
                <w:kern w:val="0"/>
                <w:sz w:val="24"/>
                <w14:textFill>
                  <w14:solidFill>
                    <w14:schemeClr w14:val="tx1"/>
                  </w14:solidFill>
                </w14:textFill>
              </w:rPr>
              <w:t>泥营养失衡的情况下，好氧曝气</w:t>
            </w:r>
            <w:r>
              <w:rPr>
                <w:rFonts w:hint="default" w:ascii="Times New Roman" w:hAnsi="Times New Roman" w:cs="Times New Roman" w:eastAsiaTheme="minorEastAsia"/>
                <w:color w:val="000000" w:themeColor="text1"/>
                <w:spacing w:val="-1"/>
                <w:kern w:val="0"/>
                <w:sz w:val="24"/>
                <w14:textFill>
                  <w14:solidFill>
                    <w14:schemeClr w14:val="tx1"/>
                  </w14:solidFill>
                </w14:textFill>
              </w:rPr>
              <w:t>会</w:t>
            </w:r>
            <w:r>
              <w:rPr>
                <w:rFonts w:hint="default" w:ascii="Times New Roman" w:hAnsi="Times New Roman" w:cs="Times New Roman" w:eastAsiaTheme="minorEastAsia"/>
                <w:color w:val="000000" w:themeColor="text1"/>
                <w:kern w:val="0"/>
                <w:sz w:val="24"/>
                <w14:textFill>
                  <w14:solidFill>
                    <w14:schemeClr w14:val="tx1"/>
                  </w14:solidFill>
                </w14:textFill>
              </w:rPr>
              <w:t>产</w:t>
            </w:r>
            <w:r>
              <w:rPr>
                <w:rFonts w:hint="default" w:ascii="Times New Roman" w:hAnsi="Times New Roman" w:cs="Times New Roman" w:eastAsiaTheme="minorEastAsia"/>
                <w:color w:val="000000" w:themeColor="text1"/>
                <w:spacing w:val="1"/>
                <w:kern w:val="0"/>
                <w:sz w:val="24"/>
                <w14:textFill>
                  <w14:solidFill>
                    <w14:schemeClr w14:val="tx1"/>
                  </w14:solidFill>
                </w14:textFill>
              </w:rPr>
              <w:t>生大量的泡沫，因此在两个硝化池设置消泡</w:t>
            </w:r>
            <w:r>
              <w:rPr>
                <w:rFonts w:hint="default" w:ascii="Times New Roman" w:hAnsi="Times New Roman" w:cs="Times New Roman" w:eastAsiaTheme="minorEastAsia"/>
                <w:color w:val="000000" w:themeColor="text1"/>
                <w:kern w:val="0"/>
                <w:sz w:val="24"/>
                <w14:textFill>
                  <w14:solidFill>
                    <w14:schemeClr w14:val="tx1"/>
                  </w14:solidFill>
                </w14:textFill>
              </w:rPr>
              <w:t>系</w:t>
            </w:r>
            <w:r>
              <w:rPr>
                <w:rFonts w:hint="default" w:ascii="Times New Roman" w:hAnsi="Times New Roman" w:cs="Times New Roman" w:eastAsiaTheme="minorEastAsia"/>
                <w:color w:val="000000" w:themeColor="text1"/>
                <w:spacing w:val="1"/>
                <w:kern w:val="0"/>
                <w:sz w:val="24"/>
                <w14:textFill>
                  <w14:solidFill>
                    <w14:schemeClr w14:val="tx1"/>
                  </w14:solidFill>
                </w14:textFill>
              </w:rPr>
              <w:t>统用于泡沫消除。针对夏季高温</w:t>
            </w:r>
            <w:r>
              <w:rPr>
                <w:rFonts w:hint="default" w:ascii="Times New Roman" w:hAnsi="Times New Roman" w:cs="Times New Roman" w:eastAsiaTheme="minorEastAsia"/>
                <w:color w:val="000000" w:themeColor="text1"/>
                <w:spacing w:val="-1"/>
                <w:kern w:val="0"/>
                <w:sz w:val="24"/>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本项目配备了完善的冷却系统来应对高温天气</w:t>
            </w:r>
            <w:r>
              <w:rPr>
                <w:rFonts w:hint="default" w:ascii="Times New Roman" w:hAnsi="Times New Roman" w:cs="Times New Roman" w:eastAsiaTheme="minorEastAsia"/>
                <w:color w:val="000000" w:themeColor="text1"/>
                <w:spacing w:val="-90"/>
                <w:kern w:val="0"/>
                <w:sz w:val="24"/>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保证生化系统所需要的适宜温度。</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在硝化池设置冷却系统，通过冷却塔换</w:t>
            </w:r>
            <w:r>
              <w:rPr>
                <w:rFonts w:hint="default" w:ascii="Times New Roman" w:hAnsi="Times New Roman" w:cs="Times New Roman" w:eastAsiaTheme="minorEastAsia"/>
                <w:color w:val="000000" w:themeColor="text1"/>
                <w:kern w:val="0"/>
                <w:sz w:val="24"/>
                <w14:textFill>
                  <w14:solidFill>
                    <w14:schemeClr w14:val="tx1"/>
                  </w14:solidFill>
                </w14:textFill>
              </w:rPr>
              <w:t>热</w:t>
            </w:r>
            <w:r>
              <w:rPr>
                <w:rFonts w:hint="default" w:ascii="Times New Roman" w:hAnsi="Times New Roman" w:cs="Times New Roman" w:eastAsiaTheme="minorEastAsia"/>
                <w:color w:val="000000" w:themeColor="text1"/>
                <w:spacing w:val="1"/>
                <w:kern w:val="0"/>
                <w:sz w:val="24"/>
                <w14:textFill>
                  <w14:solidFill>
                    <w14:schemeClr w14:val="tx1"/>
                  </w14:solidFill>
                </w14:textFill>
              </w:rPr>
              <w:t>降低水温至合适温度。冷却系统</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兼</w:t>
            </w:r>
            <w:r>
              <w:rPr>
                <w:rFonts w:hint="default" w:ascii="Times New Roman" w:hAnsi="Times New Roman" w:cs="Times New Roman" w:eastAsiaTheme="minorEastAsia"/>
                <w:color w:val="000000" w:themeColor="text1"/>
                <w:kern w:val="0"/>
                <w:sz w:val="24"/>
                <w14:textFill>
                  <w14:solidFill>
                    <w14:schemeClr w14:val="tx1"/>
                  </w14:solidFill>
                </w14:textFill>
              </w:rPr>
              <w:t>具</w:t>
            </w:r>
            <w:r>
              <w:rPr>
                <w:rFonts w:hint="default" w:ascii="Times New Roman" w:hAnsi="Times New Roman" w:cs="Times New Roman" w:eastAsiaTheme="minorEastAsia"/>
                <w:color w:val="000000" w:themeColor="text1"/>
                <w:spacing w:val="1"/>
                <w:kern w:val="0"/>
                <w:sz w:val="24"/>
                <w14:textFill>
                  <w14:solidFill>
                    <w14:schemeClr w14:val="tx1"/>
                  </w14:solidFill>
                </w14:textFill>
              </w:rPr>
              <w:t>生化池热交换及部分硝化液回流的功能，出</w:t>
            </w:r>
            <w:r>
              <w:rPr>
                <w:rFonts w:hint="default" w:ascii="Times New Roman" w:hAnsi="Times New Roman" w:cs="Times New Roman" w:eastAsiaTheme="minorEastAsia"/>
                <w:color w:val="000000" w:themeColor="text1"/>
                <w:kern w:val="0"/>
                <w:sz w:val="24"/>
                <w14:textFill>
                  <w14:solidFill>
                    <w14:schemeClr w14:val="tx1"/>
                  </w14:solidFill>
                </w14:textFill>
              </w:rPr>
              <w:t>水</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可部分回流至反硝化池。冬</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季</w:t>
            </w:r>
            <w:r>
              <w:rPr>
                <w:rFonts w:hint="default" w:ascii="Times New Roman" w:hAnsi="Times New Roman" w:cs="Times New Roman" w:eastAsiaTheme="minorEastAsia"/>
                <w:color w:val="000000" w:themeColor="text1"/>
                <w:kern w:val="0"/>
                <w:sz w:val="24"/>
                <w14:textFill>
                  <w14:solidFill>
                    <w14:schemeClr w14:val="tx1"/>
                  </w14:solidFill>
                </w14:textFill>
              </w:rPr>
              <w:t>低温时冷却系统功能调整为加热系统，通过外部热交换加温。</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渗滤液处理工艺流程见图1</w:t>
            </w:r>
            <w:r>
              <w:rPr>
                <w:rFonts w:hint="eastAsia"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w:t>
            </w:r>
          </w:p>
          <w:p>
            <w:pPr>
              <w:keepNext w:val="0"/>
              <w:keepLines w:val="0"/>
              <w:widowControl/>
              <w:suppressLineNumbers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INCLUDEPICTURE \d "C:\\Users\\asus\\AppData\\Roaming\\Tencent\\Users\\651478676\\QQ\\WinTemp\\RichOle\\D`yFIU$3$_AZT{WC$HUO8.png" \* MERGEFORMATINET </w:instrTex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mc:AlternateContent>
                <mc:Choice Requires="wps">
                  <w:drawing>
                    <wp:inline distT="0" distB="0" distL="114300" distR="114300">
                      <wp:extent cx="304800" cy="304800"/>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HzJZ00gAAAAMBAAAPAAAAAAAAAAEAIAAAACIAAABkcnMvZG93bnJl&#10;di54bWxQSwECFAAUAAAACACHTuJAq7/kJZEBAAATAwAADgAAAAAAAAABACAAAAAhAQAAZHJzL2Uy&#10;b0RvYy54bWxQSwUGAAAAAAYABgBZAQAAJAUAAAAA&#10;">
                      <v:fill on="f" focussize="0,0"/>
                      <v:stroke on="f"/>
                      <v:imagedata o:title=""/>
                      <o:lock v:ext="edit" aspectratio="t"/>
                      <w10:wrap type="none"/>
                      <w10:anchorlock/>
                    </v:rect>
                  </w:pict>
                </mc:Fallback>
              </mc:AlternateConten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INCLUDEPICTURE \d "C:\\Users\\asus\\AppData\\Roaming\\Tencent\\Users\\651478676\\QQ\\WinTemp\\RichOle\\RR59{KJ3G8CA31C4TKL%~9R.png" \* MERGEFORMATINET </w:instrTex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drawing>
                <wp:inline distT="0" distB="0" distL="114300" distR="114300">
                  <wp:extent cx="5725795" cy="5103495"/>
                  <wp:effectExtent l="9525" t="9525" r="10160" b="22860"/>
                  <wp:docPr id="2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56"/>
                          <pic:cNvPicPr>
                            <a:picLocks noChangeAspect="1"/>
                          </pic:cNvPicPr>
                        </pic:nvPicPr>
                        <pic:blipFill>
                          <a:blip r:embed="rId18"/>
                          <a:stretch>
                            <a:fillRect/>
                          </a:stretch>
                        </pic:blipFill>
                        <pic:spPr>
                          <a:xfrm>
                            <a:off x="0" y="0"/>
                            <a:ext cx="5725795" cy="510349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p>
          <w:p>
            <w:pPr>
              <w:bidi w:val="0"/>
              <w:spacing w:line="360" w:lineRule="auto"/>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t>图</w:t>
            </w:r>
            <w:r>
              <w:rPr>
                <w:rFonts w:hint="eastAsia" w:cs="Times New Roman" w:eastAsiaTheme="minorEastAsia"/>
                <w:b/>
                <w:color w:val="000000" w:themeColor="text1"/>
                <w:sz w:val="21"/>
                <w:szCs w:val="21"/>
                <w:lang w:val="en-US" w:eastAsia="zh-CN"/>
                <w14:textFill>
                  <w14:solidFill>
                    <w14:schemeClr w14:val="tx1"/>
                  </w14:solidFill>
                </w14:textFill>
              </w:rPr>
              <w:t>11</w:t>
            </w:r>
            <w:r>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14:textFill>
                  <w14:solidFill>
                    <w14:schemeClr w14:val="tx1"/>
                  </w14:solidFill>
                </w14:textFill>
              </w:rPr>
              <w:t>渗滤液处理工艺及排污流程图</w:t>
            </w:r>
          </w:p>
          <w:p>
            <w:pPr>
              <w:bidi w:val="0"/>
              <w:spacing w:line="360" w:lineRule="auto"/>
              <w:ind w:firstLine="482" w:firstLineChars="200"/>
              <w:rPr>
                <w:rFonts w:hint="default" w:ascii="Times New Roman" w:hAnsi="Times New Roman" w:cs="Times New Roman" w:eastAsiaTheme="minorEastAsia"/>
                <w:b/>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lang w:eastAsia="zh-CN"/>
                <w14:textFill>
                  <w14:solidFill>
                    <w14:schemeClr w14:val="tx1"/>
                  </w14:solidFill>
                </w14:textFill>
              </w:rPr>
              <w:t>（</w:t>
            </w:r>
            <w:r>
              <w:rPr>
                <w:rFonts w:hint="default" w:ascii="Times New Roman" w:hAnsi="Times New Roman" w:cs="Times New Roman" w:eastAsiaTheme="minorEastAsia"/>
                <w:b/>
                <w:color w:val="000000" w:themeColor="text1"/>
                <w:sz w:val="24"/>
                <w:lang w:val="en-US" w:eastAsia="zh-CN"/>
                <w14:textFill>
                  <w14:solidFill>
                    <w14:schemeClr w14:val="tx1"/>
                  </w14:solidFill>
                </w14:textFill>
              </w:rPr>
              <w:t>2</w:t>
            </w:r>
            <w:r>
              <w:rPr>
                <w:rFonts w:hint="default" w:ascii="Times New Roman" w:hAnsi="Times New Roman" w:cs="Times New Roman" w:eastAsiaTheme="minorEastAsia"/>
                <w:b/>
                <w:color w:val="000000" w:themeColor="text1"/>
                <w:sz w:val="24"/>
                <w:lang w:eastAsia="zh-CN"/>
                <w14:textFill>
                  <w14:solidFill>
                    <w14:schemeClr w14:val="tx1"/>
                  </w14:solidFill>
                </w14:textFill>
              </w:rPr>
              <w:t>）</w:t>
            </w:r>
            <w:r>
              <w:rPr>
                <w:rFonts w:hint="default" w:ascii="Times New Roman" w:hAnsi="Times New Roman" w:cs="Times New Roman" w:eastAsiaTheme="minorEastAsia"/>
                <w:b/>
                <w:color w:val="000000" w:themeColor="text1"/>
                <w:sz w:val="24"/>
                <w:lang w:val="en-US" w:eastAsia="zh-CN"/>
                <w14:textFill>
                  <w14:solidFill>
                    <w14:schemeClr w14:val="tx1"/>
                  </w14:solidFill>
                </w14:textFill>
              </w:rPr>
              <w:t>技术参数</w:t>
            </w:r>
          </w:p>
          <w:p>
            <w:pPr>
              <w:pStyle w:val="2"/>
              <w:ind w:firstLine="480" w:firstLineChars="200"/>
              <w:jc w:val="both"/>
              <w:rPr>
                <w:rFonts w:hint="default" w:ascii="Times New Roman" w:hAnsi="Times New Roman" w:cs="Times New Roman" w:eastAsiaTheme="minorEastAsia"/>
                <w:snapToGrid/>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lang w:val="en-US" w:eastAsia="zh-CN" w:bidi="ar-SA"/>
                <w14:textFill>
                  <w14:solidFill>
                    <w14:schemeClr w14:val="tx1"/>
                  </w14:solidFill>
                </w14:textFill>
              </w:rPr>
              <w:t>各工序技术参数见表16。</w:t>
            </w:r>
          </w:p>
          <w:p>
            <w:pPr>
              <w:pStyle w:val="2"/>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t>表16  各工序技术参数表</w:t>
            </w:r>
          </w:p>
          <w:tbl>
            <w:tblPr>
              <w:tblStyle w:val="32"/>
              <w:tblW w:w="8960"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
            <w:tblGrid>
              <w:gridCol w:w="4297"/>
              <w:gridCol w:w="46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42" w:hRule="atLeast"/>
              </w:trPr>
              <w:tc>
                <w:tcPr>
                  <w:tcW w:w="8960"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厌氧部分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厌氧形式</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折板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进水量</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进水COD</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进水BOD</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温度</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出水COD</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出水BOD</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停留时间</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130hr</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8960"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生化部分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42"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生化形式</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AO</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反硝化池污泥负荷</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0.15kgNO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/kgMLSS.d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反硝化率</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硝化池污泥负荷</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0.08 kgNH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-N/kgMLSS.d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污泥浓度</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进水温度</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8960"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超滤部分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膜过滤形式</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浸没式超滤膜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膜材质</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PTFE</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设计过滤通量</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 L / h*m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(产品参数)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膜需要总面积</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208m²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单位膜管面积</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16m²(产品参数)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0" w:type="dxa"/>
                  <w:bottom w:w="0" w:type="dxa"/>
                  <w:right w:w="70"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需要膜件数</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8960" w:type="dxa"/>
                  <w:gridSpan w:val="2"/>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RO部分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膜材料</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设计开机率</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设计净水回收率</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QRO = 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设计进水流量Qd</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Qd = 30 m³ / 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设计净水产量Qp</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Qp = 24m³ / 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单根膜柱设计平均通量RO</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RO = 12  l / h* 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(产品参数)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膜柱数量n RO</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nRO =27支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单支膜柱面积SRO</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SRO =9.4 m²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膜总过滤面积SRO, t</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SRO, t =253.8m²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trPr>
              <w:tc>
                <w:tcPr>
                  <w:tcW w:w="42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设计最大操作压力</w:t>
                  </w:r>
                </w:p>
              </w:tc>
              <w:tc>
                <w:tcPr>
                  <w:tcW w:w="466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PMax = 60 bar</w:t>
                  </w:r>
                </w:p>
              </w:tc>
            </w:tr>
          </w:tbl>
          <w:p>
            <w:pPr>
              <w:bidi w:val="0"/>
              <w:spacing w:line="360" w:lineRule="auto"/>
              <w:ind w:firstLine="540"/>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lang w:eastAsia="zh-CN"/>
                <w14:textFill>
                  <w14:solidFill>
                    <w14:schemeClr w14:val="tx1"/>
                  </w14:solidFill>
                </w14:textFill>
              </w:rPr>
              <w:t>（</w:t>
            </w:r>
            <w:r>
              <w:rPr>
                <w:rFonts w:hint="default" w:ascii="Times New Roman" w:hAnsi="Times New Roman" w:cs="Times New Roman" w:eastAsiaTheme="minorEastAsia"/>
                <w:b/>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b/>
                <w:color w:val="000000" w:themeColor="text1"/>
                <w:sz w:val="24"/>
                <w:lang w:eastAsia="zh-CN"/>
                <w14:textFill>
                  <w14:solidFill>
                    <w14:schemeClr w14:val="tx1"/>
                  </w14:solidFill>
                </w14:textFill>
              </w:rPr>
              <w:t>）</w:t>
            </w:r>
            <w:r>
              <w:rPr>
                <w:rFonts w:hint="default" w:ascii="Times New Roman" w:hAnsi="Times New Roman" w:cs="Times New Roman" w:eastAsiaTheme="minorEastAsia"/>
                <w:b/>
                <w:color w:val="000000" w:themeColor="text1"/>
                <w:sz w:val="24"/>
                <w14:textFill>
                  <w14:solidFill>
                    <w14:schemeClr w14:val="tx1"/>
                  </w14:solidFill>
                </w14:textFill>
              </w:rPr>
              <w:t>缩液处理方案</w:t>
            </w:r>
          </w:p>
          <w:p>
            <w:pPr>
              <w:bidi w:val="0"/>
              <w:spacing w:line="360" w:lineRule="auto"/>
              <w:ind w:firstLine="617"/>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本项目设计进水规模为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0m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/d，出水规模为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23.5</w:t>
            </w:r>
            <w:r>
              <w:rPr>
                <w:rFonts w:hint="default" w:ascii="Times New Roman" w:hAnsi="Times New Roman" w:cs="Times New Roman" w:eastAsiaTheme="minorEastAsia"/>
                <w:color w:val="000000" w:themeColor="text1"/>
                <w:sz w:val="24"/>
                <w14:textFill>
                  <w14:solidFill>
                    <w14:schemeClr w14:val="tx1"/>
                  </w14:solidFill>
                </w14:textFill>
              </w:rPr>
              <w:t xml:space="preserve"> 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/d，其渗滤液处理站满负荷运行水平衡见图</w:t>
            </w:r>
            <w:r>
              <w:rPr>
                <w:rFonts w:hint="eastAsia"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2。</w:t>
            </w:r>
          </w:p>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drawing>
                <wp:inline distT="0" distB="0" distL="114300" distR="114300">
                  <wp:extent cx="5721350" cy="6076315"/>
                  <wp:effectExtent l="0" t="0" r="8890" b="4445"/>
                  <wp:docPr id="3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IMG_256"/>
                          <pic:cNvPicPr>
                            <a:picLocks noChangeAspect="1"/>
                          </pic:cNvPicPr>
                        </pic:nvPicPr>
                        <pic:blipFill>
                          <a:blip r:embed="rId19"/>
                          <a:stretch>
                            <a:fillRect/>
                          </a:stretch>
                        </pic:blipFill>
                        <pic:spPr>
                          <a:xfrm>
                            <a:off x="0" y="0"/>
                            <a:ext cx="5721350" cy="6076315"/>
                          </a:xfrm>
                          <a:prstGeom prst="rect">
                            <a:avLst/>
                          </a:prstGeom>
                          <a:noFill/>
                          <a:ln w="9525">
                            <a:noFill/>
                          </a:ln>
                        </pic:spPr>
                      </pic:pic>
                    </a:graphicData>
                  </a:graphic>
                </wp:inline>
              </w:drawing>
            </w:r>
          </w:p>
          <w:p>
            <w:pPr>
              <w:bidi w:val="0"/>
              <w:spacing w:line="36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图</w:t>
            </w:r>
            <w:r>
              <w:rPr>
                <w:rFonts w:hint="eastAsia" w:cs="Times New Roman" w:eastAsiaTheme="minorEastAsia"/>
                <w:b/>
                <w:color w:val="000000" w:themeColor="text1"/>
                <w:sz w:val="21"/>
                <w:szCs w:val="21"/>
                <w:lang w:val="en-US" w:eastAsia="zh-CN"/>
                <w14:textFill>
                  <w14:solidFill>
                    <w14:schemeClr w14:val="tx1"/>
                  </w14:solidFill>
                </w14:textFill>
              </w:rPr>
              <w:t>12</w:t>
            </w:r>
            <w:r>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14:textFill>
                  <w14:solidFill>
                    <w14:schemeClr w14:val="tx1"/>
                  </w14:solidFill>
                </w14:textFill>
              </w:rPr>
              <w:t xml:space="preserve"> 渗滤液处理系统水平衡计算图</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由图可见，本项目日均浓缩液产生量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14:textFill>
                  <w14:solidFill>
                    <w14:schemeClr w14:val="tx1"/>
                  </w14:solidFill>
                </w14:textFill>
              </w:rPr>
              <w:t>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/d。</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浓缩液采用回灌的方式，浓缩液中的污染物长期在渗滤液处理厂和填埋场之间循环，从理论上说会使渗滤液中的污染物浓度呈越来越高的趋势，但浓缩液在循环过程中，污染物在垃圾堆场内会发生分解反应，最终渗滤液的水质会达到一个平衡的状态，污染物浓度不再升高。</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①浓缩液回灌系统的控制</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浓缩液回灌在垃圾填埋体上作为处理的一种方法有别于渗滤液的回灌，其中有机污染物的负荷量极高，以COD计，要比进入系统渗滤液的高出3-4倍。因此，浓缩液的回灌条件必须紧密配合垃圾填埋体的形成并结合填埋操作的具体条件和可能，以控制回灌量处于最适宜的程度（即填埋体内持水量不致形成通道），并限制在最适当的范围之内（以不影响填埋作业）。</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浓缩液的回灌方法及回灌操作注意事项：</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由于浓缩液回灌要求做到浅层均匀回灌，本项目采取少量、多点、交叉布水、交错时间的综合回灌操作方法来避免过量、集中回灌可能形成垃圾填埋体的持水量达到饱和程度从而形成恶性循环的不利局面。</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使用浅层回灌。浅层系指必须控制回灌管道系统的布水井点及回灌水量，使浓缩液的回灌量刚好在填埋体表层的2-3米厚度内得以接纳，而不致因回灌量过大又过于集中致使填埋体在回灌范围内形成一个饱和柱状体。</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注意要点：</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少量——系指在同一回灌点上因浅灌要求，只能采取较低的回灌率，并严密注意填埋体浅层的消纳情况。</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多点——系在垃圾填埋体表面上按要求布置多个可单独调控回灌水量的布水井，以便机动灵活地按实际可行的条件控制好回灌量。</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交叉布水——系指回灌管道系统的应当能尽可能实现在填埋体表层的最大回灌面积上做到均匀布水。</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错开回灌时间—— 也就是在3-5处布水井间来回灌，尽可能使每个布水井有较合理的间歇期；同时尽可能实现在浅层内消纳完回灌水量。</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②浓缩液回灌</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由于浓缩液的特点，项目采用较小的回灌率，宜控制在0.5-1.5L/（h.m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回灌面积：本项目满负荷运行时RO系统日处理渗滤液</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0m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，浓缩液产生量为</w:t>
            </w:r>
            <w:r>
              <w:rPr>
                <w:rFonts w:hint="eastAsia" w:cs="Times New Roman" w:eastAsiaTheme="minorEastAsia"/>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14:textFill>
                  <w14:solidFill>
                    <w14:schemeClr w14:val="tx1"/>
                  </w14:solidFill>
                </w14:textFill>
              </w:rPr>
              <w:t>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/d，项目有1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14:textFill>
                  <w14:solidFill>
                    <w14:schemeClr w14:val="tx1"/>
                  </w14:solidFill>
                </w14:textFill>
              </w:rPr>
              <w:t>个面积为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14:textFill>
                  <w14:solidFill>
                    <w14:schemeClr w14:val="tx1"/>
                  </w14:solidFill>
                </w14:textFill>
              </w:rPr>
              <w:t>0m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 xml:space="preserve"> 的圆形回灌点。</w:t>
            </w:r>
          </w:p>
          <w:p>
            <w:pPr>
              <w:bidi w:val="0"/>
              <w:spacing w:line="360" w:lineRule="auto"/>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③浓缩液及污泥的输送</w:t>
            </w:r>
          </w:p>
          <w:p>
            <w:pPr>
              <w:bidi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采用螺杆泵提升方式，将浓缩液及污泥提升至填埋库区进行处理。提升管道沿库区周边布置，并隔一定距离设一个闸阀，通过软管接入库区。</w:t>
            </w:r>
          </w:p>
          <w:p>
            <w:pPr>
              <w:adjustRightInd w:val="0"/>
              <w:snapToGrid w:val="0"/>
              <w:spacing w:line="560" w:lineRule="exact"/>
              <w:ind w:firstLine="602" w:firstLineChars="250"/>
              <w:rPr>
                <w:rStyle w:val="98"/>
                <w:rFonts w:hint="default" w:ascii="Times New Roman" w:hAnsi="Times New Roman" w:cs="Times New Roman"/>
                <w:b/>
                <w:color w:val="000000" w:themeColor="text1"/>
                <w14:textFill>
                  <w14:solidFill>
                    <w14:schemeClr w14:val="tx1"/>
                  </w14:solidFill>
                </w14:textFill>
              </w:rPr>
            </w:pPr>
            <w:r>
              <w:rPr>
                <w:rStyle w:val="98"/>
                <w:rFonts w:hint="default" w:ascii="Times New Roman" w:hAnsi="Times New Roman" w:eastAsia="宋体" w:cs="Times New Roman"/>
                <w:b/>
                <w:color w:val="000000" w:themeColor="text1"/>
                <w:lang w:val="en-US" w:eastAsia="zh-CN"/>
                <w14:textFill>
                  <w14:solidFill>
                    <w14:schemeClr w14:val="tx1"/>
                  </w14:solidFill>
                </w14:textFill>
              </w:rPr>
              <w:t>3</w:t>
            </w:r>
            <w:r>
              <w:rPr>
                <w:rStyle w:val="98"/>
                <w:rFonts w:hint="default" w:ascii="Times New Roman" w:hAnsi="Times New Roman" w:cs="Times New Roman"/>
                <w:b/>
                <w:color w:val="000000" w:themeColor="text1"/>
                <w14:textFill>
                  <w14:solidFill>
                    <w14:schemeClr w14:val="tx1"/>
                  </w14:solidFill>
                </w14:textFill>
              </w:rPr>
              <w:t>、处理工艺及可行性</w:t>
            </w:r>
          </w:p>
          <w:p>
            <w:pPr>
              <w:spacing w:line="560" w:lineRule="exact"/>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（1）渗滤液处理工艺及可行性</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采用</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MBR+反渗透</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处理工艺。其中包括反硝化、硝化、MBR膜系统和反渗透系统。最终出水水质达到《生活垃圾填埋场污染控制标准》（GB16889-2008）中表2规定的水污染物排放浓度限值。具体各单元具体功能如下：</w:t>
            </w:r>
          </w:p>
          <w:p>
            <w:pPr>
              <w:pStyle w:val="2"/>
              <w:keepNext w:val="0"/>
              <w:keepLines w:val="0"/>
              <w:pageBreakBefore w:val="0"/>
              <w:widowControl w:val="0"/>
              <w:kinsoku/>
              <w:wordWrap/>
              <w:overflowPunct/>
              <w:topLinePunct w:val="0"/>
              <w:autoSpaceDE/>
              <w:autoSpaceDN/>
              <w:bidi w:val="0"/>
              <w:spacing w:line="520" w:lineRule="exact"/>
              <w:ind w:left="48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①硝化反硝化</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硝化反硝化是主要的生化处理单元，渗滤液在此进行有机污染物的去除，氨氮氧化和反硝化脱氮。</w:t>
            </w:r>
            <w:r>
              <w:rPr>
                <w:rFonts w:hint="eastAsia" w:ascii="Times New Roman" w:hAnsi="Times New Roman" w:eastAsia="宋体" w:cs="Times New Roman"/>
                <w:color w:val="000000" w:themeColor="text1"/>
                <w:sz w:val="24"/>
                <w:szCs w:val="24"/>
                <w14:textFill>
                  <w14:solidFill>
                    <w14:schemeClr w14:val="tx1"/>
                  </w14:solidFill>
                </w14:textFill>
              </w:rPr>
              <w:t>完成有机物的去除、脱氮、除磷等功能，脱氮的前提是NH</w:t>
            </w:r>
            <w:r>
              <w:rPr>
                <w:rFonts w:hint="eastAsia" w:ascii="Times New Roman" w:hAnsi="Times New Roman" w:eastAsia="宋体" w:cs="Times New Roman"/>
                <w:color w:val="000000" w:themeColor="text1"/>
                <w:sz w:val="24"/>
                <w:szCs w:val="24"/>
                <w:vertAlign w:val="sub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-N应完全硝化，好氧池能完成这一功能；</w:t>
            </w:r>
            <w:r>
              <w:rPr>
                <w:rFonts w:hint="eastAsia" w:eastAsia="宋体" w:cs="Times New Roman"/>
                <w:color w:val="000000" w:themeColor="text1"/>
                <w:sz w:val="24"/>
                <w:szCs w:val="24"/>
                <w:lang w:val="en-US" w:eastAsia="zh-CN"/>
                <w14:textFill>
                  <w14:solidFill>
                    <w14:schemeClr w14:val="tx1"/>
                  </w14:solidFill>
                </w14:textFill>
              </w:rPr>
              <w:t>厌</w:t>
            </w:r>
            <w:r>
              <w:rPr>
                <w:rFonts w:hint="eastAsia" w:ascii="Times New Roman" w:hAnsi="Times New Roman" w:eastAsia="宋体" w:cs="Times New Roman"/>
                <w:color w:val="000000" w:themeColor="text1"/>
                <w:sz w:val="24"/>
                <w:szCs w:val="24"/>
                <w14:textFill>
                  <w14:solidFill>
                    <w14:schemeClr w14:val="tx1"/>
                  </w14:solidFill>
                </w14:textFill>
              </w:rPr>
              <w:t>氧池则完成脱氮功能；厌氧池和好氧池联合完成除磷功能。</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eastAsiaTheme="minorEastAsia"/>
                <w:snapToGrid w:val="0"/>
                <w:color w:val="000000" w:themeColor="text1"/>
                <w:kern w:val="0"/>
                <w:sz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14:textFill>
                  <w14:solidFill>
                    <w14:schemeClr w14:val="tx1"/>
                  </w14:solidFill>
                </w14:textFill>
              </w:rPr>
              <w:t>污水中含氮有机化合物经异氧细菌作用分解成NH</w:t>
            </w:r>
            <w:r>
              <w:rPr>
                <w:rFonts w:hint="default" w:ascii="Times New Roman" w:hAnsi="Times New Roman" w:cs="Times New Roman" w:eastAsiaTheme="minorEastAsia"/>
                <w:snapToGrid w:val="0"/>
                <w:color w:val="000000" w:themeColor="text1"/>
                <w:kern w:val="0"/>
                <w:sz w:val="24"/>
                <w:szCs w:val="22"/>
                <w:vertAlign w:val="subscript"/>
                <w14:textFill>
                  <w14:solidFill>
                    <w14:schemeClr w14:val="tx1"/>
                  </w14:solidFill>
                </w14:textFill>
              </w:rPr>
              <w:t>3</w:t>
            </w:r>
            <w:r>
              <w:rPr>
                <w:rFonts w:hint="default" w:ascii="Times New Roman" w:hAnsi="Times New Roman" w:cs="Times New Roman" w:eastAsiaTheme="minorEastAsia"/>
                <w:snapToGrid w:val="0"/>
                <w:color w:val="000000" w:themeColor="text1"/>
                <w:kern w:val="0"/>
                <w:sz w:val="24"/>
                <w14:textFill>
                  <w14:solidFill>
                    <w14:schemeClr w14:val="tx1"/>
                  </w14:solidFill>
                </w14:textFill>
              </w:rPr>
              <w:t>-N，在好氧条件下，由于亚硝酸盐和硝酸菌的作用，氧化生成亚硝酸氮(NO</w:t>
            </w:r>
            <w:r>
              <w:rPr>
                <w:rFonts w:hint="default" w:ascii="Times New Roman" w:hAnsi="Times New Roman" w:cs="Times New Roman" w:eastAsiaTheme="minorEastAsia"/>
                <w:snapToGrid w:val="0"/>
                <w:color w:val="000000" w:themeColor="text1"/>
                <w:kern w:val="0"/>
                <w:sz w:val="24"/>
                <w:vertAlign w:val="subscript"/>
                <w14:textFill>
                  <w14:solidFill>
                    <w14:schemeClr w14:val="tx1"/>
                  </w14:solidFill>
                </w14:textFill>
              </w:rPr>
              <w:t>2</w:t>
            </w:r>
            <w:r>
              <w:rPr>
                <w:rFonts w:hint="default" w:ascii="Times New Roman" w:hAnsi="Times New Roman" w:cs="Times New Roman" w:eastAsiaTheme="minorEastAsia"/>
                <w:snapToGrid w:val="0"/>
                <w:color w:val="000000" w:themeColor="text1"/>
                <w:kern w:val="0"/>
                <w:sz w:val="24"/>
                <w14:textFill>
                  <w14:solidFill>
                    <w14:schemeClr w14:val="tx1"/>
                  </w14:solidFill>
                </w14:textFill>
              </w:rPr>
              <w:t>-N)和硝酸氮（NO</w:t>
            </w:r>
            <w:r>
              <w:rPr>
                <w:rFonts w:hint="default" w:ascii="Times New Roman" w:hAnsi="Times New Roman" w:cs="Times New Roman" w:eastAsiaTheme="minorEastAsia"/>
                <w:snapToGrid w:val="0"/>
                <w:color w:val="000000" w:themeColor="text1"/>
                <w:kern w:val="0"/>
                <w:sz w:val="24"/>
                <w:vertAlign w:val="subscript"/>
                <w14:textFill>
                  <w14:solidFill>
                    <w14:schemeClr w14:val="tx1"/>
                  </w14:solidFill>
                </w14:textFill>
              </w:rPr>
              <w:t>3</w:t>
            </w:r>
            <w:r>
              <w:rPr>
                <w:rFonts w:hint="default" w:ascii="Times New Roman" w:hAnsi="Times New Roman" w:cs="Times New Roman" w:eastAsiaTheme="minorEastAsia"/>
                <w:snapToGrid w:val="0"/>
                <w:color w:val="000000" w:themeColor="text1"/>
                <w:kern w:val="0"/>
                <w:sz w:val="24"/>
                <w14:textFill>
                  <w14:solidFill>
                    <w14:schemeClr w14:val="tx1"/>
                  </w14:solidFill>
                </w14:textFill>
              </w:rPr>
              <w:t>-N），称为硝化过程。影响硝化过程的主要因素有：污泥、pH、温度及溶解氧。</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eastAsiaTheme="minorEastAsia"/>
                <w:snapToGrid w:val="0"/>
                <w:color w:val="000000" w:themeColor="text1"/>
                <w:kern w:val="0"/>
                <w:sz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14:textFill>
                  <w14:solidFill>
                    <w14:schemeClr w14:val="tx1"/>
                  </w14:solidFill>
                </w14:textFill>
              </w:rPr>
              <w:t>在缺氧条件下，由于兼性脱氮菌的作用，在氢供给体充分的条件下，将NO</w:t>
            </w:r>
            <w:r>
              <w:rPr>
                <w:rFonts w:hint="default" w:ascii="Times New Roman" w:hAnsi="Times New Roman" w:cs="Times New Roman" w:eastAsiaTheme="minorEastAsia"/>
                <w:snapToGrid w:val="0"/>
                <w:color w:val="000000" w:themeColor="text1"/>
                <w:kern w:val="0"/>
                <w:sz w:val="24"/>
                <w:vertAlign w:val="subscript"/>
                <w14:textFill>
                  <w14:solidFill>
                    <w14:schemeClr w14:val="tx1"/>
                  </w14:solidFill>
                </w14:textFill>
              </w:rPr>
              <w:t>2</w:t>
            </w:r>
            <w:r>
              <w:rPr>
                <w:rFonts w:hint="default" w:ascii="Times New Roman" w:hAnsi="Times New Roman" w:cs="Times New Roman" w:eastAsiaTheme="minorEastAsia"/>
                <w:snapToGrid w:val="0"/>
                <w:color w:val="000000" w:themeColor="text1"/>
                <w:kern w:val="0"/>
                <w:sz w:val="24"/>
                <w14:textFill>
                  <w14:solidFill>
                    <w14:schemeClr w14:val="tx1"/>
                  </w14:solidFill>
                </w14:textFill>
              </w:rPr>
              <w:t>-N 和NO</w:t>
            </w:r>
            <w:r>
              <w:rPr>
                <w:rFonts w:hint="default" w:ascii="Times New Roman" w:hAnsi="Times New Roman" w:cs="Times New Roman" w:eastAsiaTheme="minorEastAsia"/>
                <w:snapToGrid w:val="0"/>
                <w:color w:val="000000" w:themeColor="text1"/>
                <w:kern w:val="0"/>
                <w:sz w:val="24"/>
                <w:vertAlign w:val="subscript"/>
                <w14:textFill>
                  <w14:solidFill>
                    <w14:schemeClr w14:val="tx1"/>
                  </w14:solidFill>
                </w14:textFill>
              </w:rPr>
              <w:t>3</w:t>
            </w:r>
            <w:r>
              <w:rPr>
                <w:rFonts w:hint="default" w:ascii="Times New Roman" w:hAnsi="Times New Roman" w:cs="Times New Roman" w:eastAsiaTheme="minorEastAsia"/>
                <w:snapToGrid w:val="0"/>
                <w:color w:val="000000" w:themeColor="text1"/>
                <w:kern w:val="0"/>
                <w:sz w:val="24"/>
                <w14:textFill>
                  <w14:solidFill>
                    <w14:schemeClr w14:val="tx1"/>
                  </w14:solidFill>
                </w14:textFill>
              </w:rPr>
              <w:t>-N 还原成N</w:t>
            </w:r>
            <w:r>
              <w:rPr>
                <w:rFonts w:hint="default" w:ascii="Times New Roman" w:hAnsi="Times New Roman" w:cs="Times New Roman" w:eastAsiaTheme="minorEastAsia"/>
                <w:snapToGrid w:val="0"/>
                <w:color w:val="000000" w:themeColor="text1"/>
                <w:kern w:val="0"/>
                <w:sz w:val="24"/>
                <w:vertAlign w:val="subscript"/>
                <w14:textFill>
                  <w14:solidFill>
                    <w14:schemeClr w14:val="tx1"/>
                  </w14:solidFill>
                </w14:textFill>
              </w:rPr>
              <w:t>2</w:t>
            </w:r>
            <w:r>
              <w:rPr>
                <w:rFonts w:hint="default" w:ascii="Times New Roman" w:hAnsi="Times New Roman" w:cs="Times New Roman" w:eastAsiaTheme="minorEastAsia"/>
                <w:snapToGrid w:val="0"/>
                <w:color w:val="000000" w:themeColor="text1"/>
                <w:kern w:val="0"/>
                <w:sz w:val="24"/>
                <w14:textFill>
                  <w14:solidFill>
                    <w14:schemeClr w14:val="tx1"/>
                  </w14:solidFill>
                </w14:textFill>
              </w:rPr>
              <w:t>，排入空气中，同时有机物分解，称为脱硝过程，最后达到脱氮。影响脱硝的主要因素有：适当的缺氧条件、氢供给体（有机碳源）、pH、温度等。</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eastAsiaTheme="minorEastAsia"/>
                <w:snapToGrid w:val="0"/>
                <w:color w:val="000000" w:themeColor="text1"/>
                <w:kern w:val="0"/>
                <w:sz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14:textFill>
                  <w14:solidFill>
                    <w14:schemeClr w14:val="tx1"/>
                  </w14:solidFill>
                </w14:textFill>
              </w:rPr>
              <w:t>在厌氧池中，由沉淀池回流的活性污泥，一旦处于厌氧状态，其中的磷即以正磷酸盐的形式释放到混合液中，进入好氧池。处于好氧状态时，又将混合液中的正磷酸盐大量吸收到活性污泥中，污水中的含磷量降低。经过二次沉淀固液分离后，将含磷的剩余污泥排出，达到除磷和去除BOD的目的。</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14:textFill>
                  <w14:solidFill>
                    <w14:schemeClr w14:val="tx1"/>
                  </w14:solidFill>
                </w14:textFill>
              </w:rPr>
              <w:t>生物除磷可分为三个阶段，即：细菌的压抑放磷、过度积累和奢量吸收磷。要使磷过度积累和奢量吸收，首先要将细菌细胞置于不利的生活条件（压抑状态）下，使细菌体内积聚的磷释放出来。在A/O系统中，当活性污泥处于短时间的厌氧状态时，贮磷菌把贮存的聚磷酸盐进行分解、提供能量，并大量吸附污水中的BOD、释放磷（聚磷酸盐水解为正磷酸盐），使污水中BOD下降，磷含量提高；在好氧阶段，微生物利用被氧化分解所获得的能量，大量吸附在厌氧阶段释放的磷和原污水中的磷，完成磷的过度积累和最后的奢量吸收，在细胞体内合成聚磷酸盐而存贮起来，从而达到去除BOD和磷的目的。</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②MBR膜生物反应器</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MBR法处理垃圾渗滤液的基本工艺为生化（BIO-REACTOR）+膜（MEMBRANE）。MBR是一种高效的废水处理技术，是生物降解和膜分离的有效结合，首先是通过曝气由污泥将有机物降解，然后通过膜将污泥与水分开。</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MBR 工艺是一种强化的生化处理工艺，它既有生化反应的特点，又有物化工艺的特点，将能被生化降解的污染物质尽可能的通过生化反应去除，不能被生化反应去除的污染物质通过系统内的活性填料吸附去除，从而保证了污染物的去除率。</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在兼氧阶段利用活性填料的吸附及微生物生化协同作用去除难降解有机物；未被降解的污染物仍停留于活性填料上，含有未处理污染物的活性填料通过剩余污泥的形式排除系统外。</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污水进入系统后，首先被吸附在活性填料表面，有毒有害的物质（如酚类物质等）也被吸附在活性填料表面，这样大大减少了有毒有害物质的微生物的毒害作用，从而保证了整个生化系统环境利于微生物的活性。吸附在活性填料表面的污染物质与吸附在活性填料上的微生物形成小的生态系统，微生物通过生化反应对污染物进行降解。由于污染物质都被吸附在活性填料上，因此污染物的水力停留时间转化为固体停留时间，这样污染物的反应时间大大延长，从而将很多不容易降解的物质进行降解。另外 MBR 膜的拦截作用，保证了系统内的转性优势细菌不会流失，保证了生化系统的生物活性。</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MBR 处理工艺特点：</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A、适合处理含有难降解有机物的废水。</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首先活性填料的吸附作用及膜的拦截作用，可以保证在泥龄长的情况下，有效地防止污泥膨胀的发生，即使产生污泥膨胀，也不会造成污泥的流失，另外活性填料比表面积大，有利于微生物的生长附着，这样系统内能保证泥龄长的专性菌的浓度，因为系统内有足够的专性细菌（一般专性细菌世代时间长，需要较长的污泥停留时间），这些细菌能够适应并去除难降解的有机污染物。</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其次由于活性填料强大的吸附作用，来水中的污染物被吸附在活性填料上（形成共体的大小为 100 微米），利用膜的拦截功能，不能随水流出，通过污泥回流可以再回流到生化反应池内进行反应。因此可以把传统生化反应过程中的污染物水力停留时间转变为固体停留时间，达到在有限的水力时间情况下有足够的反应时间将污染物生化降解。</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如果在足够长的反应时间及专性细菌存在的情况下，吸附在活性填料上，仍未被降解的污染物，通过剩余污泥的方式排出系统外。</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B、能够有效地去除水中的氨氮。</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由于活性填料对氨氮具有良好的吸附功能，因此废水中的氨在此生化系统中通常能被硝化至较高的程度，而传统的处理工艺很难达到。</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C、适合处理含有有毒有害物质的废水。</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污水中含有的有毒物质或抑制微生物活性的物质可以被活性填料吸附，减少了这些物质与微生物的接触，从而降低了对微生物的毒害，保证了反应池内微生物的活性。</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D、系统抗冲击性强、灵活性高。</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根据来水中污染物含量的不同，通过对活性生化填料的投加量、活性污泥的浓度选择来保障工艺的最优化和灵活性，针对性的处理各种不同特性的废水。</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E、MBR 工艺中膜系统耐污堵能力强、膜通量高</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膜池内的污泥都被吸附在活性填料上，形成粒径为 100-150um 左右的共体，在膜表面共体之间的孔隙率与单独由菌胶团形成的活性污泥之间的孔隙率相比，大大增加，从而使膜保持较高的膜通量。同时共体相比 MBR 膜 0.04um左右的孔径非常大，因此，有利于减少活性污泥对膜丝的污堵。</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由于活性填料粒径较大，在膜擦洗过程中，活性填料对膜丝表面污泥层的冲刷类似卵石对河床的冲刷，利于将附着在膜丝表面的污泥冲涮下来，从而有利于防止膜的污堵；</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F、去色、除臭效果好</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活性生化填料是卓越的颜色、臭气的吸收器，对于含有一定色度、臭味的工业废水具有极好的吸收效果，使出水清澈透明，处理区域无臭味。</w:t>
            </w:r>
          </w:p>
          <w:p>
            <w:pPr>
              <w:pStyle w:val="2"/>
              <w:keepNext w:val="0"/>
              <w:keepLines w:val="0"/>
              <w:pageBreakBefore w:val="0"/>
              <w:widowControl w:val="0"/>
              <w:numPr>
                <w:ilvl w:val="0"/>
                <w:numId w:val="5"/>
              </w:numPr>
              <w:kinsoku/>
              <w:wordWrap/>
              <w:overflowPunct/>
              <w:topLinePunct w:val="0"/>
              <w:autoSpaceDE/>
              <w:autoSpaceDN/>
              <w:bidi w:val="0"/>
              <w:spacing w:line="520" w:lineRule="exact"/>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产水水质稳定、可直接作为反渗透进水。</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项目渗滤液经 MBR 膜处理后进入超滤、纳滤系统进行处理。超滤技术是一种膜分离技术，是以 0.1～0.5MPa 的压力差为推动力，利用多孔膜的拦截能力，以物理截留的方式，将溶液中的大小不同的物质颗粒分开，从而达到纯化和浓缩、筛分溶液中不同组分的目的。纳滤技术是介于超滤与反渗透之间的一种膜分离技术， 其截留分子量在 80-1000 的范围内，孔径为几纳米。纳滤和超滤可滤除水中的铁锈、泥沙、悬浮物、胶体、细菌、大分子有机物等有害物质。</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③反渗透系统</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反渗透是压力驱动型膜分离技术，其操作压力为1.5~12Mpa，截留组分为0.1~1nm小分子溶质，可以从液体混合物中去除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重金属、</w:t>
            </w:r>
            <w:r>
              <w:rPr>
                <w:rFonts w:hint="default" w:ascii="Times New Roman" w:hAnsi="Times New Roman" w:eastAsia="宋体" w:cs="Times New Roman"/>
                <w:color w:val="000000" w:themeColor="text1"/>
                <w:sz w:val="24"/>
                <w:szCs w:val="24"/>
                <w:lang w:val="en-US"/>
                <w14:textFill>
                  <w14:solidFill>
                    <w14:schemeClr w14:val="tx1"/>
                  </w14:solidFill>
                </w14:textFill>
              </w:rPr>
              <w:t>全部悬浮物、溶解物和胶体。</w:t>
            </w:r>
            <w:r>
              <w:rPr>
                <w:rFonts w:hint="default" w:ascii="Times New Roman" w:hAnsi="Times New Roman" w:cs="Times New Roman"/>
                <w:color w:val="000000" w:themeColor="text1"/>
                <w:sz w:val="24"/>
                <w14:textFill>
                  <w14:solidFill>
                    <w14:schemeClr w14:val="tx1"/>
                  </w14:solidFill>
                </w14:textFill>
              </w:rPr>
              <w:t>反渗透是整个系统的核心处理工艺，是废水是否能达标排放的关键。</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反渗透的分离原理主要是使水溶液能够顺利地通过膜，而其他的化合物则或多或少被膜截留。反渗透的操作压力一般为 1.5～10.5MPa</w:t>
            </w:r>
            <w:r>
              <w:rPr>
                <w:rFonts w:hint="eastAsia"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截留组分为（1～10）x10</w:t>
            </w:r>
            <w:r>
              <w:rPr>
                <w:rFonts w:hint="default" w:ascii="Times New Roman" w:hAnsi="Times New Roman" w:cs="Times New Roman"/>
                <w:color w:val="000000" w:themeColor="text1"/>
                <w:sz w:val="24"/>
                <w:vertAlign w:val="superscript"/>
                <w14:textFill>
                  <w14:solidFill>
                    <w14:schemeClr w14:val="tx1"/>
                  </w14:solidFill>
                </w14:textFill>
              </w:rPr>
              <w:t xml:space="preserve">-10 </w:t>
            </w:r>
            <w:r>
              <w:rPr>
                <w:rFonts w:hint="default" w:ascii="Times New Roman" w:hAnsi="Times New Roman" w:cs="Times New Roman"/>
                <w:color w:val="000000" w:themeColor="text1"/>
                <w:sz w:val="24"/>
                <w14:textFill>
                  <w14:solidFill>
                    <w14:schemeClr w14:val="tx1"/>
                  </w14:solidFill>
                </w14:textFill>
              </w:rPr>
              <w:t>m 的小分子。反渗透装置有如下优点：①自动化程度高②场地利用率高③几乎与进水的种类和浓度无关④发生故障时，启闭和关闭时间短⑤由于采用膜组件结构，容易改建和扩建。</w:t>
            </w:r>
          </w:p>
          <w:p>
            <w:pPr>
              <w:keepNext w:val="0"/>
              <w:keepLines w:val="0"/>
              <w:pageBreakBefore w:val="0"/>
              <w:widowControl w:val="0"/>
              <w:kinsoku/>
              <w:wordWrap/>
              <w:overflowPunct/>
              <w:topLinePunct w:val="0"/>
              <w:autoSpaceDE/>
              <w:autoSpaceDN/>
              <w:bidi w:val="0"/>
              <w:spacing w:line="520" w:lineRule="exact"/>
              <w:ind w:firstLine="480"/>
              <w:textAlignment w:val="auto"/>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SA"/>
                <w14:textFill>
                  <w14:solidFill>
                    <w14:schemeClr w14:val="tx1"/>
                  </w14:solidFill>
                </w14:textFill>
              </w:rPr>
              <w:t>④</w:t>
            </w:r>
            <w:r>
              <w:rPr>
                <w:rFonts w:hint="eastAsia" w:eastAsia="宋体" w:cs="Times New Roman"/>
                <w:snapToGrid w:val="0"/>
                <w:color w:val="000000" w:themeColor="text1"/>
                <w:kern w:val="0"/>
                <w:sz w:val="24"/>
                <w:szCs w:val="24"/>
                <w:lang w:val="en-US" w:eastAsia="zh-CN" w:bidi="ar-SA"/>
                <w14:textFill>
                  <w14:solidFill>
                    <w14:schemeClr w14:val="tx1"/>
                  </w14:solidFill>
                </w14:textFill>
              </w:rPr>
              <w:t>重金属的去除</w:t>
            </w:r>
          </w:p>
          <w:p>
            <w:pPr>
              <w:keepNext w:val="0"/>
              <w:keepLines w:val="0"/>
              <w:pageBreakBefore w:val="0"/>
              <w:widowControl w:val="0"/>
              <w:kinsoku/>
              <w:wordWrap/>
              <w:overflowPunct/>
              <w:topLinePunct w:val="0"/>
              <w:autoSpaceDE/>
              <w:autoSpaceDN/>
              <w:bidi w:val="0"/>
              <w:spacing w:line="520" w:lineRule="exact"/>
              <w:ind w:firstLine="480"/>
              <w:textAlignment w:val="auto"/>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渗滤液中重金属的去除包括微生物去除和膜分离过程的去除。</w:t>
            </w:r>
          </w:p>
          <w:p>
            <w:pPr>
              <w:keepNext w:val="0"/>
              <w:keepLines w:val="0"/>
              <w:pageBreakBefore w:val="0"/>
              <w:widowControl w:val="0"/>
              <w:kinsoku/>
              <w:wordWrap/>
              <w:overflowPunct/>
              <w:topLinePunct w:val="0"/>
              <w:autoSpaceDE/>
              <w:autoSpaceDN/>
              <w:bidi w:val="0"/>
              <w:spacing w:line="520" w:lineRule="exact"/>
              <w:ind w:firstLine="480"/>
              <w:textAlignment w:val="auto"/>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微生物去除废水中重金属的主要机</w:t>
            </w:r>
            <w:r>
              <w:rPr>
                <w:rFonts w:hint="eastAsia" w:eastAsia="宋体" w:cs="Times New Roman"/>
                <w:snapToGrid w:val="0"/>
                <w:color w:val="000000" w:themeColor="text1"/>
                <w:kern w:val="0"/>
                <w:sz w:val="24"/>
                <w:szCs w:val="24"/>
                <w:lang w:val="en-US" w:eastAsia="zh-CN" w:bidi="ar-SA"/>
                <w14:textFill>
                  <w14:solidFill>
                    <w14:schemeClr w14:val="tx1"/>
                  </w14:solidFill>
                </w14:textFill>
              </w:rPr>
              <w:t>是</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利用以</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instrText xml:space="preserve"> HYPERLINK "https://www.baidu.com/s?wd=%E7%A1%AB%E9%85%B8%E7%9B%90%E8%BF%98%E5%8E%9F%E8%8F%8C&amp;tn=SE_PcZhidaonwhc_ngpagmjz&amp;rsv_dl=gh_pc_zhidao" \t "https://zhidao.baidu.com/question/_blank" </w:instrTex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硫酸盐还原菌</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为主的</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instrText xml:space="preserve"> HYPERLINK "https://www.baidu.com/s?wd=%E5%8E%8C%E6%B0%A7%E5%BE%AE%E7%94%9F%E7%89%A9&amp;tn=SE_PcZhidaonwhc_ngpagmjz&amp;rsv_dl=gh_pc_zhidao" \t "https://zhidao.baidu.com/question/_blank" </w:instrTex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厌氧微生物</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将高价的重</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instrText xml:space="preserve"> HYPERLINK "https://www.baidu.com/s?wd=%E9%87%91%E5%B1%9E%E7%A6%BB%E5%AD%90&amp;tn=SE_PcZhidaonwhc_ngpagmjz&amp;rsv_dl=gh_pc_zhidao" \t "https://zhidao.baidu.com/question/_blank" </w:instrTex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金属离子</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还原，再利用S2-与重</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instrText xml:space="preserve"> HYPERLINK "https://www.baidu.com/s?wd=%E9%87%91%E5%B1%9E%E7%A6%BB%E5%AD%90&amp;tn=SE_PcZhidaonwhc_ngpagmjz&amp;rsv_dl=gh_pc_zhidao" \t "https://zhidao.baidu.com/question/_blank" </w:instrTex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金属离子</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生成硫化物沉淀。微生物去除重金属的作用机理还在于微生物表面通常带有负电荷，故对重金属有较强的吸附性。其次，微生物菌群本身还有较强的生物絮凝作用，使废水中的</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instrText xml:space="preserve"> HYPERLINK "https://www.baidu.com/s?wd=%E9%87%91%E5%B1%9E%E7%A1%AB%E5%8C%96%E7%89%A9&amp;tn=SE_PcZhidaonwhc_ngpagmjz&amp;rsv_dl=gh_pc_zhidao" \t "https://zhidao.baidu.com/question/_blank" </w:instrTex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金属硫化物</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得以沉淀。</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instrText xml:space="preserve"> HYPERLINK "https://www.baidu.com/s?wd=%E5%8E%8C%E6%B0%A7%E5%BE%AE%E7%94%9F%E7%89%A9&amp;tn=SE_PcZhidaonwhc_ngpagmjz&amp;rsv_dl=gh_pc_zhidao" \t "https://zhidao.baidu.com/question/_blank" </w:instrTex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厌氧微生物</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对重金属的去除作用是以从污泥中顶替微生物作为代价的，导致</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instrText xml:space="preserve"> HYPERLINK "https://www.baidu.com/s?wd=%E7%94%9F%E7%89%A9%E6%B4%BB%E6%80%A7&amp;tn=SE_PcZhidaonwhc_ngpagmjz&amp;rsv_dl=gh_pc_zhidao" \t "https://zhidao.baidu.com/question/_blank" </w:instrTex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生物活性</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降低，同时发生污泥钙化现象，严重时可能造成</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instrText xml:space="preserve"> HYPERLINK "https://www.baidu.com/s?wd=%E9%A2%97%E7%B2%92%E6%B1%A1%E6%B3%A5&amp;tn=SE_PcZhidaonwhc_ngpagmjz&amp;rsv_dl=gh_pc_zhidao" \t "https://zhidao.baidu.com/question/_blank" </w:instrTex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颗粒污泥</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上浮。</w:t>
            </w:r>
            <w:r>
              <w:rPr>
                <w:rFonts w:hint="eastAsia" w:eastAsia="宋体" w:cs="Times New Roman"/>
                <w:snapToGrid w:val="0"/>
                <w:color w:val="000000" w:themeColor="text1"/>
                <w:kern w:val="0"/>
                <w:sz w:val="24"/>
                <w:szCs w:val="24"/>
                <w:lang w:val="en-US" w:eastAsia="zh-CN" w:bidi="ar-SA"/>
                <w14:textFill>
                  <w14:solidFill>
                    <w14:schemeClr w14:val="tx1"/>
                  </w14:solidFill>
                </w14:textFill>
              </w:rPr>
              <w:t>此阶段，</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溶解性的Cd、Cr、Co、Cu和Pb全部去除，Ca、Fe、Mn和Zn的去除率&gt;94%以上，Mg、P和Ni的去除率分别为36%、79%和68%。由于缺少硫化物与磷化物，沉淀主要以碳酸盐为主，但金属离子优先以硫化物的形式沉淀。</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br w:type="textWrapping"/>
            </w:r>
            <w:r>
              <w:rPr>
                <w:rFonts w:hint="eastAsia" w:eastAsia="宋体" w:cs="Times New Roman"/>
                <w:snapToGrid w:val="0"/>
                <w:color w:val="000000" w:themeColor="text1"/>
                <w:kern w:val="0"/>
                <w:sz w:val="24"/>
                <w:szCs w:val="24"/>
                <w:lang w:val="en-US" w:eastAsia="zh-CN" w:bidi="ar-SA"/>
                <w14:textFill>
                  <w14:solidFill>
                    <w14:schemeClr w14:val="tx1"/>
                  </w14:solidFill>
                </w14:textFill>
              </w:rPr>
              <w:t xml:space="preserve">    </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好氧活性污泥通过沉淀、细胞外多聚物的吸附、胞内吸收等途径对废水中金属离子加以去除。通过对活性污泥系统的金属离子分配，Cd、Ni的去除主要是吸附而不是沉淀。活性污泥对Cd、Cr和Co的去除率较高，而对Ni、Zn的去除率一般都比较低并且变化大，沉淀是一个主要的去除机制。</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br w:type="textWrapping"/>
            </w:r>
            <w:r>
              <w:rPr>
                <w:rFonts w:hint="eastAsia" w:eastAsia="宋体" w:cs="Times New Roman"/>
                <w:snapToGrid w:val="0"/>
                <w:color w:val="000000" w:themeColor="text1"/>
                <w:kern w:val="0"/>
                <w:sz w:val="24"/>
                <w:szCs w:val="24"/>
                <w:lang w:val="en-US" w:eastAsia="zh-CN" w:bidi="ar-SA"/>
                <w14:textFill>
                  <w14:solidFill>
                    <w14:schemeClr w14:val="tx1"/>
                  </w14:solidFill>
                </w14:textFill>
              </w:rPr>
              <w:t xml:space="preserve">    </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纳滤与反渗透技术可以有效地去除渗滤液中的重金属离子，以反渗透的效果最佳，但其操作压力在2MPa以上，建设费用与运行维护费用都很高。采用2级</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instrText xml:space="preserve"> HYPERLINK "https://www.baidu.com/s?wd=%E5%8F%8D%E6%B8%97%E9%80%8F%E8%A3%85%E7%BD%AE&amp;tn=SE_PcZhidaonwhc_ngpagmjz&amp;rsv_dl=gh_pc_zhidao" \t "https://zhidao.baidu.com/question/_blank" </w:instrTex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反渗透装置</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处理渗滤液，重金属的总去除率</w:t>
            </w:r>
            <w:r>
              <w:rPr>
                <w:rFonts w:hint="eastAsia" w:eastAsia="宋体" w:cs="Times New Roman"/>
                <w:snapToGrid w:val="0"/>
                <w:color w:val="000000" w:themeColor="text1"/>
                <w:kern w:val="0"/>
                <w:sz w:val="24"/>
                <w:szCs w:val="24"/>
                <w:lang w:val="en-US" w:eastAsia="zh-CN" w:bidi="ar-SA"/>
                <w14:textFill>
                  <w14:solidFill>
                    <w14:schemeClr w14:val="tx1"/>
                  </w14:solidFill>
                </w14:textFill>
              </w:rPr>
              <w:t>可</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达到98%。</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br w:type="textWrapping"/>
            </w:r>
            <w:r>
              <w:rPr>
                <w:rFonts w:hint="eastAsia" w:eastAsia="宋体" w:cs="Times New Roman"/>
                <w:snapToGrid w:val="0"/>
                <w:color w:val="000000" w:themeColor="text1"/>
                <w:kern w:val="0"/>
                <w:sz w:val="24"/>
                <w:szCs w:val="24"/>
                <w:lang w:val="en-US" w:eastAsia="zh-CN" w:bidi="ar-SA"/>
                <w14:textFill>
                  <w14:solidFill>
                    <w14:schemeClr w14:val="tx1"/>
                  </w14:solidFill>
                </w14:textFill>
              </w:rPr>
              <w:t xml:space="preserve">    </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反渗透处理渗滤液时，</w:t>
            </w:r>
            <w:r>
              <w:rPr>
                <w:rFonts w:hint="default" w:ascii="Times New Roman" w:hAnsi="Times New Roman" w:eastAsia="宋体" w:cs="Times New Roman"/>
                <w:color w:val="000000" w:themeColor="text1"/>
                <w:sz w:val="24"/>
                <w:szCs w:val="24"/>
                <w:lang w:val="en-US"/>
                <w14:textFill>
                  <w14:solidFill>
                    <w14:schemeClr w14:val="tx1"/>
                  </w14:solidFill>
                </w14:textFill>
              </w:rPr>
              <w:t>反渗透是压力驱动型膜分离技术，其操作压力为1.5~12Mpa，截留组分为0.1~1nm小分子溶质，可以从液体混合物中去除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重金属</w:t>
            </w:r>
            <w:r>
              <w:rPr>
                <w:rFonts w:hint="eastAsia"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渗滤液中的有机物浓度对重金属去除的影响与重金属的性质有关。随着有机物浓度的提高Cu</w:t>
            </w:r>
            <w:r>
              <w:rPr>
                <w:rFonts w:hint="eastAsia" w:eastAsia="宋体" w:cs="Times New Roman"/>
                <w:snapToGrid w:val="0"/>
                <w:color w:val="000000" w:themeColor="text1"/>
                <w:kern w:val="0"/>
                <w:sz w:val="24"/>
                <w:szCs w:val="24"/>
                <w:lang w:val="en-US" w:eastAsia="zh-CN" w:bidi="ar-SA"/>
                <w14:textFill>
                  <w14:solidFill>
                    <w14:schemeClr w14:val="tx1"/>
                  </w14:solidFill>
                </w14:textFill>
              </w:rPr>
              <w:t>、As、Hg</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与Zn去除率受到较大的影响，但Cd的去除受到的影响很小，其去除率一直高于99.5%。尽管如此，当操作压力由2MPa提高到5MPa时，Cu</w:t>
            </w:r>
            <w:r>
              <w:rPr>
                <w:rFonts w:hint="eastAsia" w:eastAsia="宋体" w:cs="Times New Roman"/>
                <w:snapToGrid w:val="0"/>
                <w:color w:val="000000" w:themeColor="text1"/>
                <w:kern w:val="0"/>
                <w:sz w:val="24"/>
                <w:szCs w:val="24"/>
                <w:lang w:val="en-US" w:eastAsia="zh-CN" w:bidi="ar-SA"/>
                <w14:textFill>
                  <w14:solidFill>
                    <w14:schemeClr w14:val="tx1"/>
                  </w14:solidFill>
                </w14:textFill>
              </w:rPr>
              <w:t>、Hg</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w:t>
            </w:r>
            <w:r>
              <w:rPr>
                <w:rFonts w:hint="eastAsia" w:eastAsia="宋体" w:cs="Times New Roman"/>
                <w:snapToGrid w:val="0"/>
                <w:color w:val="000000" w:themeColor="text1"/>
                <w:kern w:val="0"/>
                <w:sz w:val="24"/>
                <w:szCs w:val="24"/>
                <w:lang w:val="en-US" w:eastAsia="zh-CN" w:bidi="ar-SA"/>
                <w14:textFill>
                  <w14:solidFill>
                    <w14:schemeClr w14:val="tx1"/>
                  </w14:solidFill>
                </w14:textFill>
              </w:rPr>
              <w:t>As、</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Zn的去除率由96%提高到了98%。</w:t>
            </w:r>
          </w:p>
          <w:p>
            <w:pPr>
              <w:keepNext w:val="0"/>
              <w:keepLines w:val="0"/>
              <w:pageBreakBefore w:val="0"/>
              <w:widowControl w:val="0"/>
              <w:kinsoku/>
              <w:wordWrap/>
              <w:overflowPunct/>
              <w:topLinePunct w:val="0"/>
              <w:autoSpaceDE/>
              <w:autoSpaceDN/>
              <w:bidi w:val="0"/>
              <w:spacing w:line="520" w:lineRule="exact"/>
              <w:ind w:firstLine="48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MBR 系统出水经UF清</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水池提升泵进入反渗透处理系统。处理系统包括酸加药系统、阻垢剂加药系统、碱加药系统、芯式过滤器、高压泵、RO装置、化学清洗系统等。RO膜系统前设置保安过滤器，由于渗滤液中含有较多的结垢离子，所以在 RO进水前加酸调整 pH 值，防止碳酸盐结垢。由于原水中钙、镁、钡等易结垢离子和硅酸盐的含量仍然较高，所以根据实际水质情况在保安过滤器前加入一定量的阻垢剂防止硅垢及硫酸盐结垢现象的发生。工艺流程见图</w:t>
            </w:r>
            <w:r>
              <w:rPr>
                <w:rFonts w:hint="eastAsia" w:cs="Times New Roman" w:eastAsiaTheme="minorEastAsia"/>
                <w:color w:val="000000" w:themeColor="text1"/>
                <w:sz w:val="24"/>
                <w:szCs w:val="24"/>
                <w:lang w:val="en-US" w:eastAsia="zh-CN"/>
                <w14:textFill>
                  <w14:solidFill>
                    <w14:schemeClr w14:val="tx1"/>
                  </w14:solidFill>
                </w14:textFill>
              </w:rPr>
              <w:t>13。</w:t>
            </w:r>
          </w:p>
          <w:p>
            <w:pPr>
              <w:widowControl/>
              <w:bidi w:val="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INCLUDEPICTURE "C:\\Documents and Settings\\Administrator\\Application Data\\Application Data\\Microsoft\\Application Data\\Tencent\\Users\\12457245\\QQ\\WinTemp\\RichOle\\$S@}GX]CVBZ{]5{MYETN9`5.jpg"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kern w:val="0"/>
                <w:sz w:val="24"/>
                <w14:textFill>
                  <w14:solidFill>
                    <w14:schemeClr w14:val="tx1"/>
                  </w14:solidFill>
                </w14:textFill>
              </w:rPr>
              <w:drawing>
                <wp:inline distT="0" distB="0" distL="114300" distR="114300">
                  <wp:extent cx="5257800" cy="2657475"/>
                  <wp:effectExtent l="0" t="0" r="0" b="952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0"/>
                          <a:stretch>
                            <a:fillRect/>
                          </a:stretch>
                        </pic:blipFill>
                        <pic:spPr>
                          <a:xfrm>
                            <a:off x="0" y="0"/>
                            <a:ext cx="5257800" cy="2657475"/>
                          </a:xfrm>
                          <a:prstGeom prst="rect">
                            <a:avLst/>
                          </a:prstGeom>
                          <a:noFill/>
                          <a:ln>
                            <a:noFill/>
                          </a:ln>
                        </pic:spPr>
                      </pic:pic>
                    </a:graphicData>
                  </a:graphic>
                </wp:inline>
              </w:drawing>
            </w:r>
            <w:r>
              <w:rPr>
                <w:rFonts w:hint="default" w:ascii="Times New Roman" w:hAnsi="Times New Roman" w:cs="Times New Roman"/>
                <w:color w:val="000000" w:themeColor="text1"/>
                <w14:textFill>
                  <w14:solidFill>
                    <w14:schemeClr w14:val="tx1"/>
                  </w14:solidFill>
                </w14:textFill>
              </w:rPr>
              <w:fldChar w:fldCharType="end"/>
            </w:r>
          </w:p>
          <w:p>
            <w:pPr>
              <w:autoSpaceDE w:val="0"/>
              <w:autoSpaceDN w:val="0"/>
              <w:bidi w:val="0"/>
              <w:adjustRightInd w:val="0"/>
              <w:spacing w:before="64"/>
              <w:ind w:right="-20"/>
              <w:jc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14:textFill>
                  <w14:solidFill>
                    <w14:schemeClr w14:val="tx1"/>
                  </w14:solidFill>
                </w14:textFill>
              </w:rPr>
              <w:t>图</w:t>
            </w:r>
            <w:r>
              <w:rPr>
                <w:rFonts w:hint="eastAsia" w:cs="Times New Roman" w:eastAsiaTheme="minorEastAsia"/>
                <w:b/>
                <w:color w:val="000000" w:themeColor="text1"/>
                <w:kern w:val="0"/>
                <w:sz w:val="21"/>
                <w:szCs w:val="21"/>
                <w:lang w:val="en-US" w:eastAsia="zh-CN"/>
                <w14:textFill>
                  <w14:solidFill>
                    <w14:schemeClr w14:val="tx1"/>
                  </w14:solidFill>
                </w14:textFill>
              </w:rPr>
              <w:t>13</w:t>
            </w:r>
            <w:r>
              <w:rPr>
                <w:rFonts w:hint="default" w:ascii="Times New Roman" w:hAnsi="Times New Roman" w:cs="Times New Roman" w:eastAsiaTheme="minorEastAsia"/>
                <w:b/>
                <w:color w:val="000000" w:themeColor="text1"/>
                <w:kern w:val="0"/>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kern w:val="0"/>
                <w:sz w:val="21"/>
                <w:szCs w:val="21"/>
                <w14:textFill>
                  <w14:solidFill>
                    <w14:schemeClr w14:val="tx1"/>
                  </w14:solidFill>
                </w14:textFill>
              </w:rPr>
              <w:t>反渗透系统工艺流程图</w:t>
            </w:r>
          </w:p>
          <w:p>
            <w:pPr>
              <w:autoSpaceDE w:val="0"/>
              <w:autoSpaceDN w:val="0"/>
              <w:bidi w:val="0"/>
              <w:adjustRightInd w:val="0"/>
              <w:spacing w:before="64"/>
              <w:ind w:right="-20"/>
              <w:jc w:val="left"/>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w:t>
            </w:r>
            <w:r>
              <w:rPr>
                <w:rFonts w:hint="default" w:ascii="Times New Roman" w:hAnsi="Times New Roman" w:eastAsia="宋体" w:cs="Times New Roman"/>
                <w:color w:val="000000" w:themeColor="text1"/>
                <w:sz w:val="24"/>
                <w:szCs w:val="24"/>
                <w14:textFill>
                  <w14:solidFill>
                    <w14:schemeClr w14:val="tx1"/>
                  </w14:solidFill>
                </w14:textFill>
              </w:rPr>
              <w:t>反硝化、硝化、MBR膜系统和反渗透系统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，可达到</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对</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渗滤液中</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重金属去除效果。</w:t>
            </w:r>
            <w:r>
              <w:rPr>
                <w:rFonts w:hint="eastAsia" w:cs="Times New Roman" w:eastAsiaTheme="minorEastAsia"/>
                <w:color w:val="000000" w:themeColor="text1"/>
                <w:sz w:val="24"/>
                <w:szCs w:val="24"/>
                <w:lang w:val="en-US" w:eastAsia="zh-CN"/>
                <w14:textFill>
                  <w14:solidFill>
                    <w14:schemeClr w14:val="tx1"/>
                  </w14:solidFill>
                </w14:textFill>
              </w:rPr>
              <w:t>去除效率见表17。</w:t>
            </w:r>
          </w:p>
          <w:p>
            <w:pPr>
              <w:pStyle w:val="2"/>
              <w:rPr>
                <w:rFonts w:hint="default" w:ascii="Times New Roman" w:hAnsi="Times New Roman" w:cs="Times New Roman" w:eastAsiaTheme="minorEastAsia"/>
                <w:b/>
                <w:color w:val="000000" w:themeColor="text1"/>
                <w:kern w:val="0"/>
                <w:sz w:val="21"/>
                <w:szCs w:val="21"/>
                <w:lang w:val="en-US" w:eastAsia="zh-CN"/>
                <w14:textFill>
                  <w14:solidFill>
                    <w14:schemeClr w14:val="tx1"/>
                  </w14:solidFill>
                </w14:textFill>
              </w:rPr>
            </w:pPr>
            <w:r>
              <w:rPr>
                <w:rFonts w:hint="eastAsia" w:cs="Times New Roman" w:eastAsiaTheme="minorEastAsia"/>
                <w:b/>
                <w:color w:val="000000" w:themeColor="text1"/>
                <w:kern w:val="0"/>
                <w:sz w:val="21"/>
                <w:szCs w:val="21"/>
                <w:lang w:val="en-US" w:eastAsia="zh-CN"/>
                <w14:textFill>
                  <w14:solidFill>
                    <w14:schemeClr w14:val="tx1"/>
                  </w14:solidFill>
                </w14:textFill>
              </w:rPr>
              <w:t>表17  重金属去除效率表</w:t>
            </w:r>
          </w:p>
          <w:tbl>
            <w:tblPr>
              <w:tblStyle w:val="32"/>
              <w:tblW w:w="88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955"/>
              <w:gridCol w:w="1157"/>
              <w:gridCol w:w="917"/>
              <w:gridCol w:w="1398"/>
              <w:gridCol w:w="1155"/>
              <w:gridCol w:w="1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eastAsia"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重金属</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总汞</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总镉</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总铬</w:t>
                  </w:r>
                </w:p>
              </w:tc>
              <w:tc>
                <w:tcPr>
                  <w:tcW w:w="1398"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六价铬</w:t>
                  </w:r>
                </w:p>
              </w:tc>
              <w:tc>
                <w:tcPr>
                  <w:tcW w:w="11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总砷</w:t>
                  </w:r>
                </w:p>
              </w:tc>
              <w:tc>
                <w:tcPr>
                  <w:tcW w:w="1410"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总铅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进水水质</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0.26</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＜0.03</w:t>
                  </w:r>
                </w:p>
              </w:tc>
              <w:tc>
                <w:tcPr>
                  <w:tcW w:w="1398"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＜0.004</w:t>
                  </w:r>
                </w:p>
              </w:tc>
              <w:tc>
                <w:tcPr>
                  <w:tcW w:w="11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p>
              </w:tc>
              <w:tc>
                <w:tcPr>
                  <w:tcW w:w="1410"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出水水质</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0.001</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0.01</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0.1</w:t>
                  </w:r>
                </w:p>
              </w:tc>
              <w:tc>
                <w:tcPr>
                  <w:tcW w:w="1398"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0.05</w:t>
                  </w:r>
                </w:p>
              </w:tc>
              <w:tc>
                <w:tcPr>
                  <w:tcW w:w="11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0.1</w:t>
                  </w:r>
                </w:p>
              </w:tc>
              <w:tc>
                <w:tcPr>
                  <w:tcW w:w="1410"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1904"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去除效率</w:t>
                  </w:r>
                </w:p>
              </w:tc>
              <w:tc>
                <w:tcPr>
                  <w:tcW w:w="9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99.6%</w:t>
                  </w:r>
                </w:p>
              </w:tc>
              <w:tc>
                <w:tcPr>
                  <w:tcW w:w="115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99%</w:t>
                  </w:r>
                </w:p>
              </w:tc>
              <w:tc>
                <w:tcPr>
                  <w:tcW w:w="917"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w:t>
                  </w:r>
                </w:p>
              </w:tc>
              <w:tc>
                <w:tcPr>
                  <w:tcW w:w="1398"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w:t>
                  </w:r>
                </w:p>
              </w:tc>
              <w:tc>
                <w:tcPr>
                  <w:tcW w:w="1155"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66.7%</w:t>
                  </w:r>
                </w:p>
              </w:tc>
              <w:tc>
                <w:tcPr>
                  <w:tcW w:w="1410" w:type="dxa"/>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99%</w:t>
                  </w:r>
                </w:p>
              </w:tc>
            </w:tr>
          </w:tbl>
          <w:p>
            <w:pPr>
              <w:pStyle w:val="2"/>
              <w:keepNext w:val="0"/>
              <w:keepLines w:val="0"/>
              <w:pageBreakBefore w:val="0"/>
              <w:widowControl w:val="0"/>
              <w:kinsoku/>
              <w:wordWrap/>
              <w:overflowPunct/>
              <w:topLinePunct w:val="0"/>
              <w:autoSpaceDE/>
              <w:autoSpaceDN/>
              <w:bidi w:val="0"/>
              <w:spacing w:line="520" w:lineRule="exact"/>
              <w:jc w:val="both"/>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cs="Times New Roman" w:eastAsiaTheme="minorEastAsia"/>
                <w:b/>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14:textFill>
                  <w14:solidFill>
                    <w14:schemeClr w14:val="tx1"/>
                  </w14:solidFill>
                </w14:textFill>
              </w:rPr>
              <w:t>通过以上可知，本项目渗滤液处理工艺属于</w:t>
            </w:r>
            <w:r>
              <w:rPr>
                <w:rFonts w:hint="eastAsia"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14:textFill>
                  <w14:solidFill>
                    <w14:schemeClr w14:val="tx1"/>
                  </w14:solidFill>
                </w14:textFill>
              </w:rPr>
              <w:t>预处理+生物处理+深度处理</w:t>
            </w:r>
            <w:r>
              <w:rPr>
                <w:rFonts w:hint="eastAsia"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14:textFill>
                  <w14:solidFill>
                    <w14:schemeClr w14:val="tx1"/>
                  </w14:solidFill>
                </w14:textFill>
              </w:rPr>
              <w:t>组合工艺，与</w:t>
            </w:r>
            <w:r>
              <w:rPr>
                <w:rFonts w:hint="default" w:ascii="Times New Roman" w:hAnsi="Times New Roman" w:eastAsia="宋体" w:cs="Times New Roman"/>
                <w:color w:val="000000" w:themeColor="text1"/>
                <w:sz w:val="24"/>
                <w:szCs w:val="24"/>
                <w14:textFill>
                  <w14:solidFill>
                    <w14:schemeClr w14:val="tx1"/>
                  </w14:solidFill>
                </w14:textFill>
              </w:rPr>
              <w:t>《生活垃圾填埋场渗滤液处理工程技术规范（试行）》（HJ564-2010）中要求的处理工艺一致；《生活垃圾填埋场污染控制标准》（GB16889-2008）9.1.3规定：2011年7月1日起，现有全部生活垃圾填埋场应自行处理垃圾渗滤液并执行表2规定的水污染物排放浓度限值，本项目与该标准要求一致。故本项目渗滤液处理工艺较为可行。</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（2）浓缩液处理及可行性</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渗滤液在</w:t>
            </w:r>
            <w:r>
              <w:rPr>
                <w:rFonts w:hint="default" w:ascii="Times New Roman" w:hAnsi="Times New Roman" w:eastAsia="宋体" w:cs="Times New Roman"/>
                <w:color w:val="000000" w:themeColor="text1"/>
                <w:sz w:val="24"/>
                <w:szCs w:val="24"/>
                <w14:textFill>
                  <w14:solidFill>
                    <w14:schemeClr w14:val="tx1"/>
                  </w14:solidFill>
                </w14:textFill>
              </w:rPr>
              <w:t>反渗透系统环节会产生浓缩液。根据徐睿枫发表的《应用于水处理的反渗透浓缩液处理和资源化技术综述》学术研究中可知，浓缩液处理方法主要包括Fention法、混凝-吸附法、膜法、蒸发法、浓缩液回灌和海水淡化浓缩液再利用等。其中，明确了浓缩液回灌是一种较为有效的填埋场内浓缩液的处理方案。通过回灌，不仅可降低浓缩液的污染物浓度，还可以因回灌过程中挥发等作用而减少渗滤液的产生量，对渗滤液水量和水质起到稳定化作用，有利于废水处理系统的运行。</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垃圾填埋场是一个用垃圾作为填料的准好氧生物反应器，垃圾表面有很多菌胶团，吸附降解水中的有机物。垃圾分解过程是一个非常复杂的生物、化学和物理过程，其一部分中间产物形成填埋气排出垃圾场，另一部分被渗入的雨水冲刷、溶解，经过收集系统排出，产生了渗沥液。</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渗沥液回灌是让已经流出的中间产物再回到其生物反应的过程中，继续参与生物降解。因此，回灌处理从本质上讲是延续了填埋场的降解过程，不会对垃圾场产生不利的影响。大量的研究资料表明，渗沥液回灌对 COD 的削减非常明显，利于垃圾场内水分和营养物质的均衡分布，缩短垃圾场的稳定时间。</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另外，浓缩液处理中的Fention法、混凝-吸附法、膜法、蒸发法和海水淡化浓缩液再利用等方法在本项目不具备相关条件，同时成本较高，</w:t>
            </w:r>
            <w:r>
              <w:rPr>
                <w:rFonts w:hint="eastAsia" w:eastAsia="宋体" w:cs="Times New Roman"/>
                <w:color w:val="000000" w:themeColor="text1"/>
                <w:sz w:val="24"/>
                <w:szCs w:val="24"/>
                <w:lang w:val="en-US" w:eastAsia="zh-CN"/>
                <w14:textFill>
                  <w14:solidFill>
                    <w14:schemeClr w14:val="tx1"/>
                  </w14:solidFill>
                </w14:textFill>
              </w:rPr>
              <w:t>且项目区所在地蒸发量较大，</w:t>
            </w:r>
            <w:r>
              <w:rPr>
                <w:rFonts w:hint="default" w:ascii="Times New Roman" w:hAnsi="Times New Roman" w:eastAsia="宋体" w:cs="Times New Roman"/>
                <w:color w:val="000000" w:themeColor="text1"/>
                <w:sz w:val="24"/>
                <w:szCs w:val="24"/>
                <w14:textFill>
                  <w14:solidFill>
                    <w14:schemeClr w14:val="tx1"/>
                  </w14:solidFill>
                </w14:textFill>
              </w:rPr>
              <w:t>故根据实际情况，本项目浓缩液回灌至填埋场内是较为可行的。</w:t>
            </w:r>
          </w:p>
          <w:p>
            <w:pPr>
              <w:keepNext w:val="0"/>
              <w:keepLines w:val="0"/>
              <w:pageBreakBefore w:val="0"/>
              <w:widowControl w:val="0"/>
              <w:kinsoku/>
              <w:wordWrap/>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）冬季渗滤液储存的合理性</w:t>
            </w:r>
          </w:p>
          <w:p>
            <w:pPr>
              <w:pStyle w:val="2"/>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根据建设单位提供的资料，现阶段夏季垃圾填埋场渗滤液约6.0m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/d，冬季垃圾填埋场渗滤液</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可通过关闭闸阀不排出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，二期工程于2018年11月建成，新增有效库容30.2万m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，预计二期与一期填埋的垃圾性质类似，渗滤液量基本一致。冬季停产120天，垃圾填埋场渗滤液</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可通过关闭闸阀不排出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，若排出，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根据估算冬季渗滤液量约为</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4.46m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8"/>
                <w:sz w:val="24"/>
                <w:szCs w:val="24"/>
                <w:lang w:val="en-US" w:eastAsia="zh-CN"/>
                <w14:textFill>
                  <w14:solidFill>
                    <w14:schemeClr w14:val="tx1"/>
                  </w14:solidFill>
                </w14:textFill>
              </w:rPr>
              <w:t>/d，冬季渗滤液总量约为536m</w:t>
            </w:r>
            <w:r>
              <w:rPr>
                <w:rFonts w:hint="default" w:ascii="Times New Roman" w:hAnsi="Times New Roman" w:eastAsia="宋体" w:cs="Times New Roman"/>
                <w:color w:val="000000" w:themeColor="text1"/>
                <w:kern w:val="28"/>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8"/>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渗滤液处理厂</w:t>
            </w:r>
            <w:r>
              <w:rPr>
                <w:rFonts w:hint="default" w:ascii="Times New Roman" w:hAnsi="Times New Roman" w:cs="Times New Roman" w:eastAsiaTheme="minorEastAsia"/>
                <w:color w:val="000000" w:themeColor="text1"/>
                <w:kern w:val="28"/>
                <w:sz w:val="24"/>
                <w:szCs w:val="24"/>
                <w:lang w:val="en-US" w:eastAsia="zh-CN"/>
                <w14:textFill>
                  <w14:solidFill>
                    <w14:schemeClr w14:val="tx1"/>
                  </w14:solidFill>
                </w14:textFill>
              </w:rPr>
              <w:t>现有</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收集</w:t>
            </w:r>
            <w:r>
              <w:rPr>
                <w:rFonts w:hint="default" w:ascii="Times New Roman" w:hAnsi="Times New Roman" w:cs="Times New Roman" w:eastAsiaTheme="minorEastAsia"/>
                <w:color w:val="000000" w:themeColor="text1"/>
                <w:sz w:val="24"/>
                <w14:textFill>
                  <w14:solidFill>
                    <w14:schemeClr w14:val="tx1"/>
                  </w14:solidFill>
                </w14:textFill>
              </w:rPr>
              <w:t>池</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72</w:t>
            </w:r>
            <w:r>
              <w:rPr>
                <w:rFonts w:hint="default" w:ascii="Times New Roman" w:hAnsi="Times New Roman" w:cs="Times New Roman" w:eastAsiaTheme="minorEastAsia"/>
                <w:color w:val="000000" w:themeColor="text1"/>
                <w:sz w:val="24"/>
                <w14:textFill>
                  <w14:solidFill>
                    <w14:schemeClr w14:val="tx1"/>
                  </w14:solidFill>
                </w14:textFill>
              </w:rPr>
              <w:t>0m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能够满足渗滤液</w:t>
            </w:r>
            <w:r>
              <w:rPr>
                <w:rFonts w:hint="default" w:ascii="Times New Roman" w:hAnsi="Times New Roman" w:cs="Times New Roman" w:eastAsiaTheme="minorEastAsia"/>
                <w:color w:val="000000" w:themeColor="text1"/>
                <w:kern w:val="28"/>
                <w:sz w:val="24"/>
                <w:szCs w:val="24"/>
                <w:lang w:val="en-US" w:eastAsia="zh-CN"/>
                <w14:textFill>
                  <w14:solidFill>
                    <w14:schemeClr w14:val="tx1"/>
                  </w14:solidFill>
                </w14:textFill>
              </w:rPr>
              <w:t>冬季存储</w:t>
            </w:r>
            <w:r>
              <w:rPr>
                <w:rFonts w:hint="default" w:ascii="Times New Roman" w:hAnsi="Times New Roman" w:cs="Times New Roman" w:eastAsiaTheme="minorEastAsia"/>
                <w:color w:val="000000" w:themeColor="text1"/>
                <w:kern w:val="28"/>
                <w:sz w:val="24"/>
                <w:szCs w:val="24"/>
                <w:lang w:val="en-US"/>
                <w14:textFill>
                  <w14:solidFill>
                    <w14:schemeClr w14:val="tx1"/>
                  </w14:solidFill>
                </w14:textFill>
              </w:rPr>
              <w:t>需求</w:t>
            </w:r>
            <w:r>
              <w:rPr>
                <w:rFonts w:hint="default" w:ascii="Times New Roman" w:hAnsi="Times New Roman" w:cs="Times New Roman" w:eastAsiaTheme="minorEastAsia"/>
                <w:color w:val="000000" w:themeColor="text1"/>
                <w:kern w:val="28"/>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）生物菌种活性保障性</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冬季由于气温降低会影响细菌的活性，降低污水处理效率。温度是一个重要的生态因子，是影响微生物生长与存活的最重要因素之一，对生物个体的生长、繁殖、新陈代谢及生物种群分布和种群数量起着决定作用。</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新疆作为我国西北寒冷地区，冬季气候寒冷，对微生物的生长、繁殖十分不利。本项目所在的</w:t>
            </w:r>
            <w:r>
              <w:rPr>
                <w:rFonts w:hint="eastAsia" w:eastAsia="宋体" w:cs="Times New Roman"/>
                <w:snapToGrid w:val="0"/>
                <w:color w:val="000000" w:themeColor="text1"/>
                <w:kern w:val="0"/>
                <w:sz w:val="24"/>
                <w:szCs w:val="24"/>
                <w:lang w:val="en-US" w:eastAsia="zh-CN" w:bidi="ar-SA"/>
                <w14:textFill>
                  <w14:solidFill>
                    <w14:schemeClr w14:val="tx1"/>
                  </w14:solidFill>
                </w14:textFill>
              </w:rPr>
              <w:t>玛纳斯县</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属属典型的大陆性干旱气候，年平均气温</w:t>
            </w:r>
            <w:r>
              <w:rPr>
                <w:rFonts w:hint="default" w:ascii="Times New Roman" w:hAnsi="Times New Roman" w:eastAsia="宋体" w:cs="Times New Roman"/>
                <w:color w:val="000000" w:themeColor="text1"/>
                <w:sz w:val="24"/>
                <w:szCs w:val="24"/>
                <w14:textFill>
                  <w14:solidFill>
                    <w14:schemeClr w14:val="tx1"/>
                  </w14:solidFill>
                </w14:textFill>
              </w:rPr>
              <w:t>2.9℃～6.8℃</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，冬季</w:t>
            </w:r>
          </w:p>
          <w:p>
            <w:pPr>
              <w:keepNext w:val="0"/>
              <w:keepLines w:val="0"/>
              <w:pageBreakBefore w:val="0"/>
              <w:widowControl w:val="0"/>
              <w:kinsoku/>
              <w:wordWrap/>
              <w:overflowPunct/>
              <w:topLinePunct w:val="0"/>
              <w:autoSpaceDE/>
              <w:autoSpaceDN/>
              <w:bidi w:val="0"/>
              <w:spacing w:line="520" w:lineRule="exact"/>
              <w:textAlignment w:val="auto"/>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极端最低气温-</w:t>
            </w:r>
            <w:r>
              <w:rPr>
                <w:rFonts w:hint="default" w:ascii="Times New Roman" w:hAnsi="Times New Roman" w:eastAsia="宋体" w:cs="Times New Roman"/>
                <w:color w:val="000000" w:themeColor="text1"/>
                <w:sz w:val="24"/>
                <w:szCs w:val="24"/>
                <w14:textFill>
                  <w14:solidFill>
                    <w14:schemeClr w14:val="tx1"/>
                  </w14:solidFill>
                </w14:textFill>
              </w:rPr>
              <w:t>-38.0～-42.8℃</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，所以在污水处理工程设计、评价过程中，有必要对冬季污水生物处理低温运行的情况进行讨论，以确保污水处理厂在冬季不利情况下出水水质达标。</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国外许多学者曾对污水生物处理低温运行做过许多试验和探讨。其中日本的桥本桨进行了各种试验</w:t>
            </w:r>
            <w:r>
              <w:rPr>
                <w:rFonts w:hint="eastAsia" w:eastAsia="宋体" w:cs="Times New Roman"/>
                <w:snapToGrid w:val="0"/>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试验采用人工合成污水</w:t>
            </w:r>
            <w:r>
              <w:rPr>
                <w:rFonts w:hint="eastAsia" w:eastAsia="宋体" w:cs="Times New Roman"/>
                <w:snapToGrid w:val="0"/>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，以污泥负荷、污泥泥龄为变量，探讨了COD 去除率与水温的关系。结果表明，在水温为5℃时，COD去除率明显降低。国外研究还表明，不同温度污泥沉淀指数分别为4℃时，SVI=100，19℃时，SVI=98，32℃时，SVI=45，温度将直接影响到污泥沉降性能。当水温从 20℃降到6℃时，细菌种类和数目大大减少。当水温降低至5℃时，污泥中存在鞭毛虫、纤尾虫、真菌和丝状细菌，当出现真菌和丝状细菌时，表明污泥SVI增高，出水水质下降。</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综上所述，水温直接影响到生物处理的出水水质，</w:t>
            </w:r>
            <w:r>
              <w:rPr>
                <w:rFonts w:hint="eastAsia" w:eastAsia="宋体" w:cs="Times New Roman"/>
                <w:snapToGrid w:val="0"/>
                <w:color w:val="000000" w:themeColor="text1"/>
                <w:kern w:val="0"/>
                <w:sz w:val="24"/>
                <w:szCs w:val="24"/>
                <w:lang w:val="en-US" w:eastAsia="zh-CN" w:bidi="ar-SA"/>
                <w14:textFill>
                  <w14:solidFill>
                    <w14:schemeClr w14:val="tx1"/>
                  </w14:solidFill>
                </w14:textFill>
              </w:rPr>
              <w:t>因此</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要污水处理设计参数按最低水温设计并采取一些相应措施。</w:t>
            </w:r>
            <w:r>
              <w:rPr>
                <w:rFonts w:hint="eastAsia" w:cs="Times New Roman" w:eastAsiaTheme="minorEastAsia"/>
                <w:color w:val="000000" w:themeColor="text1"/>
                <w:spacing w:val="1"/>
                <w:kern w:val="0"/>
                <w:sz w:val="24"/>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在硝化池设置冷却系统，冷却系统</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兼</w:t>
            </w:r>
            <w:r>
              <w:rPr>
                <w:rFonts w:hint="default" w:ascii="Times New Roman" w:hAnsi="Times New Roman" w:cs="Times New Roman" w:eastAsiaTheme="minorEastAsia"/>
                <w:color w:val="000000" w:themeColor="text1"/>
                <w:kern w:val="0"/>
                <w:sz w:val="24"/>
                <w14:textFill>
                  <w14:solidFill>
                    <w14:schemeClr w14:val="tx1"/>
                  </w14:solidFill>
                </w14:textFill>
              </w:rPr>
              <w:t>具</w:t>
            </w:r>
            <w:r>
              <w:rPr>
                <w:rFonts w:hint="default" w:ascii="Times New Roman" w:hAnsi="Times New Roman" w:cs="Times New Roman" w:eastAsiaTheme="minorEastAsia"/>
                <w:color w:val="000000" w:themeColor="text1"/>
                <w:spacing w:val="1"/>
                <w:kern w:val="0"/>
                <w:sz w:val="24"/>
                <w14:textFill>
                  <w14:solidFill>
                    <w14:schemeClr w14:val="tx1"/>
                  </w14:solidFill>
                </w14:textFill>
              </w:rPr>
              <w:t>生化池热交换及部分硝化液回流的功能，出</w:t>
            </w:r>
            <w:r>
              <w:rPr>
                <w:rFonts w:hint="default" w:ascii="Times New Roman" w:hAnsi="Times New Roman" w:cs="Times New Roman" w:eastAsiaTheme="minorEastAsia"/>
                <w:color w:val="000000" w:themeColor="text1"/>
                <w:kern w:val="0"/>
                <w:sz w:val="24"/>
                <w14:textFill>
                  <w14:solidFill>
                    <w14:schemeClr w14:val="tx1"/>
                  </w14:solidFill>
                </w14:textFill>
              </w:rPr>
              <w:t>水</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可部分回流至反硝化池。冬</w:t>
            </w:r>
            <w:r>
              <w:rPr>
                <w:rFonts w:hint="default" w:ascii="Times New Roman" w:hAnsi="Times New Roman" w:cs="Times New Roman" w:eastAsiaTheme="minorEastAsia"/>
                <w:color w:val="000000" w:themeColor="text1"/>
                <w:spacing w:val="-1"/>
                <w:kern w:val="0"/>
                <w:sz w:val="24"/>
                <w14:textFill>
                  <w14:solidFill>
                    <w14:schemeClr w14:val="tx1"/>
                  </w14:solidFill>
                </w14:textFill>
              </w:rPr>
              <w:t>季</w:t>
            </w:r>
            <w:r>
              <w:rPr>
                <w:rFonts w:hint="default" w:ascii="Times New Roman" w:hAnsi="Times New Roman" w:cs="Times New Roman" w:eastAsiaTheme="minorEastAsia"/>
                <w:color w:val="000000" w:themeColor="text1"/>
                <w:kern w:val="0"/>
                <w:sz w:val="24"/>
                <w14:textFill>
                  <w14:solidFill>
                    <w14:schemeClr w14:val="tx1"/>
                  </w14:solidFill>
                </w14:textFill>
              </w:rPr>
              <w:t>低温时</w:t>
            </w:r>
            <w:r>
              <w:rPr>
                <w:rFonts w:hint="eastAsia" w:cs="Times New Roman" w:eastAsiaTheme="minorEastAsia"/>
                <w:color w:val="000000" w:themeColor="text1"/>
                <w:kern w:val="0"/>
                <w:sz w:val="24"/>
                <w:lang w:val="en-US" w:eastAsia="zh-CN"/>
                <w14:textFill>
                  <w14:solidFill>
                    <w14:schemeClr w14:val="tx1"/>
                  </w14:solidFill>
                </w14:textFill>
              </w:rPr>
              <w:t>密闭加盖保温，</w:t>
            </w:r>
            <w:r>
              <w:rPr>
                <w:rFonts w:hint="default" w:ascii="Times New Roman" w:hAnsi="Times New Roman" w:cs="Times New Roman" w:eastAsiaTheme="minorEastAsia"/>
                <w:color w:val="000000" w:themeColor="text1"/>
                <w:kern w:val="0"/>
                <w:sz w:val="24"/>
                <w14:textFill>
                  <w14:solidFill>
                    <w14:schemeClr w14:val="tx1"/>
                  </w14:solidFill>
                </w14:textFill>
              </w:rPr>
              <w:t>冷却系统功能调整为加热系统，通过外部</w:t>
            </w: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电加热</w:t>
            </w:r>
            <w:r>
              <w:rPr>
                <w:rFonts w:hint="default" w:ascii="Times New Roman" w:hAnsi="Times New Roman" w:cs="Times New Roman" w:eastAsiaTheme="minorEastAsia"/>
                <w:color w:val="000000" w:themeColor="text1"/>
                <w:kern w:val="0"/>
                <w:sz w:val="24"/>
                <w14:textFill>
                  <w14:solidFill>
                    <w14:schemeClr w14:val="tx1"/>
                  </w14:solidFill>
                </w14:textFill>
              </w:rPr>
              <w:t>热交换加温。</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通过与建设单位和设备厂家的沟通</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，本项目冬季渗滤液产生量较小，生物菌可采用以下方法保证冬季活性：</w:t>
            </w:r>
          </w:p>
          <w:p>
            <w:pPr>
              <w:pStyle w:val="2"/>
              <w:keepNext w:val="0"/>
              <w:keepLines w:val="0"/>
              <w:pageBreakBefore w:val="0"/>
              <w:widowControl w:val="0"/>
              <w:numPr>
                <w:ilvl w:val="0"/>
                <w:numId w:val="0"/>
              </w:numPr>
              <w:kinsoku/>
              <w:wordWrap/>
              <w:overflowPunct/>
              <w:topLinePunct w:val="0"/>
              <w:autoSpaceDE/>
              <w:autoSpaceDN/>
              <w:bidi w:val="0"/>
              <w:spacing w:line="520" w:lineRule="exact"/>
              <w:ind w:firstLine="42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w:t>
            </w:r>
            <w:r>
              <w:rPr>
                <w:rFonts w:hint="default" w:ascii="Times New Roman" w:hAnsi="Times New Roman" w:cs="Times New Roman"/>
                <w:color w:val="000000" w:themeColor="text1"/>
                <w:sz w:val="24"/>
                <w:szCs w:val="24"/>
                <w:lang w:val="en-US" w:eastAsia="zh-CN"/>
                <w14:textFill>
                  <w14:solidFill>
                    <w14:schemeClr w14:val="tx1"/>
                  </w14:solidFill>
                </w14:textFill>
              </w:rPr>
              <w:t>冬季</w:t>
            </w:r>
            <w:r>
              <w:rPr>
                <w:rFonts w:hint="eastAsia" w:cs="Times New Roman"/>
                <w:color w:val="000000" w:themeColor="text1"/>
                <w:sz w:val="24"/>
                <w:szCs w:val="24"/>
                <w:lang w:val="en-US" w:eastAsia="zh-CN"/>
                <w14:textFill>
                  <w14:solidFill>
                    <w14:schemeClr w14:val="tx1"/>
                  </w14:solidFill>
                </w14:textFill>
              </w:rPr>
              <w:t>通过密闭加盖保温及硝化池加热系统，外部电加热热交换加温</w:t>
            </w:r>
            <w:r>
              <w:rPr>
                <w:rFonts w:hint="default" w:ascii="Times New Roman" w:hAnsi="Times New Roman" w:cs="Times New Roman"/>
                <w:color w:val="000000" w:themeColor="text1"/>
                <w:sz w:val="24"/>
                <w:szCs w:val="24"/>
                <w:lang w:val="en-US" w:eastAsia="zh-CN"/>
                <w14:textFill>
                  <w14:solidFill>
                    <w14:schemeClr w14:val="tx1"/>
                  </w14:solidFill>
                </w14:textFill>
              </w:rPr>
              <w:t>保持设备单元的温度，</w:t>
            </w:r>
            <w:r>
              <w:rPr>
                <w:rFonts w:hint="eastAsia" w:cs="Times New Roman"/>
                <w:color w:val="000000" w:themeColor="text1"/>
                <w:sz w:val="24"/>
                <w:szCs w:val="24"/>
                <w:lang w:val="en-US" w:eastAsia="zh-CN"/>
                <w14:textFill>
                  <w14:solidFill>
                    <w14:schemeClr w14:val="tx1"/>
                  </w14:solidFill>
                </w14:textFill>
              </w:rPr>
              <w:t>并</w:t>
            </w:r>
            <w:r>
              <w:rPr>
                <w:rFonts w:hint="default" w:ascii="Times New Roman" w:hAnsi="Times New Roman" w:cs="Times New Roman"/>
                <w:color w:val="000000" w:themeColor="text1"/>
                <w:sz w:val="24"/>
                <w:szCs w:val="24"/>
                <w:lang w:val="en-US" w:eastAsia="zh-CN"/>
                <w14:textFill>
                  <w14:solidFill>
                    <w14:schemeClr w14:val="tx1"/>
                  </w14:solidFill>
                </w14:textFill>
              </w:rPr>
              <w:t>投入</w:t>
            </w:r>
            <w:r>
              <w:rPr>
                <w:rFonts w:hint="eastAsia" w:cs="Times New Roman"/>
                <w:color w:val="000000" w:themeColor="text1"/>
                <w:sz w:val="24"/>
                <w:szCs w:val="24"/>
                <w:lang w:val="en-US" w:eastAsia="zh-CN"/>
                <w14:textFill>
                  <w14:solidFill>
                    <w14:schemeClr w14:val="tx1"/>
                  </w14:solidFill>
                </w14:textFill>
              </w:rPr>
              <w:t>适量的</w:t>
            </w:r>
            <w:r>
              <w:rPr>
                <w:rFonts w:hint="default" w:ascii="Times New Roman" w:hAnsi="Times New Roman" w:cs="Times New Roman"/>
                <w:color w:val="000000" w:themeColor="text1"/>
                <w:sz w:val="24"/>
                <w:szCs w:val="24"/>
                <w:lang w:val="en-US" w:eastAsia="zh-CN"/>
                <w14:textFill>
                  <w14:solidFill>
                    <w14:schemeClr w14:val="tx1"/>
                  </w14:solidFill>
                </w14:textFill>
              </w:rPr>
              <w:t>糖和麸皮，</w:t>
            </w:r>
            <w:r>
              <w:rPr>
                <w:rFonts w:hint="eastAsia" w:cs="Times New Roman"/>
                <w:color w:val="000000" w:themeColor="text1"/>
                <w:sz w:val="24"/>
                <w:szCs w:val="24"/>
                <w:lang w:val="en-US" w:eastAsia="zh-CN"/>
                <w14:textFill>
                  <w14:solidFill>
                    <w14:schemeClr w14:val="tx1"/>
                  </w14:solidFill>
                </w14:textFill>
              </w:rPr>
              <w:t>定期</w:t>
            </w:r>
            <w:r>
              <w:rPr>
                <w:rFonts w:hint="default" w:ascii="Times New Roman" w:hAnsi="Times New Roman" w:cs="Times New Roman"/>
                <w:color w:val="000000" w:themeColor="text1"/>
                <w:sz w:val="24"/>
                <w:szCs w:val="24"/>
                <w:lang w:val="en-US" w:eastAsia="zh-CN"/>
                <w14:textFill>
                  <w14:solidFill>
                    <w14:schemeClr w14:val="tx1"/>
                  </w14:solidFill>
                </w14:textFill>
              </w:rPr>
              <w:t>按时检测，保证生物菌的数量和活性。</w:t>
            </w:r>
          </w:p>
          <w:p>
            <w:pPr>
              <w:pStyle w:val="2"/>
              <w:keepNext w:val="0"/>
              <w:keepLines w:val="0"/>
              <w:pageBreakBefore w:val="0"/>
              <w:widowControl w:val="0"/>
              <w:numPr>
                <w:ilvl w:val="0"/>
                <w:numId w:val="0"/>
              </w:numPr>
              <w:kinsoku/>
              <w:wordWrap/>
              <w:overflowPunct/>
              <w:topLinePunct w:val="0"/>
              <w:autoSpaceDE/>
              <w:autoSpaceDN/>
              <w:bidi w:val="0"/>
              <w:spacing w:line="520" w:lineRule="exact"/>
              <w:ind w:firstLine="42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②春季购买生活污水处理厂的污泥，培育15天左右，生物菌的可达到本项目要求。</w:t>
            </w:r>
          </w:p>
          <w:p>
            <w:pPr>
              <w:pStyle w:val="2"/>
              <w:keepNext w:val="0"/>
              <w:keepLines w:val="0"/>
              <w:pageBreakBefore w:val="0"/>
              <w:widowControl w:val="0"/>
              <w:numPr>
                <w:ilvl w:val="0"/>
                <w:numId w:val="0"/>
              </w:numPr>
              <w:kinsoku/>
              <w:wordWrap/>
              <w:overflowPunct/>
              <w:topLinePunct w:val="0"/>
              <w:autoSpaceDE/>
              <w:autoSpaceDN/>
              <w:bidi w:val="0"/>
              <w:spacing w:line="520" w:lineRule="exact"/>
              <w:ind w:firstLine="42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③春季购买适合渗滤液处理的生物菌，培育7天左右，生物菌的可达到本项目要求。</w:t>
            </w:r>
          </w:p>
          <w:p>
            <w:pPr>
              <w:pStyle w:val="2"/>
              <w:keepNext w:val="0"/>
              <w:keepLines w:val="0"/>
              <w:pageBreakBefore w:val="0"/>
              <w:widowControl w:val="0"/>
              <w:numPr>
                <w:ilvl w:val="0"/>
                <w:numId w:val="0"/>
              </w:numPr>
              <w:kinsoku/>
              <w:wordWrap/>
              <w:overflowPunct/>
              <w:topLinePunct w:val="0"/>
              <w:autoSpaceDE/>
              <w:autoSpaceDN/>
              <w:bidi w:val="0"/>
              <w:spacing w:line="52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因本项目</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冬季渗滤液可通过关闭闸阀不排出，冬季</w:t>
            </w:r>
            <w:r>
              <w:rPr>
                <w:rFonts w:hint="eastAsia" w:eastAsia="宋体" w:cs="Times New Roman"/>
                <w:snapToGrid/>
                <w:color w:val="000000" w:themeColor="text1"/>
                <w:kern w:val="2"/>
                <w:sz w:val="24"/>
                <w:szCs w:val="24"/>
                <w:lang w:val="en-US" w:eastAsia="zh-CN" w:bidi="ar-SA"/>
                <w14:textFill>
                  <w14:solidFill>
                    <w14:schemeClr w14:val="tx1"/>
                  </w14:solidFill>
                </w14:textFill>
              </w:rPr>
              <w:t>停产</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时间120天，冬季要保持原有生物菌，需投入较多人力物力，成本</w:t>
            </w:r>
            <w:r>
              <w:rPr>
                <w:rFonts w:hint="eastAsia" w:eastAsia="宋体" w:cs="Times New Roman"/>
                <w:snapToGrid/>
                <w:color w:val="000000" w:themeColor="text1"/>
                <w:kern w:val="2"/>
                <w:sz w:val="24"/>
                <w:szCs w:val="24"/>
                <w:lang w:val="en-US" w:eastAsia="zh-CN" w:bidi="ar-SA"/>
                <w14:textFill>
                  <w14:solidFill>
                    <w14:schemeClr w14:val="tx1"/>
                  </w14:solidFill>
                </w14:textFill>
              </w:rPr>
              <w:t>较高，但生物菌群的数量和活性有延续性，对渗滤液的处理有保障</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。本项目渗滤液处理规模较小为30m</w:t>
            </w:r>
            <w:r>
              <w:rPr>
                <w:rFonts w:hint="default" w:ascii="Times New Roman" w:hAnsi="Times New Roman" w:eastAsia="宋体" w:cs="Times New Roman"/>
                <w:snapToGrid/>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/d，生物菌的需求量不大，春季渗滤液量随温度增加是逐渐增加的，初期渗滤液处理量可适当减小，初期生物菌的需求量也可适当减少，每年春季购买生物菌的成本</w:t>
            </w:r>
            <w:r>
              <w:rPr>
                <w:rFonts w:hint="eastAsia" w:eastAsia="宋体" w:cs="Times New Roman"/>
                <w:snapToGrid/>
                <w:color w:val="000000" w:themeColor="text1"/>
                <w:kern w:val="2"/>
                <w:sz w:val="24"/>
                <w:szCs w:val="24"/>
                <w:lang w:val="en-US" w:eastAsia="zh-CN" w:bidi="ar-SA"/>
                <w14:textFill>
                  <w14:solidFill>
                    <w14:schemeClr w14:val="tx1"/>
                  </w14:solidFill>
                </w14:textFill>
              </w:rPr>
              <w:t>较小，但培育适合项目的生物菌数量和活性的难度较大，</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因此建议建设单位</w:t>
            </w:r>
            <w:r>
              <w:rPr>
                <w:rFonts w:hint="eastAsia" w:eastAsia="宋体" w:cs="Times New Roman"/>
                <w:snapToGrid/>
                <w:color w:val="000000" w:themeColor="text1"/>
                <w:kern w:val="2"/>
                <w:sz w:val="24"/>
                <w:szCs w:val="24"/>
                <w:lang w:val="en-US" w:eastAsia="zh-CN" w:bidi="ar-SA"/>
                <w14:textFill>
                  <w14:solidFill>
                    <w14:schemeClr w14:val="tx1"/>
                  </w14:solidFill>
                </w14:textFill>
              </w:rPr>
              <w:t>根据实际情况，选择合适的方式</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w:t>
            </w:r>
            <w:r>
              <w:rPr>
                <w:rFonts w:hint="eastAsia" w:eastAsia="宋体" w:cs="Times New Roman"/>
                <w:snapToGrid/>
                <w:color w:val="000000" w:themeColor="text1"/>
                <w:kern w:val="2"/>
                <w:sz w:val="24"/>
                <w:szCs w:val="24"/>
                <w:lang w:val="en-US" w:eastAsia="zh-CN" w:bidi="ar-SA"/>
                <w14:textFill>
                  <w14:solidFill>
                    <w14:schemeClr w14:val="tx1"/>
                  </w14:solidFill>
                </w14:textFill>
              </w:rPr>
              <w:t>可</w:t>
            </w: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保证生物菌种的活性。</w:t>
            </w:r>
          </w:p>
          <w:p>
            <w:pPr>
              <w:keepNext w:val="0"/>
              <w:keepLines w:val="0"/>
              <w:pageBreakBefore w:val="0"/>
              <w:widowControl w:val="0"/>
              <w:kinsoku/>
              <w:wordWrap/>
              <w:topLinePunct w:val="0"/>
              <w:autoSpaceDE/>
              <w:autoSpaceDN/>
              <w:bidi w:val="0"/>
              <w:snapToGrid w:val="0"/>
              <w:spacing w:line="520" w:lineRule="exact"/>
              <w:textAlignment w:val="auto"/>
              <w:rPr>
                <w:rFonts w:hint="default" w:ascii="Times New Roman" w:hAnsi="Times New Roman" w:eastAsia="宋体" w:cs="Times New Roman"/>
                <w:b/>
                <w:color w:val="000000" w:themeColor="text1"/>
                <w:szCs w:val="28"/>
                <w14:textFill>
                  <w14:solidFill>
                    <w14:schemeClr w14:val="tx1"/>
                  </w14:solidFill>
                </w14:textFill>
              </w:rPr>
            </w:pPr>
            <w:r>
              <w:rPr>
                <w:rFonts w:hint="default" w:ascii="Times New Roman" w:hAnsi="Times New Roman" w:eastAsia="宋体" w:cs="Times New Roman"/>
                <w:b/>
                <w:color w:val="000000" w:themeColor="text1"/>
                <w:szCs w:val="28"/>
                <w14:textFill>
                  <w14:solidFill>
                    <w14:schemeClr w14:val="tx1"/>
                  </w14:solidFill>
                </w14:textFill>
              </w:rPr>
              <w:t>主要污染工序</w:t>
            </w:r>
          </w:p>
          <w:p>
            <w:pPr>
              <w:pStyle w:val="158"/>
              <w:keepNext w:val="0"/>
              <w:keepLines w:val="0"/>
              <w:pageBreakBefore w:val="0"/>
              <w:widowControl w:val="0"/>
              <w:kinsoku/>
              <w:wordWrap/>
              <w:topLinePunct w:val="0"/>
              <w:autoSpaceDE/>
              <w:autoSpaceDN/>
              <w:bidi w:val="0"/>
              <w:spacing w:line="520" w:lineRule="exact"/>
              <w:ind w:firstLine="498"/>
              <w:textAlignment w:val="auto"/>
              <w:rPr>
                <w:rFonts w:hint="default" w:ascii="Times New Roman" w:hAnsi="Times New Roman" w:eastAsia="宋体" w:cs="Times New Roman"/>
                <w:b/>
                <w:snapToGrid/>
                <w:color w:val="000000" w:themeColor="text1"/>
                <w:spacing w:val="4"/>
                <w:kern w:val="2"/>
                <w14:textFill>
                  <w14:solidFill>
                    <w14:schemeClr w14:val="tx1"/>
                  </w14:solidFill>
                </w14:textFill>
              </w:rPr>
            </w:pPr>
            <w:r>
              <w:rPr>
                <w:rFonts w:hint="default" w:ascii="Times New Roman" w:hAnsi="Times New Roman" w:eastAsia="宋体" w:cs="Times New Roman"/>
                <w:b/>
                <w:snapToGrid/>
                <w:color w:val="000000" w:themeColor="text1"/>
                <w:spacing w:val="4"/>
                <w:kern w:val="2"/>
                <w14:textFill>
                  <w14:solidFill>
                    <w14:schemeClr w14:val="tx1"/>
                  </w14:solidFill>
                </w14:textFill>
              </w:rPr>
              <w:t>一、施工期主要污染工序及环节</w:t>
            </w:r>
          </w:p>
          <w:p>
            <w:pPr>
              <w:pStyle w:val="53"/>
              <w:keepNext w:val="0"/>
              <w:keepLines w:val="0"/>
              <w:pageBreakBefore w:val="0"/>
              <w:widowControl w:val="0"/>
              <w:kinsoku/>
              <w:wordWrap/>
              <w:topLinePunct w:val="0"/>
              <w:autoSpaceDE/>
              <w:autoSpaceDN/>
              <w:bidi w:val="0"/>
              <w:spacing w:line="520" w:lineRule="exact"/>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1、废气</w:t>
            </w:r>
          </w:p>
          <w:p>
            <w:pPr>
              <w:keepNext w:val="0"/>
              <w:keepLines w:val="0"/>
              <w:pageBreakBefore w:val="0"/>
              <w:widowControl w:val="0"/>
              <w:kinsoku/>
              <w:wordWrap/>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施工期的大气污染物主要为扬尘和各种燃油动力机械在施工过程中产生的燃油废气，主要污染物为NO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14:textFill>
                  <w14:solidFill>
                    <w14:schemeClr w14:val="tx1"/>
                  </w14:solidFill>
                </w14:textFill>
              </w:rPr>
              <w:t>、CO、THC，属于短期影响。</w:t>
            </w:r>
          </w:p>
          <w:p>
            <w:pPr>
              <w:keepNext w:val="0"/>
              <w:keepLines w:val="0"/>
              <w:pageBreakBefore w:val="0"/>
              <w:widowControl w:val="0"/>
              <w:kinsoku/>
              <w:wordWrap/>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扬尘主要来源于施工期的土石方阶段。此阶段土石方装卸、运输车辆行驶和挖掘将产生扬尘。该阶段所产生扬尘量随气候条件、施工管理状况等差异很大，另外运输车辆也会产生扬尘。根据类似工程实地监测资料，施工区域附近空气中扬尘浓度可达1.5~3.0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，距离施工区域周围50~100m以外范围的扬尘贡献值符合环境空气质量标准要求。</w:t>
            </w:r>
          </w:p>
          <w:p>
            <w:pPr>
              <w:keepNext w:val="0"/>
              <w:keepLines w:val="0"/>
              <w:pageBreakBefore w:val="0"/>
              <w:widowControl w:val="0"/>
              <w:kinsoku/>
              <w:wordWrap/>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施工期间的大气污染物还有各种燃油动力机械在施工过程中产生的燃油废气，属于短期影响。施工过程中各种燃油动力机械在填筑、清理、平整、运输过程中将产生燃油废气，其主要污染物为CO和NO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14:textFill>
                  <w14:solidFill>
                    <w14:schemeClr w14:val="tx1"/>
                  </w14:solidFill>
                </w14:textFill>
              </w:rPr>
              <w:t>，均为间断作业，且数量不大，因此，其排放的污染物仅对施工区域近距离的环境空气质量产生影响。</w:t>
            </w:r>
          </w:p>
          <w:p>
            <w:pPr>
              <w:pStyle w:val="53"/>
              <w:keepNext w:val="0"/>
              <w:keepLines w:val="0"/>
              <w:pageBreakBefore w:val="0"/>
              <w:widowControl w:val="0"/>
              <w:kinsoku/>
              <w:wordWrap/>
              <w:topLinePunct w:val="0"/>
              <w:autoSpaceDE/>
              <w:autoSpaceDN/>
              <w:bidi w:val="0"/>
              <w:spacing w:line="520" w:lineRule="exact"/>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2、废水</w:t>
            </w:r>
          </w:p>
          <w:p>
            <w:pPr>
              <w:keepNext w:val="0"/>
              <w:keepLines w:val="0"/>
              <w:pageBreakBefore w:val="0"/>
              <w:widowControl w:val="0"/>
              <w:kinsoku/>
              <w:wordWrap/>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废水：施工废水主要为地基开挖施工过程中产生的浑浊废水、混凝土养护废水，同时还有施工过程遇雨产生的地表径流。根据类比分析，生产废水为无毒废水，悬浮物含量较高。其次为基础机械施工过程中及机械设备在维护时将产生少量含油废水。</w:t>
            </w:r>
          </w:p>
          <w:p>
            <w:pPr>
              <w:pStyle w:val="53"/>
              <w:ind w:firstLine="470"/>
              <w:rPr>
                <w:rFonts w:hint="default" w:ascii="Times New Roman" w:hAnsi="Times New Roman" w:cs="Times New Roman"/>
                <w:b w:val="0"/>
                <w:color w:val="000000" w:themeColor="text1"/>
                <w:lang w:val="en-US"/>
                <w14:textFill>
                  <w14:solidFill>
                    <w14:schemeClr w14:val="tx1"/>
                  </w14:solidFill>
                </w14:textFill>
              </w:rPr>
            </w:pPr>
            <w:r>
              <w:rPr>
                <w:rFonts w:hint="default" w:ascii="Times New Roman" w:hAnsi="Times New Roman" w:cs="Times New Roman"/>
                <w:b w:val="0"/>
                <w:color w:val="000000" w:themeColor="text1"/>
                <w:lang w:val="en-US"/>
                <w14:textFill>
                  <w14:solidFill>
                    <w14:schemeClr w14:val="tx1"/>
                  </w14:solidFill>
                </w14:textFill>
              </w:rPr>
              <w:t>生活污水：施工人员按平均30人/天计，预计施工工期为4个月。施工人员均为附近农民，场地内不设营地，食宿均依托周边村庄，厕所使用生活垃圾填埋场管理区已建厕所。施工期生活废水主要为盥洗废水，水量按30L/人·d计算，施工期生活污水产生量约108m</w:t>
            </w:r>
            <w:r>
              <w:rPr>
                <w:rFonts w:hint="default" w:ascii="Times New Roman" w:hAnsi="Times New Roman" w:cs="Times New Roman"/>
                <w:b w:val="0"/>
                <w:color w:val="000000" w:themeColor="text1"/>
                <w:vertAlign w:val="superscript"/>
                <w:lang w:val="en-US"/>
                <w14:textFill>
                  <w14:solidFill>
                    <w14:schemeClr w14:val="tx1"/>
                  </w14:solidFill>
                </w14:textFill>
              </w:rPr>
              <w:t>3</w:t>
            </w:r>
            <w:r>
              <w:rPr>
                <w:rFonts w:hint="default" w:ascii="Times New Roman" w:hAnsi="Times New Roman" w:cs="Times New Roman"/>
                <w:b w:val="0"/>
                <w:color w:val="000000" w:themeColor="text1"/>
                <w:lang w:val="en-US"/>
                <w14:textFill>
                  <w14:solidFill>
                    <w14:schemeClr w14:val="tx1"/>
                  </w14:solidFill>
                </w14:textFill>
              </w:rPr>
              <w:t>，主要污染物浓度COD 350mg/L、SS 250mg/L、NH</w:t>
            </w:r>
            <w:r>
              <w:rPr>
                <w:rFonts w:hint="default" w:ascii="Times New Roman" w:hAnsi="Times New Roman" w:cs="Times New Roman"/>
                <w:b w:val="0"/>
                <w:color w:val="000000" w:themeColor="text1"/>
                <w:vertAlign w:val="subscript"/>
                <w:lang w:val="en-US"/>
                <w14:textFill>
                  <w14:solidFill>
                    <w14:schemeClr w14:val="tx1"/>
                  </w14:solidFill>
                </w14:textFill>
              </w:rPr>
              <w:t>3</w:t>
            </w:r>
            <w:r>
              <w:rPr>
                <w:rFonts w:hint="default" w:ascii="Times New Roman" w:hAnsi="Times New Roman" w:cs="Times New Roman"/>
                <w:b w:val="0"/>
                <w:color w:val="000000" w:themeColor="text1"/>
                <w:lang w:val="en-US"/>
                <w14:textFill>
                  <w14:solidFill>
                    <w14:schemeClr w14:val="tx1"/>
                  </w14:solidFill>
                </w14:textFill>
              </w:rPr>
              <w:t>-N 35mg/L。该部分废水经现有收集池收集，待本项目投运后处理达标用于洒水降水和绿化，不外排。</w:t>
            </w:r>
          </w:p>
          <w:p>
            <w:pPr>
              <w:pStyle w:val="53"/>
              <w:spacing w:line="520" w:lineRule="exac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3、噪声</w:t>
            </w:r>
          </w:p>
          <w:p>
            <w:pPr>
              <w:spacing w:line="560" w:lineRule="exac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场区施工期噪声主要来源于各类动力设备、施工机械、车辆运输等，分别产生于场地平整、房屋建设、池体建设与设备安装阶段；本项目施工期主要噪声设备声源强度介于68~105d</w:t>
            </w:r>
            <w:r>
              <w:rPr>
                <w:rFonts w:hint="default" w:ascii="Times New Roman" w:hAnsi="Times New Roman" w:eastAsia="宋体" w:cs="Times New Roman"/>
                <w:color w:val="000000" w:themeColor="text1"/>
                <w:sz w:val="24"/>
                <w:szCs w:val="24"/>
                <w14:textFill>
                  <w14:solidFill>
                    <w14:schemeClr w14:val="tx1"/>
                  </w14:solidFill>
                </w14:textFill>
              </w:rPr>
              <w:t>B（A）之间。建筑施工过程中常用的设备有：吊车、卷扬机、载重汽车、挖掘机、振捣棒、推土机等。项目施工期主要声源设备及强度见下表所示。</w:t>
            </w:r>
          </w:p>
          <w:p>
            <w:pPr>
              <w:pStyle w:val="158"/>
              <w:spacing w:before="156" w:beforeLines="50" w:line="240" w:lineRule="auto"/>
              <w:ind w:firstLine="0" w:firstLineChars="0"/>
              <w:jc w:val="center"/>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表1</w:t>
            </w:r>
            <w:r>
              <w:rPr>
                <w:rFonts w:hint="eastAsia" w:ascii="Times New Roman" w:hAnsi="Times New Roman" w:eastAsia="宋体" w:cs="Times New Roman"/>
                <w:b/>
                <w:color w:val="000000" w:themeColor="text1"/>
                <w:sz w:val="21"/>
                <w:lang w:val="en-US" w:eastAsia="zh-CN"/>
                <w14:textFill>
                  <w14:solidFill>
                    <w14:schemeClr w14:val="tx1"/>
                  </w14:solidFill>
                </w14:textFill>
              </w:rPr>
              <w:t>8</w:t>
            </w:r>
            <w:r>
              <w:rPr>
                <w:rFonts w:hint="default" w:ascii="Times New Roman" w:hAnsi="Times New Roman" w:eastAsia="宋体" w:cs="Times New Roman"/>
                <w:b/>
                <w:color w:val="000000" w:themeColor="text1"/>
                <w:sz w:val="21"/>
                <w14:textFill>
                  <w14:solidFill>
                    <w14:schemeClr w14:val="tx1"/>
                  </w14:solidFill>
                </w14:textFill>
              </w:rPr>
              <w:t xml:space="preserve">   设备机械噪声一览表</w:t>
            </w:r>
          </w:p>
          <w:tbl>
            <w:tblPr>
              <w:tblStyle w:val="32"/>
              <w:tblW w:w="89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74"/>
              <w:gridCol w:w="3650"/>
              <w:gridCol w:w="2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74"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产生阶段</w:t>
                  </w:r>
                </w:p>
              </w:tc>
              <w:tc>
                <w:tcPr>
                  <w:tcW w:w="365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机械设备名称</w:t>
                  </w:r>
                </w:p>
              </w:tc>
              <w:tc>
                <w:tcPr>
                  <w:tcW w:w="284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74"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场地平整</w:t>
                  </w:r>
                </w:p>
              </w:tc>
              <w:tc>
                <w:tcPr>
                  <w:tcW w:w="365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推土机、挖掘机、载重汽车等</w:t>
                  </w:r>
                </w:p>
              </w:tc>
              <w:tc>
                <w:tcPr>
                  <w:tcW w:w="284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74"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房屋建设</w:t>
                  </w:r>
                </w:p>
              </w:tc>
              <w:tc>
                <w:tcPr>
                  <w:tcW w:w="365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钻孔机、载重汽车等</w:t>
                  </w:r>
                </w:p>
              </w:tc>
              <w:tc>
                <w:tcPr>
                  <w:tcW w:w="284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74"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池体建设</w:t>
                  </w:r>
                </w:p>
              </w:tc>
              <w:tc>
                <w:tcPr>
                  <w:tcW w:w="365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振捣棒</w:t>
                  </w:r>
                </w:p>
              </w:tc>
              <w:tc>
                <w:tcPr>
                  <w:tcW w:w="284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74"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设备安装</w:t>
                  </w:r>
                </w:p>
              </w:tc>
              <w:tc>
                <w:tcPr>
                  <w:tcW w:w="365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吊车、卷扬机</w:t>
                  </w:r>
                </w:p>
              </w:tc>
              <w:tc>
                <w:tcPr>
                  <w:tcW w:w="284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78~85</w:t>
                  </w:r>
                </w:p>
              </w:tc>
            </w:tr>
          </w:tbl>
          <w:p>
            <w:pPr>
              <w:pStyle w:val="53"/>
              <w:keepNext w:val="0"/>
              <w:keepLines w:val="0"/>
              <w:pageBreakBefore w:val="0"/>
              <w:widowControl w:val="0"/>
              <w:kinsoku/>
              <w:wordWrap/>
              <w:topLinePunct w:val="0"/>
              <w:autoSpaceDE/>
              <w:autoSpaceDN/>
              <w:bidi w:val="0"/>
              <w:adjustRightInd/>
              <w:spacing w:line="520" w:lineRule="exact"/>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4、固废</w:t>
            </w:r>
          </w:p>
          <w:p>
            <w:pPr>
              <w:keepNext w:val="0"/>
              <w:keepLines w:val="0"/>
              <w:pageBreakBefore w:val="0"/>
              <w:widowControl w:val="0"/>
              <w:kinsoku/>
              <w:wordWrap/>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施工期产生的固体废物主要为弃土、施工过程产生的建筑垃圾和少量工人生活垃圾。</w:t>
            </w:r>
          </w:p>
          <w:p>
            <w:pPr>
              <w:keepNext w:val="0"/>
              <w:keepLines w:val="0"/>
              <w:pageBreakBefore w:val="0"/>
              <w:widowControl w:val="0"/>
              <w:kinsoku/>
              <w:wordWrap/>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（1）弃土</w:t>
            </w:r>
          </w:p>
          <w:p>
            <w:pPr>
              <w:keepNext w:val="0"/>
              <w:keepLines w:val="0"/>
              <w:pageBreakBefore w:val="0"/>
              <w:widowControl w:val="0"/>
              <w:kinsoku/>
              <w:wordWrap/>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根据设计方案，施工期开挖土方量约为2000.0m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，回填土方约为100.0m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，工程弃土方量约为1900.0m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。弃土部分用于填埋场周边绿化、土地平整和填埋覆土等，不外排。</w:t>
            </w:r>
          </w:p>
          <w:p>
            <w:pPr>
              <w:keepNext w:val="0"/>
              <w:keepLines w:val="0"/>
              <w:pageBreakBefore w:val="0"/>
              <w:widowControl w:val="0"/>
              <w:kinsoku/>
              <w:wordWrap/>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（2）建筑垃圾</w:t>
            </w:r>
          </w:p>
          <w:p>
            <w:pPr>
              <w:keepNext w:val="0"/>
              <w:keepLines w:val="0"/>
              <w:pageBreakBefore w:val="0"/>
              <w:widowControl w:val="0"/>
              <w:kinsoku/>
              <w:wordWrap/>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本项目建筑垃圾主要包括废弃混凝土、钢筋、砖块等，产生量约3.0t，部分可回收利用，其余直接在填埋场进行填埋处理。</w:t>
            </w:r>
          </w:p>
          <w:p>
            <w:pPr>
              <w:keepNext w:val="0"/>
              <w:keepLines w:val="0"/>
              <w:pageBreakBefore w:val="0"/>
              <w:widowControl w:val="0"/>
              <w:kinsoku/>
              <w:wordWrap/>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（3）生活垃圾</w:t>
            </w:r>
          </w:p>
          <w:p>
            <w:pPr>
              <w:keepNext w:val="0"/>
              <w:keepLines w:val="0"/>
              <w:pageBreakBefore w:val="0"/>
              <w:widowControl w:val="0"/>
              <w:kinsoku/>
              <w:wordWrap/>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施工工人生活垃圾按0.5kg/人·d计算，则施工期生活垃圾产生量为1.8t，集中收集后直接在填埋场进行填埋处理。</w:t>
            </w:r>
          </w:p>
          <w:p>
            <w:pPr>
              <w:pStyle w:val="158"/>
              <w:keepNext w:val="0"/>
              <w:keepLines w:val="0"/>
              <w:pageBreakBefore w:val="0"/>
              <w:widowControl w:val="0"/>
              <w:kinsoku/>
              <w:wordWrap/>
              <w:topLinePunct w:val="0"/>
              <w:autoSpaceDE/>
              <w:autoSpaceDN/>
              <w:bidi w:val="0"/>
              <w:adjustRightInd/>
              <w:spacing w:line="520" w:lineRule="exact"/>
              <w:ind w:firstLine="498"/>
              <w:textAlignment w:val="auto"/>
              <w:rPr>
                <w:rFonts w:hint="default" w:ascii="Times New Roman" w:hAnsi="Times New Roman" w:eastAsia="宋体" w:cs="Times New Roman"/>
                <w:b/>
                <w:snapToGrid/>
                <w:color w:val="000000" w:themeColor="text1"/>
                <w:spacing w:val="4"/>
                <w:kern w:val="2"/>
                <w14:textFill>
                  <w14:solidFill>
                    <w14:schemeClr w14:val="tx1"/>
                  </w14:solidFill>
                </w14:textFill>
              </w:rPr>
            </w:pPr>
            <w:r>
              <w:rPr>
                <w:rFonts w:hint="default" w:ascii="Times New Roman" w:hAnsi="Times New Roman" w:eastAsia="宋体" w:cs="Times New Roman"/>
                <w:b/>
                <w:snapToGrid/>
                <w:color w:val="000000" w:themeColor="text1"/>
                <w:spacing w:val="4"/>
                <w:kern w:val="2"/>
                <w14:textFill>
                  <w14:solidFill>
                    <w14:schemeClr w14:val="tx1"/>
                  </w14:solidFill>
                </w14:textFill>
              </w:rPr>
              <w:t>二、运营期主要污染工序及环节</w:t>
            </w:r>
          </w:p>
          <w:p>
            <w:pPr>
              <w:pStyle w:val="53"/>
              <w:keepNext w:val="0"/>
              <w:keepLines w:val="0"/>
              <w:pageBreakBefore w:val="0"/>
              <w:widowControl w:val="0"/>
              <w:kinsoku/>
              <w:wordWrap/>
              <w:topLinePunct w:val="0"/>
              <w:autoSpaceDE/>
              <w:autoSpaceDN/>
              <w:bidi w:val="0"/>
              <w:adjustRightInd/>
              <w:spacing w:line="520" w:lineRule="exact"/>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1、废气</w:t>
            </w:r>
          </w:p>
          <w:p>
            <w:pPr>
              <w:pStyle w:val="95"/>
              <w:keepNext w:val="0"/>
              <w:keepLines w:val="0"/>
              <w:pageBreakBefore w:val="0"/>
              <w:widowControl w:val="0"/>
              <w:kinsoku/>
              <w:wordWrap/>
              <w:topLinePunct w:val="0"/>
              <w:autoSpaceDE/>
              <w:autoSpaceDN/>
              <w:bidi w:val="0"/>
              <w:adjustRightInd/>
              <w:spacing w:line="520" w:lineRule="exact"/>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本项目运行过程废气主要为渗滤液处理设施运行过程产生的恶臭气体，根据垃圾渗滤液处理工艺流程及各处理单元功能，本工程产生臭气的处理单元为收集池、调节池、MBR综合池和污泥池等。废气污染物主要为各池内挥发出来各种恶臭气体，如H</w:t>
            </w:r>
            <w:r>
              <w:rPr>
                <w:rFonts w:hint="default" w:ascii="Times New Roman" w:hAnsi="Times New Roman" w:cs="Times New Roman"/>
                <w:color w:val="000000" w:themeColor="text1"/>
                <w:vertAlign w:val="subscript"/>
                <w:lang w:val="en-US"/>
                <w14:textFill>
                  <w14:solidFill>
                    <w14:schemeClr w14:val="tx1"/>
                  </w14:solidFill>
                </w14:textFill>
              </w:rPr>
              <w:t>2</w:t>
            </w:r>
            <w:r>
              <w:rPr>
                <w:rFonts w:hint="default" w:ascii="Times New Roman" w:hAnsi="Times New Roman" w:cs="Times New Roman"/>
                <w:color w:val="000000" w:themeColor="text1"/>
                <w:lang w:val="en-US"/>
                <w14:textFill>
                  <w14:solidFill>
                    <w14:schemeClr w14:val="tx1"/>
                  </w14:solidFill>
                </w14:textFill>
              </w:rPr>
              <w:t>S、NH</w:t>
            </w:r>
            <w:r>
              <w:rPr>
                <w:rFonts w:hint="default" w:ascii="Times New Roman" w:hAnsi="Times New Roman" w:cs="Times New Roman"/>
                <w:color w:val="000000" w:themeColor="text1"/>
                <w:vertAlign w:val="subscript"/>
                <w:lang w:val="en-US"/>
                <w14:textFill>
                  <w14:solidFill>
                    <w14:schemeClr w14:val="tx1"/>
                  </w14:solidFill>
                </w14:textFill>
              </w:rPr>
              <w:t>3</w:t>
            </w:r>
            <w:r>
              <w:rPr>
                <w:rFonts w:hint="default" w:ascii="Times New Roman" w:hAnsi="Times New Roman" w:cs="Times New Roman"/>
                <w:color w:val="000000" w:themeColor="text1"/>
                <w:lang w:val="en-US"/>
                <w14:textFill>
                  <w14:solidFill>
                    <w14:schemeClr w14:val="tx1"/>
                  </w14:solidFill>
                </w14:textFill>
              </w:rPr>
              <w:t>及其他恶臭气体等。垃圾渗滤液处理系统产生的主要臭气成分分析如下表。</w:t>
            </w:r>
          </w:p>
          <w:p>
            <w:pPr>
              <w:pStyle w:val="158"/>
              <w:keepNext w:val="0"/>
              <w:keepLines w:val="0"/>
              <w:pageBreakBefore w:val="0"/>
              <w:widowControl w:val="0"/>
              <w:kinsoku/>
              <w:wordWrap/>
              <w:topLinePunct w:val="0"/>
              <w:autoSpaceDE/>
              <w:autoSpaceDN/>
              <w:bidi w:val="0"/>
              <w:adjustRightInd/>
              <w:spacing w:line="520" w:lineRule="exact"/>
              <w:ind w:firstLine="0" w:firstLineChars="0"/>
              <w:jc w:val="center"/>
              <w:textAlignment w:val="auto"/>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表1</w:t>
            </w:r>
            <w:r>
              <w:rPr>
                <w:rFonts w:hint="eastAsia" w:ascii="Times New Roman" w:hAnsi="Times New Roman" w:eastAsia="宋体" w:cs="Times New Roman"/>
                <w:b/>
                <w:color w:val="000000" w:themeColor="text1"/>
                <w:sz w:val="21"/>
                <w:lang w:val="en-US" w:eastAsia="zh-CN"/>
                <w14:textFill>
                  <w14:solidFill>
                    <w14:schemeClr w14:val="tx1"/>
                  </w14:solidFill>
                </w14:textFill>
              </w:rPr>
              <w:t>9</w:t>
            </w:r>
            <w:r>
              <w:rPr>
                <w:rFonts w:hint="default" w:ascii="Times New Roman" w:hAnsi="Times New Roman" w:eastAsia="宋体" w:cs="Times New Roman"/>
                <w:b/>
                <w:color w:val="000000" w:themeColor="text1"/>
                <w:sz w:val="21"/>
                <w14:textFill>
                  <w14:solidFill>
                    <w14:schemeClr w14:val="tx1"/>
                  </w14:solidFill>
                </w14:textFill>
              </w:rPr>
              <w:t xml:space="preserve">  主要臭气成份表</w:t>
            </w:r>
          </w:p>
          <w:tbl>
            <w:tblPr>
              <w:tblStyle w:val="32"/>
              <w:tblW w:w="896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57"/>
              <w:gridCol w:w="1829"/>
              <w:gridCol w:w="3997"/>
              <w:gridCol w:w="20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5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序号</w:t>
                  </w:r>
                </w:p>
              </w:tc>
              <w:tc>
                <w:tcPr>
                  <w:tcW w:w="1829"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化合物</w:t>
                  </w:r>
                </w:p>
              </w:tc>
              <w:tc>
                <w:tcPr>
                  <w:tcW w:w="399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典型分子式</w:t>
                  </w:r>
                </w:p>
              </w:tc>
              <w:tc>
                <w:tcPr>
                  <w:tcW w:w="2081"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5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w:t>
                  </w:r>
                </w:p>
              </w:tc>
              <w:tc>
                <w:tcPr>
                  <w:tcW w:w="1829"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胺类</w:t>
                  </w:r>
                </w:p>
              </w:tc>
              <w:tc>
                <w:tcPr>
                  <w:tcW w:w="399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CH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snapToGrid w:val="0"/>
                      <w:color w:val="000000" w:themeColor="text1"/>
                      <w:sz w:val="21"/>
                      <w:szCs w:val="21"/>
                      <w14:textFill>
                        <w14:solidFill>
                          <w14:schemeClr w14:val="tx1"/>
                        </w14:solidFill>
                      </w14:textFill>
                    </w:rPr>
                    <w:t>NH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snapToGrid w:val="0"/>
                      <w:color w:val="000000" w:themeColor="text1"/>
                      <w:sz w:val="21"/>
                      <w:szCs w:val="21"/>
                      <w14:textFill>
                        <w14:solidFill>
                          <w14:schemeClr w14:val="tx1"/>
                        </w14:solidFill>
                      </w14:textFill>
                    </w:rPr>
                    <w:t>(CH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snapToGrid w:val="0"/>
                      <w:color w:val="000000" w:themeColor="text1"/>
                      <w:sz w:val="21"/>
                      <w:szCs w:val="21"/>
                      <w14:textFill>
                        <w14:solidFill>
                          <w14:schemeClr w14:val="tx1"/>
                        </w14:solidFill>
                      </w14:textFill>
                    </w:rPr>
                    <w:t>N</w:t>
                  </w:r>
                </w:p>
              </w:tc>
              <w:tc>
                <w:tcPr>
                  <w:tcW w:w="2081"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鱼腥味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5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2</w:t>
                  </w:r>
                </w:p>
              </w:tc>
              <w:tc>
                <w:tcPr>
                  <w:tcW w:w="1829"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氨</w:t>
                  </w:r>
                </w:p>
              </w:tc>
              <w:tc>
                <w:tcPr>
                  <w:tcW w:w="399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NH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3</w:t>
                  </w:r>
                </w:p>
              </w:tc>
              <w:tc>
                <w:tcPr>
                  <w:tcW w:w="2081"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氨味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5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3</w:t>
                  </w:r>
                </w:p>
              </w:tc>
              <w:tc>
                <w:tcPr>
                  <w:tcW w:w="1829"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二胺</w:t>
                  </w:r>
                </w:p>
              </w:tc>
              <w:tc>
                <w:tcPr>
                  <w:tcW w:w="399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NH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snapToGrid w:val="0"/>
                      <w:color w:val="000000" w:themeColor="text1"/>
                      <w:sz w:val="21"/>
                      <w:szCs w:val="21"/>
                      <w14:textFill>
                        <w14:solidFill>
                          <w14:schemeClr w14:val="tx1"/>
                        </w14:solidFill>
                      </w14:textFill>
                    </w:rPr>
                    <w:t>(CH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4</w:t>
                  </w:r>
                  <w:r>
                    <w:rPr>
                      <w:rFonts w:hint="default" w:ascii="Times New Roman" w:hAnsi="Times New Roman" w:eastAsia="宋体" w:cs="Times New Roman"/>
                      <w:snapToGrid w:val="0"/>
                      <w:color w:val="000000" w:themeColor="text1"/>
                      <w:sz w:val="21"/>
                      <w:szCs w:val="21"/>
                      <w14:textFill>
                        <w14:solidFill>
                          <w14:schemeClr w14:val="tx1"/>
                        </w14:solidFill>
                      </w14:textFill>
                    </w:rPr>
                    <w:t>NH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snapToGrid w:val="0"/>
                      <w:color w:val="000000" w:themeColor="text1"/>
                      <w:sz w:val="21"/>
                      <w:szCs w:val="21"/>
                      <w14:textFill>
                        <w14:solidFill>
                          <w14:schemeClr w14:val="tx1"/>
                        </w14:solidFill>
                      </w14:textFill>
                    </w:rPr>
                    <w:t>NH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snapToGrid w:val="0"/>
                      <w:color w:val="000000" w:themeColor="text1"/>
                      <w:sz w:val="21"/>
                      <w:szCs w:val="21"/>
                      <w14:textFill>
                        <w14:solidFill>
                          <w14:schemeClr w14:val="tx1"/>
                        </w14:solidFill>
                      </w14:textFill>
                    </w:rPr>
                    <w:t>(CH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snapToGrid w:val="0"/>
                      <w:color w:val="000000" w:themeColor="text1"/>
                      <w:sz w:val="21"/>
                      <w:szCs w:val="21"/>
                      <w14:textFill>
                        <w14:solidFill>
                          <w14:schemeClr w14:val="tx1"/>
                        </w14:solidFill>
                      </w14:textFill>
                    </w:rPr>
                    <w:t>NH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2</w:t>
                  </w:r>
                </w:p>
              </w:tc>
              <w:tc>
                <w:tcPr>
                  <w:tcW w:w="2081"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腐肉味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5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4</w:t>
                  </w:r>
                </w:p>
              </w:tc>
              <w:tc>
                <w:tcPr>
                  <w:tcW w:w="1829"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硫化氢</w:t>
                  </w:r>
                </w:p>
              </w:tc>
              <w:tc>
                <w:tcPr>
                  <w:tcW w:w="399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snapToGrid w:val="0"/>
                      <w:color w:val="000000" w:themeColor="text1"/>
                      <w:sz w:val="21"/>
                      <w:szCs w:val="21"/>
                      <w14:textFill>
                        <w14:solidFill>
                          <w14:schemeClr w14:val="tx1"/>
                        </w14:solidFill>
                      </w14:textFill>
                    </w:rPr>
                    <w:t>S</w:t>
                  </w:r>
                </w:p>
              </w:tc>
              <w:tc>
                <w:tcPr>
                  <w:tcW w:w="2081"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臭鸡蛋味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5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5</w:t>
                  </w:r>
                </w:p>
              </w:tc>
              <w:tc>
                <w:tcPr>
                  <w:tcW w:w="1829"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硫醇</w:t>
                  </w:r>
                </w:p>
              </w:tc>
              <w:tc>
                <w:tcPr>
                  <w:tcW w:w="399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CH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snapToGrid w:val="0"/>
                      <w:color w:val="000000" w:themeColor="text1"/>
                      <w:sz w:val="21"/>
                      <w:szCs w:val="21"/>
                      <w14:textFill>
                        <w14:solidFill>
                          <w14:schemeClr w14:val="tx1"/>
                        </w14:solidFill>
                      </w14:textFill>
                    </w:rPr>
                    <w:t>SH CH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snapToGrid w:val="0"/>
                      <w:color w:val="000000" w:themeColor="text1"/>
                      <w:sz w:val="21"/>
                      <w:szCs w:val="21"/>
                      <w14:textFill>
                        <w14:solidFill>
                          <w14:schemeClr w14:val="tx1"/>
                        </w14:solidFill>
                      </w14:textFill>
                    </w:rPr>
                    <w:t>SSCH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3</w:t>
                  </w:r>
                </w:p>
              </w:tc>
              <w:tc>
                <w:tcPr>
                  <w:tcW w:w="2081"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烂洋葱味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5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6</w:t>
                  </w:r>
                </w:p>
              </w:tc>
              <w:tc>
                <w:tcPr>
                  <w:tcW w:w="1829"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粪臭素</w:t>
                  </w:r>
                </w:p>
              </w:tc>
              <w:tc>
                <w:tcPr>
                  <w:tcW w:w="3997"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C</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8</w:t>
                  </w:r>
                  <w:r>
                    <w:rPr>
                      <w:rFonts w:hint="default" w:ascii="Times New Roman" w:hAnsi="Times New Roman" w:eastAsia="宋体" w:cs="Times New Roman"/>
                      <w:snapToGrid w:val="0"/>
                      <w:color w:val="000000" w:themeColor="text1"/>
                      <w:sz w:val="21"/>
                      <w:szCs w:val="21"/>
                      <w14:textFill>
                        <w14:solidFill>
                          <w14:schemeClr w14:val="tx1"/>
                        </w14:solidFill>
                      </w14:textFill>
                    </w:rPr>
                    <w:t>O</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snapToGrid w:val="0"/>
                      <w:color w:val="000000" w:themeColor="text1"/>
                      <w:sz w:val="21"/>
                      <w:szCs w:val="21"/>
                      <w14:textFill>
                        <w14:solidFill>
                          <w14:schemeClr w14:val="tx1"/>
                        </w14:solidFill>
                      </w14:textFill>
                    </w:rPr>
                    <w:t>BHCH</w:t>
                  </w:r>
                  <w:r>
                    <w:rPr>
                      <w:rFonts w:hint="default" w:ascii="Times New Roman" w:hAnsi="Times New Roman" w:eastAsia="宋体" w:cs="Times New Roman"/>
                      <w:snapToGrid w:val="0"/>
                      <w:color w:val="000000" w:themeColor="text1"/>
                      <w:sz w:val="21"/>
                      <w:szCs w:val="21"/>
                      <w:vertAlign w:val="subscript"/>
                      <w14:textFill>
                        <w14:solidFill>
                          <w14:schemeClr w14:val="tx1"/>
                        </w14:solidFill>
                      </w14:textFill>
                    </w:rPr>
                    <w:t>3</w:t>
                  </w:r>
                </w:p>
              </w:tc>
              <w:tc>
                <w:tcPr>
                  <w:tcW w:w="2081" w:type="dxa"/>
                  <w:vAlign w:val="center"/>
                </w:tcPr>
                <w:p>
                  <w:pPr>
                    <w:snapToGrid w:val="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粪便味</w:t>
                  </w:r>
                </w:p>
              </w:tc>
            </w:tr>
          </w:tbl>
          <w:p>
            <w:pPr>
              <w:pStyle w:val="95"/>
              <w:spacing w:line="560" w:lineRule="exact"/>
              <w:rPr>
                <w:rFonts w:hint="default" w:ascii="Times New Roman" w:hAnsi="Times New Roman" w:cs="Times New Roman"/>
                <w:color w:val="000000" w:themeColor="text1"/>
                <w:lang w:val="en-US"/>
                <w14:textFill>
                  <w14:solidFill>
                    <w14:schemeClr w14:val="tx1"/>
                  </w14:solidFill>
                </w14:textFill>
              </w:rPr>
            </w:pPr>
            <w:r>
              <w:rPr>
                <w:rFonts w:hint="eastAsia" w:hAnsi="Times New Roman" w:cs="Times New Roman"/>
                <w:color w:val="000000" w:themeColor="text1"/>
                <w:szCs w:val="24"/>
                <w:lang w:val="en-US" w:eastAsia="zh-CN"/>
                <w14:textFill>
                  <w14:solidFill>
                    <w14:schemeClr w14:val="tx1"/>
                  </w14:solidFill>
                </w14:textFill>
              </w:rPr>
              <w:t>根据美国EPA的研究，每处理1g的BOD</w:t>
            </w:r>
            <w:r>
              <w:rPr>
                <w:rFonts w:hint="eastAsia" w:hAnsi="Times New Roman" w:cs="Times New Roman"/>
                <w:color w:val="000000" w:themeColor="text1"/>
                <w:szCs w:val="24"/>
                <w:vertAlign w:val="subscript"/>
                <w:lang w:val="en-US" w:eastAsia="zh-CN"/>
                <w14:textFill>
                  <w14:solidFill>
                    <w14:schemeClr w14:val="tx1"/>
                  </w14:solidFill>
                </w14:textFill>
              </w:rPr>
              <w:t>5</w:t>
            </w:r>
            <w:r>
              <w:rPr>
                <w:rFonts w:hint="eastAsia" w:hAnsi="Times New Roman" w:cs="Times New Roman"/>
                <w:color w:val="000000" w:themeColor="text1"/>
                <w:szCs w:val="24"/>
                <w:lang w:val="en-US" w:eastAsia="zh-CN"/>
                <w14:textFill>
                  <w14:solidFill>
                    <w14:schemeClr w14:val="tx1"/>
                  </w14:solidFill>
                </w14:textFill>
              </w:rPr>
              <w:t>，可产生</w:t>
            </w:r>
            <w:r>
              <w:rPr>
                <w:rFonts w:hint="default" w:ascii="Times New Roman" w:hAnsi="Times New Roman" w:cs="Times New Roman"/>
                <w:color w:val="000000" w:themeColor="text1"/>
                <w:szCs w:val="24"/>
                <w14:textFill>
                  <w14:solidFill>
                    <w14:schemeClr w14:val="tx1"/>
                  </w14:solidFill>
                </w14:textFill>
              </w:rPr>
              <w:t>NH</w:t>
            </w:r>
            <w:r>
              <w:rPr>
                <w:rFonts w:hint="default" w:ascii="Times New Roman" w:hAnsi="Times New Roman" w:cs="Times New Roman"/>
                <w:color w:val="000000" w:themeColor="text1"/>
                <w:szCs w:val="24"/>
                <w:vertAlign w:val="sub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0.0</w:t>
            </w:r>
            <w:r>
              <w:rPr>
                <w:rFonts w:hint="eastAsia" w:hAnsi="Times New Roman" w:cs="Times New Roman"/>
                <w:color w:val="000000" w:themeColor="text1"/>
                <w:szCs w:val="24"/>
                <w:lang w:val="en-US" w:eastAsia="zh-CN"/>
                <w14:textFill>
                  <w14:solidFill>
                    <w14:schemeClr w14:val="tx1"/>
                  </w14:solidFill>
                </w14:textFill>
              </w:rPr>
              <w:t>031g、</w:t>
            </w:r>
            <w:r>
              <w:rPr>
                <w:rFonts w:hint="default" w:ascii="Times New Roman" w:hAnsi="Times New Roman" w:cs="Times New Roman"/>
                <w:color w:val="000000" w:themeColor="text1"/>
                <w:szCs w:val="24"/>
                <w14:textFill>
                  <w14:solidFill>
                    <w14:schemeClr w14:val="tx1"/>
                  </w14:solidFill>
                </w14:textFill>
              </w:rPr>
              <w:t>H</w:t>
            </w:r>
            <w:r>
              <w:rPr>
                <w:rFonts w:hint="default" w:ascii="Times New Roman" w:hAnsi="Times New Roman" w:cs="Times New Roman"/>
                <w:color w:val="000000" w:themeColor="text1"/>
                <w:szCs w:val="24"/>
                <w:vertAlign w:val="subscript"/>
                <w14:textFill>
                  <w14:solidFill>
                    <w14:schemeClr w14:val="tx1"/>
                  </w14:solidFill>
                </w14:textFill>
              </w:rPr>
              <w:t>2</w:t>
            </w:r>
            <w:r>
              <w:rPr>
                <w:rFonts w:hint="default" w:ascii="Times New Roman" w:hAnsi="Times New Roman" w:cs="Times New Roman"/>
                <w:color w:val="000000" w:themeColor="text1"/>
                <w:szCs w:val="24"/>
                <w14:textFill>
                  <w14:solidFill>
                    <w14:schemeClr w14:val="tx1"/>
                  </w14:solidFill>
                </w14:textFill>
              </w:rPr>
              <w:t>S量为0.</w:t>
            </w:r>
            <w:r>
              <w:rPr>
                <w:rFonts w:hint="eastAsia" w:hAnsi="Times New Roman" w:cs="Times New Roman"/>
                <w:color w:val="000000" w:themeColor="text1"/>
                <w:szCs w:val="24"/>
                <w:lang w:val="en-US" w:eastAsia="zh-CN"/>
                <w14:textFill>
                  <w14:solidFill>
                    <w14:schemeClr w14:val="tx1"/>
                  </w14:solidFill>
                </w14:textFill>
              </w:rPr>
              <w:t>0012g。本项目的大部分BOD</w:t>
            </w:r>
            <w:r>
              <w:rPr>
                <w:rFonts w:hint="eastAsia" w:hAnsi="Times New Roman" w:cs="Times New Roman"/>
                <w:color w:val="000000" w:themeColor="text1"/>
                <w:szCs w:val="24"/>
                <w:vertAlign w:val="subscript"/>
                <w:lang w:val="en-US" w:eastAsia="zh-CN"/>
                <w14:textFill>
                  <w14:solidFill>
                    <w14:schemeClr w14:val="tx1"/>
                  </w14:solidFill>
                </w14:textFill>
              </w:rPr>
              <w:t>5</w:t>
            </w:r>
            <w:r>
              <w:rPr>
                <w:rFonts w:hint="eastAsia" w:hAnsi="Times New Roman" w:cs="Times New Roman"/>
                <w:color w:val="000000" w:themeColor="text1"/>
                <w:szCs w:val="24"/>
                <w:lang w:val="en-US" w:eastAsia="zh-CN"/>
                <w14:textFill>
                  <w14:solidFill>
                    <w14:schemeClr w14:val="tx1"/>
                  </w14:solidFill>
                </w14:textFill>
              </w:rPr>
              <w:t>（98%）在MBR系统阶段得到处理，去除BOD</w:t>
            </w:r>
            <w:r>
              <w:rPr>
                <w:rFonts w:hint="eastAsia" w:hAnsi="Times New Roman" w:cs="Times New Roman"/>
                <w:color w:val="000000" w:themeColor="text1"/>
                <w:szCs w:val="24"/>
                <w:vertAlign w:val="subscript"/>
                <w:lang w:val="en-US" w:eastAsia="zh-CN"/>
                <w14:textFill>
                  <w14:solidFill>
                    <w14:schemeClr w14:val="tx1"/>
                  </w14:solidFill>
                </w14:textFill>
              </w:rPr>
              <w:t>5</w:t>
            </w:r>
            <w:r>
              <w:rPr>
                <w:rFonts w:hint="default" w:ascii="Times New Roman" w:hAnsi="Times New Roman" w:cs="Times New Roman"/>
                <w:color w:val="000000" w:themeColor="text1"/>
                <w:szCs w:val="24"/>
                <w14:textFill>
                  <w14:solidFill>
                    <w14:schemeClr w14:val="tx1"/>
                  </w14:solidFill>
                </w14:textFill>
              </w:rPr>
              <w:t>量为</w:t>
            </w:r>
            <w:r>
              <w:rPr>
                <w:rFonts w:hint="eastAsia" w:hAnsi="Times New Roman" w:cs="Times New Roman"/>
                <w:color w:val="000000" w:themeColor="text1"/>
                <w:szCs w:val="24"/>
                <w:lang w:val="en-US" w:eastAsia="zh-CN"/>
                <w14:textFill>
                  <w14:solidFill>
                    <w14:schemeClr w14:val="tx1"/>
                  </w14:solidFill>
                </w14:textFill>
              </w:rPr>
              <w:t>12.86</w:t>
            </w:r>
            <w:r>
              <w:rPr>
                <w:rFonts w:hint="default" w:ascii="Times New Roman" w:hAnsi="Times New Roman" w:cs="Times New Roman"/>
                <w:color w:val="000000" w:themeColor="text1"/>
                <w:szCs w:val="24"/>
                <w14:textFill>
                  <w14:solidFill>
                    <w14:schemeClr w14:val="tx1"/>
                  </w14:solidFill>
                </w14:textFill>
              </w:rPr>
              <w:t>t/a</w:t>
            </w:r>
            <w:r>
              <w:rPr>
                <w:rFonts w:hint="eastAsia" w:hAnsi="Times New Roman" w:cs="Times New Roman"/>
                <w:color w:val="000000" w:themeColor="text1"/>
                <w:szCs w:val="24"/>
                <w:lang w:eastAsia="zh-CN"/>
                <w14:textFill>
                  <w14:solidFill>
                    <w14:schemeClr w14:val="tx1"/>
                  </w14:solidFill>
                </w14:textFill>
              </w:rPr>
              <w:t>，</w:t>
            </w:r>
            <w:r>
              <w:rPr>
                <w:rFonts w:hint="eastAsia" w:hAnsi="Times New Roman" w:cs="Times New Roman"/>
                <w:color w:val="000000" w:themeColor="text1"/>
                <w:szCs w:val="24"/>
                <w:lang w:val="en-US" w:eastAsia="zh-CN"/>
                <w14:textFill>
                  <w14:solidFill>
                    <w14:schemeClr w14:val="tx1"/>
                  </w14:solidFill>
                </w14:textFill>
              </w:rPr>
              <w:t>则产生的</w:t>
            </w:r>
            <w:r>
              <w:rPr>
                <w:rFonts w:hint="default" w:ascii="Times New Roman" w:hAnsi="Times New Roman" w:cs="Times New Roman"/>
                <w:color w:val="000000" w:themeColor="text1"/>
                <w:szCs w:val="24"/>
                <w14:textFill>
                  <w14:solidFill>
                    <w14:schemeClr w14:val="tx1"/>
                  </w14:solidFill>
                </w14:textFill>
              </w:rPr>
              <w:t>NH</w:t>
            </w:r>
            <w:r>
              <w:rPr>
                <w:rFonts w:hint="default" w:ascii="Times New Roman" w:hAnsi="Times New Roman" w:cs="Times New Roman"/>
                <w:color w:val="000000" w:themeColor="text1"/>
                <w:szCs w:val="24"/>
                <w:vertAlign w:val="sub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为0.</w:t>
            </w:r>
            <w:r>
              <w:rPr>
                <w:rFonts w:hint="eastAsia" w:hAnsi="Times New Roman" w:cs="Times New Roman"/>
                <w:color w:val="000000" w:themeColor="text1"/>
                <w:szCs w:val="24"/>
                <w:lang w:val="en-US" w:eastAsia="zh-CN"/>
                <w14:textFill>
                  <w14:solidFill>
                    <w14:schemeClr w14:val="tx1"/>
                  </w14:solidFill>
                </w14:textFill>
              </w:rPr>
              <w:t>0399</w:t>
            </w:r>
            <w:r>
              <w:rPr>
                <w:rFonts w:hint="default" w:ascii="Times New Roman" w:hAnsi="Times New Roman" w:cs="Times New Roman"/>
                <w:color w:val="000000" w:themeColor="text1"/>
                <w:szCs w:val="24"/>
                <w14:textFill>
                  <w14:solidFill>
                    <w14:schemeClr w14:val="tx1"/>
                  </w14:solidFill>
                </w14:textFill>
              </w:rPr>
              <w:t>t/a；H</w:t>
            </w:r>
            <w:r>
              <w:rPr>
                <w:rFonts w:hint="default" w:ascii="Times New Roman" w:hAnsi="Times New Roman" w:cs="Times New Roman"/>
                <w:color w:val="000000" w:themeColor="text1"/>
                <w:szCs w:val="24"/>
                <w:vertAlign w:val="subscript"/>
                <w14:textFill>
                  <w14:solidFill>
                    <w14:schemeClr w14:val="tx1"/>
                  </w14:solidFill>
                </w14:textFill>
              </w:rPr>
              <w:t>2</w:t>
            </w:r>
            <w:r>
              <w:rPr>
                <w:rFonts w:hint="default" w:ascii="Times New Roman" w:hAnsi="Times New Roman" w:cs="Times New Roman"/>
                <w:color w:val="000000" w:themeColor="text1"/>
                <w:szCs w:val="24"/>
                <w14:textFill>
                  <w14:solidFill>
                    <w14:schemeClr w14:val="tx1"/>
                  </w14:solidFill>
                </w14:textFill>
              </w:rPr>
              <w:t>S产生量为0.01</w:t>
            </w:r>
            <w:r>
              <w:rPr>
                <w:rFonts w:hint="eastAsia" w:hAnsi="Times New Roman" w:cs="Times New Roman"/>
                <w:color w:val="000000" w:themeColor="text1"/>
                <w:szCs w:val="24"/>
                <w:lang w:val="en-US" w:eastAsia="zh-CN"/>
                <w14:textFill>
                  <w14:solidFill>
                    <w14:schemeClr w14:val="tx1"/>
                  </w14:solidFill>
                </w14:textFill>
              </w:rPr>
              <w:t>54</w:t>
            </w:r>
            <w:r>
              <w:rPr>
                <w:rFonts w:hint="default" w:ascii="Times New Roman" w:hAnsi="Times New Roman" w:cs="Times New Roman"/>
                <w:color w:val="000000" w:themeColor="text1"/>
                <w:szCs w:val="24"/>
                <w14:textFill>
                  <w14:solidFill>
                    <w14:schemeClr w14:val="tx1"/>
                  </w14:solidFill>
                </w14:textFill>
              </w:rPr>
              <w:t>t/a。通过在收集池、调节池、MBR综合池和污泥池等加盖封闭后安装成套收气装置（排风量5000m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/h；集气效率90%），集中收集臭气至离子除臭装置（除臭效率80%）进行处理再通过15m排气筒排放。其中未收集气体呈无组织面源排放，</w:t>
            </w:r>
            <w:r>
              <w:rPr>
                <w:rFonts w:hint="default" w:ascii="Times New Roman" w:hAnsi="Times New Roman" w:cs="Times New Roman"/>
                <w:color w:val="000000" w:themeColor="text1"/>
                <w14:textFill>
                  <w14:solidFill>
                    <w14:schemeClr w14:val="tx1"/>
                  </w14:solidFill>
                </w14:textFill>
              </w:rPr>
              <w:t>通过厂区周边绿化吸收，能够有效降低恶臭气体的影响。</w:t>
            </w:r>
            <w:r>
              <w:rPr>
                <w:rFonts w:hint="default" w:ascii="Times New Roman" w:hAnsi="Times New Roman" w:cs="Times New Roman"/>
                <w:color w:val="000000" w:themeColor="text1"/>
                <w:szCs w:val="24"/>
                <w14:textFill>
                  <w14:solidFill>
                    <w14:schemeClr w14:val="tx1"/>
                  </w14:solidFill>
                </w14:textFill>
              </w:rPr>
              <w:t>具体恶臭污染物排放如下表：</w:t>
            </w:r>
          </w:p>
          <w:p>
            <w:pPr>
              <w:pStyle w:val="165"/>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表</w:t>
            </w:r>
            <w:r>
              <w:rPr>
                <w:rFonts w:hint="eastAsia" w:ascii="Times New Roman" w:cs="Times New Roman"/>
                <w:b/>
                <w:color w:val="000000" w:themeColor="text1"/>
                <w:sz w:val="21"/>
                <w:lang w:val="en-US" w:eastAsia="zh-CN"/>
                <w14:textFill>
                  <w14:solidFill>
                    <w14:schemeClr w14:val="tx1"/>
                  </w14:solidFill>
                </w14:textFill>
              </w:rPr>
              <w:t>20</w:t>
            </w:r>
            <w:r>
              <w:rPr>
                <w:rFonts w:hint="default" w:ascii="Times New Roman" w:hAnsi="Times New Roman" w:cs="Times New Roman"/>
                <w:b/>
                <w:color w:val="000000" w:themeColor="text1"/>
                <w:sz w:val="21"/>
                <w14:textFill>
                  <w14:solidFill>
                    <w14:schemeClr w14:val="tx1"/>
                  </w14:solidFill>
                </w14:textFill>
              </w:rPr>
              <w:t xml:space="preserve">  恶臭处理后排放情况   （单位：t/a）</w:t>
            </w:r>
          </w:p>
          <w:tbl>
            <w:tblPr>
              <w:tblStyle w:val="32"/>
              <w:tblW w:w="8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1888"/>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gridSpan w:val="2"/>
                  <w:tcBorders>
                    <w:top w:val="single" w:color="auto" w:sz="12" w:space="0"/>
                    <w:left w:val="nil"/>
                    <w:tl2br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         污染源</w:t>
                  </w:r>
                </w:p>
                <w:p>
                  <w:pPr>
                    <w:pStyle w:val="16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5386" w:type="dxa"/>
                  <w:tcBorders>
                    <w:top w:val="single" w:color="auto" w:sz="12"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收集池、调节池、MBR综合池和污泥池等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vMerge w:val="restart"/>
                  <w:tcBorders>
                    <w:lef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1888" w:type="dxa"/>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有组织排放量</w:t>
                  </w:r>
                </w:p>
              </w:tc>
              <w:tc>
                <w:tcPr>
                  <w:tcW w:w="5386" w:type="dxa"/>
                  <w:tcBorders>
                    <w:right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宋体"/>
                      <w:color w:val="000000" w:themeColor="text1"/>
                      <w:sz w:val="21"/>
                      <w:szCs w:val="21"/>
                      <w14:textFill>
                        <w14:solidFill>
                          <w14:schemeClr w14:val="tx1"/>
                        </w14:solidFill>
                      </w14:textFill>
                    </w:rPr>
                    <w:t>0.0</w:t>
                  </w:r>
                  <w:r>
                    <w:rPr>
                      <w:rFonts w:hint="eastAsia" w:eastAsia="宋体" w:cs="宋体"/>
                      <w:color w:val="000000" w:themeColor="text1"/>
                      <w:sz w:val="21"/>
                      <w:szCs w:val="21"/>
                      <w:lang w:val="en-US" w:eastAsia="zh-CN"/>
                      <w14:textFill>
                        <w14:solidFill>
                          <w14:schemeClr w14:val="tx1"/>
                        </w14:solidFill>
                      </w14:textFill>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vMerge w:val="continue"/>
                  <w:tcBorders>
                    <w:lef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88" w:type="dxa"/>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无组织排放量</w:t>
                  </w:r>
                </w:p>
              </w:tc>
              <w:tc>
                <w:tcPr>
                  <w:tcW w:w="5386" w:type="dxa"/>
                  <w:tcBorders>
                    <w:right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宋体"/>
                      <w:color w:val="000000" w:themeColor="text1"/>
                      <w:sz w:val="21"/>
                      <w:szCs w:val="21"/>
                      <w14:textFill>
                        <w14:solidFill>
                          <w14:schemeClr w14:val="tx1"/>
                        </w14:solidFill>
                      </w14:textFill>
                    </w:rPr>
                    <w:t>0.0</w:t>
                  </w:r>
                  <w:r>
                    <w:rPr>
                      <w:rFonts w:hint="eastAsia" w:eastAsia="宋体" w:cs="宋体"/>
                      <w:color w:val="000000" w:themeColor="text1"/>
                      <w:sz w:val="21"/>
                      <w:szCs w:val="21"/>
                      <w:lang w:val="en-US" w:eastAsia="zh-CN"/>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vMerge w:val="restart"/>
                  <w:tcBorders>
                    <w:lef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w:t>
                  </w:r>
                </w:p>
              </w:tc>
              <w:tc>
                <w:tcPr>
                  <w:tcW w:w="1888" w:type="dxa"/>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有组织排放量</w:t>
                  </w:r>
                </w:p>
              </w:tc>
              <w:tc>
                <w:tcPr>
                  <w:tcW w:w="5386" w:type="dxa"/>
                  <w:tcBorders>
                    <w:right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宋体"/>
                      <w:color w:val="000000" w:themeColor="text1"/>
                      <w:sz w:val="21"/>
                      <w:szCs w:val="21"/>
                      <w14:textFill>
                        <w14:solidFill>
                          <w14:schemeClr w14:val="tx1"/>
                        </w14:solidFill>
                      </w14:textFill>
                    </w:rPr>
                    <w:t>0.00</w:t>
                  </w:r>
                  <w:r>
                    <w:rPr>
                      <w:rFonts w:hint="eastAsia" w:eastAsia="宋体" w:cs="宋体"/>
                      <w:color w:val="000000" w:themeColor="text1"/>
                      <w:sz w:val="21"/>
                      <w:szCs w:val="21"/>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vMerge w:val="continue"/>
                  <w:tcBorders>
                    <w:left w:val="nil"/>
                    <w:bottom w:val="single" w:color="auto" w:sz="12"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88" w:type="dxa"/>
                  <w:tcBorders>
                    <w:bottom w:val="single" w:color="auto" w:sz="12"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无组织排放量</w:t>
                  </w:r>
                </w:p>
              </w:tc>
              <w:tc>
                <w:tcPr>
                  <w:tcW w:w="5386" w:type="dxa"/>
                  <w:tcBorders>
                    <w:bottom w:val="single" w:color="auto" w:sz="12" w:space="0"/>
                    <w:right w:val="nil"/>
                  </w:tcBorders>
                  <w:shd w:val="clear" w:color="auto" w:fill="auto"/>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宋体"/>
                      <w:color w:val="000000" w:themeColor="text1"/>
                      <w:sz w:val="21"/>
                      <w:szCs w:val="21"/>
                      <w14:textFill>
                        <w14:solidFill>
                          <w14:schemeClr w14:val="tx1"/>
                        </w14:solidFill>
                      </w14:textFill>
                    </w:rPr>
                    <w:t>0.001</w:t>
                  </w:r>
                  <w:r>
                    <w:rPr>
                      <w:rFonts w:hint="eastAsia" w:eastAsia="宋体" w:cs="宋体"/>
                      <w:color w:val="000000" w:themeColor="text1"/>
                      <w:sz w:val="21"/>
                      <w:szCs w:val="21"/>
                      <w:lang w:val="en-US" w:eastAsia="zh-CN"/>
                      <w14:textFill>
                        <w14:solidFill>
                          <w14:schemeClr w14:val="tx1"/>
                        </w14:solidFill>
                      </w14:textFill>
                    </w:rPr>
                    <w:t>5</w:t>
                  </w:r>
                </w:p>
              </w:tc>
            </w:tr>
          </w:tbl>
          <w:p>
            <w:pPr>
              <w:pStyle w:val="53"/>
              <w:ind w:firstLine="470"/>
              <w:rPr>
                <w:rFonts w:hint="default" w:ascii="Times New Roman" w:hAnsi="Times New Roman" w:cs="Times New Roman"/>
                <w:b w:val="0"/>
                <w:color w:val="000000" w:themeColor="text1"/>
                <w:lang w:val="en-US"/>
                <w14:textFill>
                  <w14:solidFill>
                    <w14:schemeClr w14:val="tx1"/>
                  </w14:solidFill>
                </w14:textFill>
              </w:rPr>
            </w:pPr>
            <w:r>
              <w:rPr>
                <w:rFonts w:hint="default" w:ascii="Times New Roman" w:hAnsi="Times New Roman" w:cs="Times New Roman"/>
                <w:b w:val="0"/>
                <w:color w:val="000000" w:themeColor="text1"/>
                <w:lang w:val="en-US"/>
                <w14:textFill>
                  <w14:solidFill>
                    <w14:schemeClr w14:val="tx1"/>
                  </w14:solidFill>
                </w14:textFill>
              </w:rPr>
              <w:t>根据普大华发表的《污水处理厂除臭工艺及工程应用》学术研究可知，离子除臭法已广泛应用于污水处理厂除臭，其除臭效率能达到80%以上。其具有工艺简单，不需专人看管，运行成本低等优点。本项目通过安装离子除臭器进行除臭较为可行。</w:t>
            </w:r>
          </w:p>
          <w:p>
            <w:pPr>
              <w:pStyle w:val="53"/>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2、废水</w:t>
            </w:r>
          </w:p>
          <w:p>
            <w:pPr>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（1）渗滤液</w:t>
            </w:r>
          </w:p>
          <w:p>
            <w:pPr>
              <w:pStyle w:val="15"/>
              <w:spacing w:line="56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本项目涉及的废水主要包括填埋场垃圾渗滤液、工作人员生活污水，其中生活污水纳入渗滤液处理系统进行处理。本项目渗滤液处理量30.0m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/d（7350m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采用“</w:t>
            </w:r>
            <w:r>
              <w:rPr>
                <w:rFonts w:hint="default" w:ascii="Times New Roman" w:hAnsi="Times New Roman" w:eastAsia="宋体" w:cs="Times New Roman"/>
                <w:color w:val="000000" w:themeColor="text1"/>
                <w:sz w:val="24"/>
                <w:szCs w:val="24"/>
                <w14:textFill>
                  <w14:solidFill>
                    <w14:schemeClr w14:val="tx1"/>
                  </w14:solidFill>
                </w14:textFill>
              </w:rPr>
              <w:t>MBR+反渗透</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 xml:space="preserve">处理工艺，尾水达到《生活垃圾填埋场污染控制标准》（GB16889-2008）中表2浓度限值和同时，该尾水能够满足《城市污水再生利用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绿地灌溉</w:t>
            </w:r>
            <w:r>
              <w:rPr>
                <w:rFonts w:hint="default" w:ascii="Times New Roman" w:hAnsi="Times New Roman" w:eastAsia="宋体" w:cs="Times New Roman"/>
                <w:color w:val="000000" w:themeColor="text1"/>
                <w:sz w:val="24"/>
                <w:szCs w:val="24"/>
                <w14:textFill>
                  <w14:solidFill>
                    <w14:schemeClr w14:val="tx1"/>
                  </w14:solidFill>
                </w14:textFill>
              </w:rPr>
              <w:t>水质》（GB2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5499</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）中浓度限值，可</w:t>
            </w:r>
            <w:r>
              <w:rPr>
                <w:rFonts w:hint="default" w:ascii="Times New Roman" w:hAnsi="Times New Roman" w:eastAsia="宋体" w:cs="Times New Roman"/>
                <w:color w:val="000000" w:themeColor="text1"/>
                <w:sz w:val="24"/>
                <w:szCs w:val="24"/>
                <w:lang w:eastAsia="zh-CN"/>
                <w14:textFill>
                  <w14:solidFill>
                    <w14:schemeClr w14:val="tx1"/>
                  </w14:solidFill>
                </w14:textFill>
              </w:rPr>
              <w:t>用于生活垃圾填埋场场区绿化</w:t>
            </w:r>
            <w:r>
              <w:rPr>
                <w:rFonts w:hint="default" w:ascii="Times New Roman" w:hAnsi="Times New Roman" w:eastAsia="宋体" w:cs="Times New Roman"/>
                <w:color w:val="000000" w:themeColor="text1"/>
                <w:sz w:val="24"/>
                <w:szCs w:val="24"/>
                <w14:textFill>
                  <w14:solidFill>
                    <w14:schemeClr w14:val="tx1"/>
                  </w14:solidFill>
                </w14:textFill>
              </w:rPr>
              <w:t>。具体废水来源及其产生量见下表。</w:t>
            </w:r>
          </w:p>
          <w:p>
            <w:pPr>
              <w:pStyle w:val="158"/>
              <w:spacing w:before="156" w:beforeLines="50" w:line="240" w:lineRule="auto"/>
              <w:ind w:firstLine="0" w:firstLineChars="0"/>
              <w:jc w:val="center"/>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表</w:t>
            </w:r>
            <w:r>
              <w:rPr>
                <w:rFonts w:hint="eastAsia" w:ascii="Times New Roman" w:hAnsi="Times New Roman" w:eastAsia="宋体" w:cs="Times New Roman"/>
                <w:b/>
                <w:color w:val="000000" w:themeColor="text1"/>
                <w:sz w:val="21"/>
                <w:lang w:val="en-US" w:eastAsia="zh-CN"/>
                <w14:textFill>
                  <w14:solidFill>
                    <w14:schemeClr w14:val="tx1"/>
                  </w14:solidFill>
                </w14:textFill>
              </w:rPr>
              <w:t>21</w:t>
            </w:r>
            <w:r>
              <w:rPr>
                <w:rFonts w:hint="default" w:ascii="Times New Roman" w:hAnsi="Times New Roman" w:eastAsia="宋体" w:cs="Times New Roman"/>
                <w:b/>
                <w:color w:val="000000" w:themeColor="text1"/>
                <w:sz w:val="21"/>
                <w14:textFill>
                  <w14:solidFill>
                    <w14:schemeClr w14:val="tx1"/>
                  </w14:solidFill>
                </w14:textFill>
              </w:rPr>
              <w:t xml:space="preserve">  本项目废水产生指标</w:t>
            </w:r>
          </w:p>
          <w:tbl>
            <w:tblPr>
              <w:tblStyle w:val="32"/>
              <w:tblW w:w="896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265"/>
              <w:gridCol w:w="1266"/>
              <w:gridCol w:w="1262"/>
              <w:gridCol w:w="1103"/>
              <w:gridCol w:w="1198"/>
              <w:gridCol w:w="13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3"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项  目</w:t>
                  </w:r>
                </w:p>
              </w:tc>
              <w:tc>
                <w:tcPr>
                  <w:tcW w:w="2531" w:type="dxa"/>
                  <w:gridSpan w:val="2"/>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COD</w:t>
                  </w:r>
                </w:p>
              </w:tc>
              <w:tc>
                <w:tcPr>
                  <w:tcW w:w="2365" w:type="dxa"/>
                  <w:gridSpan w:val="2"/>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BOD</w:t>
                  </w:r>
                  <w:r>
                    <w:rPr>
                      <w:rFonts w:hint="default" w:ascii="Times New Roman" w:hAnsi="Times New Roman" w:eastAsia="宋体" w:cs="Times New Roman"/>
                      <w:color w:val="000000" w:themeColor="text1"/>
                      <w:sz w:val="21"/>
                      <w:vertAlign w:val="subscript"/>
                      <w14:textFill>
                        <w14:solidFill>
                          <w14:schemeClr w14:val="tx1"/>
                        </w14:solidFill>
                      </w14:textFill>
                    </w:rPr>
                    <w:t>5</w:t>
                  </w:r>
                </w:p>
              </w:tc>
              <w:tc>
                <w:tcPr>
                  <w:tcW w:w="2525" w:type="dxa"/>
                  <w:gridSpan w:val="2"/>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NH</w:t>
                  </w:r>
                  <w:r>
                    <w:rPr>
                      <w:rFonts w:hint="default" w:ascii="Times New Roman" w:hAnsi="Times New Roman" w:eastAsia="宋体" w:cs="Times New Roman"/>
                      <w:color w:val="000000" w:themeColor="text1"/>
                      <w:sz w:val="21"/>
                      <w:vertAlign w:val="sub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3"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单 位</w:t>
                  </w:r>
                </w:p>
              </w:tc>
              <w:tc>
                <w:tcPr>
                  <w:tcW w:w="1265"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mg/L</w:t>
                  </w:r>
                </w:p>
              </w:tc>
              <w:tc>
                <w:tcPr>
                  <w:tcW w:w="1266"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t/a</w:t>
                  </w:r>
                </w:p>
              </w:tc>
              <w:tc>
                <w:tcPr>
                  <w:tcW w:w="1262"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mg/L</w:t>
                  </w:r>
                </w:p>
              </w:tc>
              <w:tc>
                <w:tcPr>
                  <w:tcW w:w="1103"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t/a</w:t>
                  </w:r>
                </w:p>
              </w:tc>
              <w:tc>
                <w:tcPr>
                  <w:tcW w:w="1198"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mg/L</w:t>
                  </w:r>
                </w:p>
              </w:tc>
              <w:tc>
                <w:tcPr>
                  <w:tcW w:w="1327"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3"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处理前渗滤液</w:t>
                  </w:r>
                </w:p>
              </w:tc>
              <w:tc>
                <w:tcPr>
                  <w:tcW w:w="1265"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4760</w:t>
                  </w:r>
                </w:p>
              </w:tc>
              <w:tc>
                <w:tcPr>
                  <w:tcW w:w="1266"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34.99</w:t>
                  </w:r>
                </w:p>
              </w:tc>
              <w:tc>
                <w:tcPr>
                  <w:tcW w:w="1262"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1749</w:t>
                  </w:r>
                </w:p>
              </w:tc>
              <w:tc>
                <w:tcPr>
                  <w:tcW w:w="1103"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12.86</w:t>
                  </w:r>
                </w:p>
              </w:tc>
              <w:tc>
                <w:tcPr>
                  <w:tcW w:w="1198"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1812</w:t>
                  </w:r>
                </w:p>
              </w:tc>
              <w:tc>
                <w:tcPr>
                  <w:tcW w:w="1327"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13.32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3"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处理后渗滤液</w:t>
                  </w:r>
                </w:p>
              </w:tc>
              <w:tc>
                <w:tcPr>
                  <w:tcW w:w="1265"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100</w:t>
                  </w:r>
                </w:p>
              </w:tc>
              <w:tc>
                <w:tcPr>
                  <w:tcW w:w="1266" w:type="dxa"/>
                  <w:vAlign w:val="center"/>
                </w:tcPr>
                <w:p>
                  <w:pPr>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0.735</w:t>
                  </w:r>
                </w:p>
              </w:tc>
              <w:tc>
                <w:tcPr>
                  <w:tcW w:w="1262" w:type="dxa"/>
                  <w:vAlign w:val="center"/>
                </w:tcPr>
                <w:p>
                  <w:pPr>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20</w:t>
                  </w:r>
                </w:p>
              </w:tc>
              <w:tc>
                <w:tcPr>
                  <w:tcW w:w="1103" w:type="dxa"/>
                  <w:vAlign w:val="center"/>
                </w:tcPr>
                <w:p>
                  <w:pPr>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w:t>
                  </w:r>
                  <w:r>
                    <w:rPr>
                      <w:rFonts w:hint="default" w:ascii="Times New Roman" w:hAnsi="Times New Roman" w:eastAsia="宋体" w:cs="Times New Roman"/>
                      <w:color w:val="000000" w:themeColor="text1"/>
                      <w:sz w:val="21"/>
                      <w:lang w:val="en-US" w:eastAsia="zh-CN"/>
                      <w14:textFill>
                        <w14:solidFill>
                          <w14:schemeClr w14:val="tx1"/>
                        </w14:solidFill>
                      </w14:textFill>
                    </w:rPr>
                    <w:t>147</w:t>
                  </w:r>
                </w:p>
              </w:tc>
              <w:tc>
                <w:tcPr>
                  <w:tcW w:w="1198" w:type="dxa"/>
                  <w:vAlign w:val="center"/>
                </w:tcPr>
                <w:p>
                  <w:pPr>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r>
                    <w:rPr>
                      <w:rFonts w:hint="default" w:ascii="Times New Roman" w:hAnsi="Times New Roman" w:eastAsia="宋体" w:cs="Times New Roman"/>
                      <w:color w:val="000000" w:themeColor="text1"/>
                      <w:sz w:val="21"/>
                      <w:lang w:val="en-US" w:eastAsia="zh-CN"/>
                      <w14:textFill>
                        <w14:solidFill>
                          <w14:schemeClr w14:val="tx1"/>
                        </w14:solidFill>
                      </w14:textFill>
                    </w:rPr>
                    <w:t>0</w:t>
                  </w:r>
                </w:p>
              </w:tc>
              <w:tc>
                <w:tcPr>
                  <w:tcW w:w="1327" w:type="dxa"/>
                  <w:vAlign w:val="center"/>
                </w:tcPr>
                <w:p>
                  <w:pPr>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0.1</w:t>
                  </w:r>
                  <w:r>
                    <w:rPr>
                      <w:rFonts w:hint="default" w:ascii="Times New Roman" w:hAnsi="Times New Roman" w:eastAsia="宋体" w:cs="Times New Roman"/>
                      <w:color w:val="000000" w:themeColor="text1"/>
                      <w:sz w:val="21"/>
                      <w:lang w:val="en-US" w:eastAsia="zh-CN"/>
                      <w14:textFill>
                        <w14:solidFill>
                          <w14:schemeClr w14:val="tx1"/>
                        </w14:solidFill>
                      </w14:textFill>
                    </w:rPr>
                    <w:t>47</w:t>
                  </w:r>
                </w:p>
              </w:tc>
            </w:tr>
          </w:tbl>
          <w:p>
            <w:pPr>
              <w:pStyle w:val="15"/>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（2）浓缩液</w:t>
            </w:r>
          </w:p>
          <w:p>
            <w:pPr>
              <w:pStyle w:val="15"/>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根据薛方亮发表的《浓缩液处理技术概述》学术研究可知，在反渗透系统中会产生量约15%~25%的浓缩液。因本项目渗滤液处理量较少，此处浓缩液量按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14:textFill>
                  <w14:solidFill>
                    <w14:schemeClr w14:val="tx1"/>
                  </w14:solidFill>
                </w14:textFill>
              </w:rPr>
              <w:t>%计，则产生量为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t/d。浓缩液先进入浓缩液收集池，再经池内潜污泵输送至填埋区回灌。</w:t>
            </w:r>
          </w:p>
          <w:p>
            <w:pPr>
              <w:pStyle w:val="53"/>
              <w:keepNext w:val="0"/>
              <w:keepLines w:val="0"/>
              <w:pageBreakBefore w:val="0"/>
              <w:widowControl w:val="0"/>
              <w:numPr>
                <w:ilvl w:val="0"/>
                <w:numId w:val="6"/>
              </w:numPr>
              <w:kinsoku/>
              <w:wordWrap/>
              <w:overflowPunct/>
              <w:topLinePunct w:val="0"/>
              <w:autoSpaceDE/>
              <w:autoSpaceDN/>
              <w:bidi w:val="0"/>
              <w:adjustRightInd/>
              <w:spacing w:line="520" w:lineRule="exact"/>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本项目产生的固体废物主要包括栅渣、污泥、废渗透膜和生活垃圾等。</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（1）栅渣</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调节池进水处管道设置有格栅，因填埋场收集渗滤液时经过一次过滤，故本项目格栅产生的栅渣量较少，产生量约为0.5t/a，集中收集后在填埋场进行填埋处理。</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（2）污泥</w:t>
            </w:r>
          </w:p>
          <w:p>
            <w:pPr>
              <w:keepNext w:val="0"/>
              <w:keepLines w:val="0"/>
              <w:pageBreakBefore w:val="0"/>
              <w:widowControl w:val="0"/>
              <w:kinsoku/>
              <w:wordWrap/>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生活垃圾填埋场渗滤液处理工程技术规范》（HJ564-2010）中剩余污泥产泥系数（0.1~0.3）kgMLSS/kgCOD，则剩余污泥产生量为10.50t/a，环评要求污泥须经过脱水至含水率小于60%后，由污泥螺杆泵排至填埋场填埋处理。根据查阅《国家危险废物名录》（2016版）可知，本项目污泥不属于国家规定的危险废物，属于一般固废，在垃圾填埋场填埋处理较为可行。</w:t>
            </w:r>
            <w:r>
              <w:rPr>
                <w:rFonts w:hint="eastAsia" w:eastAsia="宋体" w:cs="Times New Roman"/>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kinsoku/>
              <w:wordWrap/>
              <w:topLinePunct w:val="0"/>
              <w:autoSpaceDE/>
              <w:autoSpaceDN/>
              <w:bidi w:val="0"/>
              <w:spacing w:line="520" w:lineRule="exact"/>
              <w:ind w:left="84" w:leftChars="30" w:right="84" w:rightChars="3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（3）废渗透膜</w:t>
            </w:r>
          </w:p>
          <w:p>
            <w:pPr>
              <w:pStyle w:val="2"/>
              <w:keepNext w:val="0"/>
              <w:keepLines w:val="0"/>
              <w:pageBreakBefore w:val="0"/>
              <w:widowControl w:val="0"/>
              <w:kinsoku/>
              <w:wordWrap/>
              <w:topLinePunct w:val="0"/>
              <w:autoSpaceDE/>
              <w:autoSpaceDN/>
              <w:bidi w:val="0"/>
              <w:spacing w:line="52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lang w:val="en-US"/>
                <w14:textFill>
                  <w14:solidFill>
                    <w14:schemeClr w14:val="tx1"/>
                  </w14:solidFill>
                </w14:textFill>
              </w:rPr>
              <w:t>根据设计单位提供资料可知，渗透膜一般能够使用2~3年，废渗透膜产生量较少，约为0.3t/a，</w:t>
            </w:r>
            <w:r>
              <w:rPr>
                <w:rFonts w:hint="default" w:ascii="Times New Roman" w:hAnsi="Times New Roman" w:eastAsia="宋体" w:cs="Times New Roman"/>
                <w:color w:val="000000" w:themeColor="text1"/>
                <w:sz w:val="24"/>
                <w:szCs w:val="24"/>
                <w14:textFill>
                  <w14:solidFill>
                    <w14:schemeClr w14:val="tx1"/>
                  </w14:solidFill>
                </w14:textFill>
              </w:rPr>
              <w:t>集中收集后在填埋场进行填埋处理。</w:t>
            </w:r>
          </w:p>
          <w:p>
            <w:pPr>
              <w:pStyle w:val="2"/>
              <w:keepNext w:val="0"/>
              <w:keepLines w:val="0"/>
              <w:pageBreakBefore w:val="0"/>
              <w:widowControl w:val="0"/>
              <w:kinsoku/>
              <w:wordWrap/>
              <w:topLinePunct w:val="0"/>
              <w:autoSpaceDE/>
              <w:autoSpaceDN/>
              <w:bidi w:val="0"/>
              <w:spacing w:line="520" w:lineRule="exact"/>
              <w:ind w:firstLine="480" w:firstLineChars="200"/>
              <w:jc w:val="left"/>
              <w:textAlignment w:val="auto"/>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（4）生活垃圾</w:t>
            </w:r>
          </w:p>
          <w:p>
            <w:pPr>
              <w:keepNext w:val="0"/>
              <w:keepLines w:val="0"/>
              <w:pageBreakBefore w:val="0"/>
              <w:widowControl w:val="0"/>
              <w:kinsoku/>
              <w:wordWrap/>
              <w:topLinePunct w:val="0"/>
              <w:autoSpaceDE/>
              <w:autoSpaceDN/>
              <w:bidi w:val="0"/>
              <w:spacing w:line="520" w:lineRule="exact"/>
              <w:ind w:left="84" w:leftChars="30" w:right="84" w:rightChars="3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本项目新增工作人员3人，按每人每天产生0.5kg的生活垃圾计算，则产生生活垃圾0.37t/a，集中收集后在填埋场进行填埋处理。</w:t>
            </w:r>
          </w:p>
          <w:p>
            <w:pPr>
              <w:pStyle w:val="53"/>
              <w:keepNext w:val="0"/>
              <w:keepLines w:val="0"/>
              <w:pageBreakBefore w:val="0"/>
              <w:widowControl w:val="0"/>
              <w:kinsoku/>
              <w:wordWrap/>
              <w:topLinePunct w:val="0"/>
              <w:autoSpaceDE/>
              <w:autoSpaceDN/>
              <w:bidi w:val="0"/>
              <w:spacing w:line="520" w:lineRule="exact"/>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4、噪声</w:t>
            </w:r>
          </w:p>
          <w:p>
            <w:pPr>
              <w:pStyle w:val="15"/>
              <w:keepNext w:val="0"/>
              <w:keepLines w:val="0"/>
              <w:pageBreakBefore w:val="0"/>
              <w:widowControl w:val="0"/>
              <w:kinsoku/>
              <w:wordWrap/>
              <w:topLinePunct w:val="0"/>
              <w:autoSpaceDE/>
              <w:autoSpaceDN/>
              <w:bidi w:val="0"/>
              <w:spacing w:line="52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本项目的噪声主要来源于机械设备工作时发出的噪声，主要有各类水泵、搅拌机、鼓风机等。本工程所使用的机械产生的噪声值见下表。</w:t>
            </w:r>
          </w:p>
          <w:p>
            <w:pPr>
              <w:pStyle w:val="158"/>
              <w:keepNext w:val="0"/>
              <w:keepLines w:val="0"/>
              <w:pageBreakBefore w:val="0"/>
              <w:widowControl w:val="0"/>
              <w:kinsoku/>
              <w:wordWrap/>
              <w:topLinePunct w:val="0"/>
              <w:autoSpaceDE/>
              <w:autoSpaceDN/>
              <w:bidi w:val="0"/>
              <w:spacing w:line="520" w:lineRule="exact"/>
              <w:ind w:firstLine="0" w:firstLineChars="0"/>
              <w:jc w:val="center"/>
              <w:textAlignment w:val="auto"/>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表2</w:t>
            </w:r>
            <w:r>
              <w:rPr>
                <w:rFonts w:hint="eastAsia" w:ascii="Times New Roman" w:hAnsi="Times New Roman" w:eastAsia="宋体" w:cs="Times New Roman"/>
                <w:b/>
                <w:color w:val="000000" w:themeColor="text1"/>
                <w:sz w:val="21"/>
                <w:lang w:val="en-US" w:eastAsia="zh-CN"/>
                <w14:textFill>
                  <w14:solidFill>
                    <w14:schemeClr w14:val="tx1"/>
                  </w14:solidFill>
                </w14:textFill>
              </w:rPr>
              <w:t>2</w:t>
            </w:r>
            <w:r>
              <w:rPr>
                <w:rFonts w:hint="default" w:ascii="Times New Roman" w:hAnsi="Times New Roman" w:eastAsia="宋体" w:cs="Times New Roman"/>
                <w:b/>
                <w:color w:val="000000" w:themeColor="text1"/>
                <w:sz w:val="21"/>
                <w14:textFill>
                  <w14:solidFill>
                    <w14:schemeClr w14:val="tx1"/>
                  </w14:solidFill>
                </w14:textFill>
              </w:rPr>
              <w:t xml:space="preserve">  机械设备单台噪声表</w:t>
            </w:r>
          </w:p>
          <w:tbl>
            <w:tblPr>
              <w:tblStyle w:val="32"/>
              <w:tblW w:w="89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2017"/>
              <w:gridCol w:w="1986"/>
              <w:gridCol w:w="4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编号</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噪声级dB（A）</w:t>
                  </w:r>
                </w:p>
              </w:tc>
              <w:tc>
                <w:tcPr>
                  <w:tcW w:w="409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污水提升泵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409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提升泵站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潜水搅拌机</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4097" w:type="dxa"/>
                  <w:vMerge w:val="restart"/>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MBR生化池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continue"/>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循环泵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continue"/>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回流泵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continue"/>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冷却污泥泵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continue"/>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冷却水泵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continue"/>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restart"/>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pt-BR"/>
                      <w14:textFill>
                        <w14:solidFill>
                          <w14:schemeClr w14:val="tx1"/>
                        </w14:solidFill>
                      </w14:textFill>
                    </w:rPr>
                    <w:t>综合水池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脱水清液泵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continue"/>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2017" w:type="dxa"/>
                  <w:vAlign w:val="center"/>
                </w:tcPr>
                <w:p>
                  <w:pPr>
                    <w:pStyle w:val="15"/>
                    <w:jc w:val="center"/>
                    <w:rPr>
                      <w:rFonts w:hint="default" w:ascii="Times New Roman" w:hAnsi="Times New Roman" w:eastAsia="宋体" w:cs="Times New Roman"/>
                      <w:color w:val="000000" w:themeColor="text1"/>
                      <w:sz w:val="21"/>
                      <w:szCs w:val="21"/>
                      <w:lang w:val="pt-B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循环泵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restart"/>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MBR超滤系统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2017" w:type="dxa"/>
                  <w:vAlign w:val="center"/>
                </w:tcPr>
                <w:p>
                  <w:pPr>
                    <w:pStyle w:val="15"/>
                    <w:jc w:val="center"/>
                    <w:rPr>
                      <w:rFonts w:hint="default" w:ascii="Times New Roman" w:hAnsi="Times New Roman" w:eastAsia="宋体" w:cs="Times New Roman"/>
                      <w:color w:val="000000" w:themeColor="text1"/>
                      <w:sz w:val="21"/>
                      <w:szCs w:val="21"/>
                      <w:lang w:val="pt-B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加酸泵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continue"/>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restart"/>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反渗透(RO)系统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清液外排泵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Merge w:val="continue"/>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罗茨鼓风机</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w:t>
                  </w:r>
                </w:p>
              </w:tc>
              <w:tc>
                <w:tcPr>
                  <w:tcW w:w="409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位于综合用房风机房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药剂投加泵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位于综合用房加药间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4"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201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浓缩液回灌泵</w:t>
                  </w:r>
                </w:p>
              </w:tc>
              <w:tc>
                <w:tcPr>
                  <w:tcW w:w="1986"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4097" w:type="dxa"/>
                  <w:vAlign w:val="center"/>
                </w:tcPr>
                <w:p>
                  <w:pPr>
                    <w:pStyle w:val="1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位于综合用房</w:t>
                  </w:r>
                </w:p>
              </w:tc>
            </w:tr>
          </w:tbl>
          <w:p>
            <w:pPr>
              <w:adjustRightInd w:val="0"/>
              <w:snapToGrid w:val="0"/>
              <w:spacing w:before="156" w:beforeLines="50" w:line="560" w:lineRule="exact"/>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5、“三本账”情况</w:t>
            </w:r>
          </w:p>
          <w:p>
            <w:pPr>
              <w:adjustRightInd w:val="0"/>
              <w:snapToGrid w:val="0"/>
              <w:spacing w:line="560" w:lineRule="exact"/>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本项目技改前无渗滤液处理能力，技改后处理能力为30.0m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w:t>
            </w:r>
            <w:r>
              <w:rPr>
                <w:rFonts w:hint="default" w:ascii="Times New Roman" w:hAnsi="Times New Roman" w:eastAsia="宋体" w:cs="Times New Roman"/>
                <w:bCs/>
                <w:color w:val="000000" w:themeColor="text1"/>
                <w:sz w:val="24"/>
                <w14:textFill>
                  <w14:solidFill>
                    <w14:schemeClr w14:val="tx1"/>
                  </w14:solidFill>
                </w14:textFill>
              </w:rPr>
              <w:t>项目建设前后，厂区污染物“三本账”情况见下表。本项目渗滤液技改前后均不向外排放，技改前为收集后回喷，技改后尾水用于道路洒水抑尘和厂区周边绿化</w:t>
            </w:r>
            <w:r>
              <w:rPr>
                <w:rFonts w:hint="default" w:ascii="Times New Roman" w:hAnsi="Times New Roman" w:eastAsia="宋体" w:cs="Times New Roman"/>
                <w:color w:val="000000" w:themeColor="text1"/>
                <w:sz w:val="24"/>
                <w:szCs w:val="24"/>
                <w14:textFill>
                  <w14:solidFill>
                    <w14:schemeClr w14:val="tx1"/>
                  </w14:solidFill>
                </w14:textFill>
              </w:rPr>
              <w:t>，下表中“排放”意为“处理后情况”。</w:t>
            </w:r>
          </w:p>
          <w:p>
            <w:pPr>
              <w:adjustRightInd w:val="0"/>
              <w:snapToGrid w:val="0"/>
              <w:ind w:firstLine="422" w:firstLineChars="20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表2</w:t>
            </w:r>
            <w:r>
              <w:rPr>
                <w:rFonts w:hint="eastAsia" w:eastAsia="宋体" w:cs="Times New Roman"/>
                <w:b/>
                <w:bCs/>
                <w:color w:val="000000" w:themeColor="text1"/>
                <w:sz w:val="21"/>
                <w:szCs w:val="21"/>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污染物“三本账”一览表   单位：t/a</w:t>
            </w:r>
          </w:p>
          <w:tbl>
            <w:tblPr>
              <w:tblStyle w:val="32"/>
              <w:tblW w:w="89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104"/>
              <w:gridCol w:w="986"/>
              <w:gridCol w:w="986"/>
              <w:gridCol w:w="986"/>
              <w:gridCol w:w="986"/>
              <w:gridCol w:w="1103"/>
              <w:gridCol w:w="1103"/>
              <w:gridCol w:w="1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498" w:type="dxa"/>
                  <w:vMerge w:val="restart"/>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种类</w:t>
                  </w:r>
                </w:p>
              </w:tc>
              <w:tc>
                <w:tcPr>
                  <w:tcW w:w="1104" w:type="dxa"/>
                  <w:vMerge w:val="restart"/>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污染物</w:t>
                  </w:r>
                </w:p>
              </w:tc>
              <w:tc>
                <w:tcPr>
                  <w:tcW w:w="986" w:type="dxa"/>
                  <w:vMerge w:val="restart"/>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技改前排放量</w:t>
                  </w:r>
                </w:p>
              </w:tc>
              <w:tc>
                <w:tcPr>
                  <w:tcW w:w="2958" w:type="dxa"/>
                  <w:gridSpan w:val="3"/>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本工程</w:t>
                  </w:r>
                </w:p>
              </w:tc>
              <w:tc>
                <w:tcPr>
                  <w:tcW w:w="1103" w:type="dxa"/>
                  <w:vMerge w:val="restart"/>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“以新带老”削减量</w:t>
                  </w:r>
                </w:p>
              </w:tc>
              <w:tc>
                <w:tcPr>
                  <w:tcW w:w="1103" w:type="dxa"/>
                  <w:vMerge w:val="restart"/>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技改后全厂排放总量</w:t>
                  </w:r>
                </w:p>
              </w:tc>
              <w:tc>
                <w:tcPr>
                  <w:tcW w:w="1212" w:type="dxa"/>
                  <w:vMerge w:val="restart"/>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498" w:type="dxa"/>
                  <w:vMerge w:val="continue"/>
                  <w:vAlign w:val="center"/>
                </w:tcPr>
                <w:p>
                  <w:pPr>
                    <w:widowControl/>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04" w:type="dxa"/>
                  <w:vMerge w:val="continue"/>
                  <w:vAlign w:val="center"/>
                </w:tcPr>
                <w:p>
                  <w:pPr>
                    <w:widowControl/>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86" w:type="dxa"/>
                  <w:vMerge w:val="continue"/>
                  <w:vAlign w:val="center"/>
                </w:tcPr>
                <w:p>
                  <w:pPr>
                    <w:widowControl/>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86" w:type="dxa"/>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产生量</w:t>
                  </w:r>
                </w:p>
              </w:tc>
              <w:tc>
                <w:tcPr>
                  <w:tcW w:w="986" w:type="dxa"/>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削减量</w:t>
                  </w:r>
                </w:p>
              </w:tc>
              <w:tc>
                <w:tcPr>
                  <w:tcW w:w="986" w:type="dxa"/>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排放量</w:t>
                  </w:r>
                </w:p>
              </w:tc>
              <w:tc>
                <w:tcPr>
                  <w:tcW w:w="1103" w:type="dxa"/>
                  <w:vMerge w:val="continue"/>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03" w:type="dxa"/>
                  <w:vMerge w:val="continue"/>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212" w:type="dxa"/>
                  <w:vMerge w:val="continue"/>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98" w:type="dxa"/>
                  <w:vMerge w:val="restart"/>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废水</w:t>
                  </w:r>
                </w:p>
              </w:tc>
              <w:tc>
                <w:tcPr>
                  <w:tcW w:w="1104" w:type="dxa"/>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COD</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34.255</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0.735</w:t>
                  </w:r>
                </w:p>
              </w:tc>
              <w:tc>
                <w:tcPr>
                  <w:tcW w:w="110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34.255</w:t>
                  </w:r>
                </w:p>
              </w:tc>
              <w:tc>
                <w:tcPr>
                  <w:tcW w:w="110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0.735</w:t>
                  </w:r>
                </w:p>
              </w:tc>
              <w:tc>
                <w:tcPr>
                  <w:tcW w:w="1212"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-34.255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98" w:type="dxa"/>
                  <w:vMerge w:val="continue"/>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04" w:type="dxa"/>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BOD</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5</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12.86</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12.86</w:t>
                  </w:r>
                </w:p>
              </w:tc>
              <w:tc>
                <w:tcPr>
                  <w:tcW w:w="98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r>
                    <w:rPr>
                      <w:rFonts w:hint="eastAsia" w:eastAsia="宋体" w:cs="Times New Roman"/>
                      <w:color w:val="000000" w:themeColor="text1"/>
                      <w:sz w:val="21"/>
                      <w:szCs w:val="21"/>
                      <w:lang w:val="en-US" w:eastAsia="zh-CN"/>
                      <w14:textFill>
                        <w14:solidFill>
                          <w14:schemeClr w14:val="tx1"/>
                        </w14:solidFill>
                      </w14:textFill>
                    </w:rPr>
                    <w:t>713</w:t>
                  </w:r>
                </w:p>
              </w:tc>
              <w:tc>
                <w:tcPr>
                  <w:tcW w:w="98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147</w:t>
                  </w:r>
                </w:p>
              </w:tc>
              <w:tc>
                <w:tcPr>
                  <w:tcW w:w="110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r>
                    <w:rPr>
                      <w:rFonts w:hint="eastAsia" w:eastAsia="宋体" w:cs="Times New Roman"/>
                      <w:color w:val="000000" w:themeColor="text1"/>
                      <w:sz w:val="21"/>
                      <w:szCs w:val="21"/>
                      <w:lang w:val="en-US" w:eastAsia="zh-CN"/>
                      <w14:textFill>
                        <w14:solidFill>
                          <w14:schemeClr w14:val="tx1"/>
                        </w14:solidFill>
                      </w14:textFill>
                    </w:rPr>
                    <w:t>713</w:t>
                  </w:r>
                </w:p>
              </w:tc>
              <w:tc>
                <w:tcPr>
                  <w:tcW w:w="1103"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147</w:t>
                  </w:r>
                </w:p>
              </w:tc>
              <w:tc>
                <w:tcPr>
                  <w:tcW w:w="1212"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12.</w:t>
                  </w:r>
                  <w:r>
                    <w:rPr>
                      <w:rFonts w:hint="eastAsia" w:eastAsia="宋体" w:cs="Times New Roman"/>
                      <w:color w:val="000000" w:themeColor="text1"/>
                      <w:sz w:val="21"/>
                      <w:szCs w:val="21"/>
                      <w:lang w:val="en-US" w:eastAsia="zh-CN"/>
                      <w14:textFill>
                        <w14:solidFill>
                          <w14:schemeClr w14:val="tx1"/>
                        </w14:solidFill>
                      </w14:textFill>
                    </w:rPr>
                    <w:t>713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98" w:type="dxa"/>
                  <w:vMerge w:val="continue"/>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04" w:type="dxa"/>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NH</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-N</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13.32</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13.32</w:t>
                  </w:r>
                </w:p>
              </w:tc>
              <w:tc>
                <w:tcPr>
                  <w:tcW w:w="98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r>
                    <w:rPr>
                      <w:rFonts w:hint="eastAsia" w:eastAsia="宋体" w:cs="Times New Roman"/>
                      <w:color w:val="000000" w:themeColor="text1"/>
                      <w:sz w:val="21"/>
                      <w:szCs w:val="21"/>
                      <w:lang w:val="en-US" w:eastAsia="zh-CN"/>
                      <w14:textFill>
                        <w14:solidFill>
                          <w14:schemeClr w14:val="tx1"/>
                        </w14:solidFill>
                      </w14:textFill>
                    </w:rPr>
                    <w:t>173</w:t>
                  </w:r>
                </w:p>
              </w:tc>
              <w:tc>
                <w:tcPr>
                  <w:tcW w:w="98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147</w:t>
                  </w:r>
                </w:p>
              </w:tc>
              <w:tc>
                <w:tcPr>
                  <w:tcW w:w="110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r>
                    <w:rPr>
                      <w:rFonts w:hint="eastAsia" w:eastAsia="宋体" w:cs="Times New Roman"/>
                      <w:color w:val="000000" w:themeColor="text1"/>
                      <w:sz w:val="21"/>
                      <w:szCs w:val="21"/>
                      <w:lang w:val="en-US" w:eastAsia="zh-CN"/>
                      <w14:textFill>
                        <w14:solidFill>
                          <w14:schemeClr w14:val="tx1"/>
                        </w14:solidFill>
                      </w14:textFill>
                    </w:rPr>
                    <w:t>173</w:t>
                  </w:r>
                </w:p>
              </w:tc>
              <w:tc>
                <w:tcPr>
                  <w:tcW w:w="1103"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147</w:t>
                  </w:r>
                </w:p>
              </w:tc>
              <w:tc>
                <w:tcPr>
                  <w:tcW w:w="1212"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13.</w:t>
                  </w:r>
                  <w:r>
                    <w:rPr>
                      <w:rFonts w:hint="eastAsia" w:eastAsia="宋体" w:cs="Times New Roman"/>
                      <w:color w:val="000000" w:themeColor="text1"/>
                      <w:sz w:val="21"/>
                      <w:szCs w:val="21"/>
                      <w:lang w:val="en-US" w:eastAsia="zh-CN"/>
                      <w14:textFill>
                        <w14:solidFill>
                          <w14:schemeClr w14:val="tx1"/>
                        </w14:solidFill>
                      </w14:textFill>
                    </w:rPr>
                    <w:t>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98" w:type="dxa"/>
                  <w:vMerge w:val="restart"/>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废气</w:t>
                  </w:r>
                </w:p>
              </w:tc>
              <w:tc>
                <w:tcPr>
                  <w:tcW w:w="1104"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98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0399</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0399</w:t>
                  </w:r>
                </w:p>
              </w:tc>
              <w:tc>
                <w:tcPr>
                  <w:tcW w:w="98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0287</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0112</w:t>
                  </w:r>
                </w:p>
              </w:tc>
              <w:tc>
                <w:tcPr>
                  <w:tcW w:w="110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0112</w:t>
                  </w:r>
                </w:p>
              </w:tc>
              <w:tc>
                <w:tcPr>
                  <w:tcW w:w="110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0287</w:t>
                  </w:r>
                </w:p>
              </w:tc>
              <w:tc>
                <w:tcPr>
                  <w:tcW w:w="1212"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98" w:type="dxa"/>
                  <w:vMerge w:val="continue"/>
                  <w:vAlign w:val="center"/>
                </w:tcPr>
                <w:p>
                  <w:pPr>
                    <w:widowControl/>
                    <w:spacing w:line="360" w:lineRule="exact"/>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04"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w:t>
                  </w:r>
                </w:p>
              </w:tc>
              <w:tc>
                <w:tcPr>
                  <w:tcW w:w="98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r>
                    <w:rPr>
                      <w:rFonts w:hint="eastAsia" w:eastAsia="宋体" w:cs="Times New Roman"/>
                      <w:color w:val="000000" w:themeColor="text1"/>
                      <w:sz w:val="21"/>
                      <w:szCs w:val="21"/>
                      <w:lang w:val="en-US" w:eastAsia="zh-CN"/>
                      <w14:textFill>
                        <w14:solidFill>
                          <w14:schemeClr w14:val="tx1"/>
                        </w14:solidFill>
                      </w14:textFill>
                    </w:rPr>
                    <w:t>54</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r>
                    <w:rPr>
                      <w:rFonts w:hint="eastAsia" w:eastAsia="宋体" w:cs="Times New Roman"/>
                      <w:color w:val="000000" w:themeColor="text1"/>
                      <w:sz w:val="21"/>
                      <w:szCs w:val="21"/>
                      <w:lang w:val="en-US" w:eastAsia="zh-CN"/>
                      <w14:textFill>
                        <w14:solidFill>
                          <w14:schemeClr w14:val="tx1"/>
                        </w14:solidFill>
                      </w14:textFill>
                    </w:rPr>
                    <w:t>54</w:t>
                  </w:r>
                </w:p>
              </w:tc>
              <w:tc>
                <w:tcPr>
                  <w:tcW w:w="98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r>
                    <w:rPr>
                      <w:rFonts w:hint="eastAsia" w:eastAsia="宋体" w:cs="Times New Roman"/>
                      <w:color w:val="000000" w:themeColor="text1"/>
                      <w:sz w:val="21"/>
                      <w:szCs w:val="21"/>
                      <w:lang w:val="en-US" w:eastAsia="zh-CN"/>
                      <w14:textFill>
                        <w14:solidFill>
                          <w14:schemeClr w14:val="tx1"/>
                        </w14:solidFill>
                      </w14:textFill>
                    </w:rPr>
                    <w:t>111</w:t>
                  </w:r>
                </w:p>
              </w:tc>
              <w:tc>
                <w:tcPr>
                  <w:tcW w:w="98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r>
                    <w:rPr>
                      <w:rFonts w:hint="eastAsia" w:eastAsia="宋体" w:cs="Times New Roman"/>
                      <w:color w:val="000000" w:themeColor="text1"/>
                      <w:sz w:val="21"/>
                      <w:szCs w:val="21"/>
                      <w:lang w:val="en-US" w:eastAsia="zh-CN"/>
                      <w14:textFill>
                        <w14:solidFill>
                          <w14:schemeClr w14:val="tx1"/>
                        </w14:solidFill>
                      </w14:textFill>
                    </w:rPr>
                    <w:t>043</w:t>
                  </w:r>
                </w:p>
              </w:tc>
              <w:tc>
                <w:tcPr>
                  <w:tcW w:w="110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r>
                    <w:rPr>
                      <w:rFonts w:hint="eastAsia" w:eastAsia="宋体" w:cs="Times New Roman"/>
                      <w:color w:val="000000" w:themeColor="text1"/>
                      <w:sz w:val="21"/>
                      <w:szCs w:val="21"/>
                      <w:lang w:val="en-US" w:eastAsia="zh-CN"/>
                      <w14:textFill>
                        <w14:solidFill>
                          <w14:schemeClr w14:val="tx1"/>
                        </w14:solidFill>
                      </w14:textFill>
                    </w:rPr>
                    <w:t>043</w:t>
                  </w:r>
                </w:p>
              </w:tc>
              <w:tc>
                <w:tcPr>
                  <w:tcW w:w="1103"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r>
                    <w:rPr>
                      <w:rFonts w:hint="eastAsia" w:eastAsia="宋体" w:cs="Times New Roman"/>
                      <w:color w:val="000000" w:themeColor="text1"/>
                      <w:sz w:val="21"/>
                      <w:szCs w:val="21"/>
                      <w:lang w:val="en-US" w:eastAsia="zh-CN"/>
                      <w14:textFill>
                        <w14:solidFill>
                          <w14:schemeClr w14:val="tx1"/>
                        </w14:solidFill>
                      </w14:textFill>
                    </w:rPr>
                    <w:t>111</w:t>
                  </w:r>
                </w:p>
              </w:tc>
              <w:tc>
                <w:tcPr>
                  <w:tcW w:w="1212"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0.0</w:t>
                  </w:r>
                  <w:r>
                    <w:rPr>
                      <w:rFonts w:hint="eastAsia" w:eastAsia="宋体" w:cs="Times New Roman"/>
                      <w:color w:val="000000" w:themeColor="text1"/>
                      <w:sz w:val="21"/>
                      <w:szCs w:val="21"/>
                      <w:lang w:val="en-US" w:eastAsia="zh-CN"/>
                      <w14:textFill>
                        <w14:solidFill>
                          <w14:schemeClr w14:val="tx1"/>
                        </w14:solidFill>
                      </w14:textFill>
                    </w:rPr>
                    <w:t>111</w:t>
                  </w:r>
                </w:p>
              </w:tc>
            </w:tr>
          </w:tbl>
          <w:p>
            <w:pPr>
              <w:pStyle w:val="158"/>
              <w:ind w:firstLine="0" w:firstLineChars="0"/>
              <w:rPr>
                <w:rFonts w:hint="default" w:ascii="Times New Roman" w:hAnsi="Times New Roman" w:eastAsia="宋体" w:cs="Times New Roman"/>
                <w:b/>
                <w:color w:val="000000" w:themeColor="text1"/>
                <w14:textFill>
                  <w14:solidFill>
                    <w14:schemeClr w14:val="tx1"/>
                  </w14:solidFill>
                </w14:textFill>
              </w:rPr>
            </w:pPr>
          </w:p>
          <w:p>
            <w:pPr>
              <w:pStyle w:val="158"/>
              <w:ind w:firstLine="482"/>
              <w:rPr>
                <w:rFonts w:hint="default" w:ascii="Times New Roman" w:hAnsi="Times New Roman" w:eastAsia="宋体" w:cs="Times New Roman"/>
                <w:b/>
                <w:color w:val="000000" w:themeColor="text1"/>
                <w14:textFill>
                  <w14:solidFill>
                    <w14:schemeClr w14:val="tx1"/>
                  </w14:solidFill>
                </w14:textFill>
              </w:rPr>
            </w:pPr>
          </w:p>
          <w:p>
            <w:pPr>
              <w:pStyle w:val="158"/>
              <w:ind w:firstLine="482"/>
              <w:rPr>
                <w:rFonts w:hint="default" w:ascii="Times New Roman" w:hAnsi="Times New Roman" w:eastAsia="宋体" w:cs="Times New Roman"/>
                <w:b/>
                <w:color w:val="000000" w:themeColor="text1"/>
                <w14:textFill>
                  <w14:solidFill>
                    <w14:schemeClr w14:val="tx1"/>
                  </w14:solidFill>
                </w14:textFill>
              </w:rPr>
            </w:pPr>
          </w:p>
          <w:p>
            <w:pPr>
              <w:pStyle w:val="158"/>
              <w:ind w:firstLine="0" w:firstLineChars="0"/>
              <w:rPr>
                <w:rFonts w:hint="default" w:ascii="Times New Roman" w:hAnsi="Times New Roman" w:eastAsia="宋体" w:cs="Times New Roman"/>
                <w:b/>
                <w:color w:val="000000" w:themeColor="text1"/>
                <w14:textFill>
                  <w14:solidFill>
                    <w14:schemeClr w14:val="tx1"/>
                  </w14:solidFill>
                </w14:textFill>
              </w:rPr>
            </w:pPr>
          </w:p>
          <w:p>
            <w:pPr>
              <w:pStyle w:val="158"/>
              <w:ind w:firstLine="0" w:firstLineChars="0"/>
              <w:rPr>
                <w:rFonts w:hint="default" w:ascii="Times New Roman" w:hAnsi="Times New Roman" w:eastAsia="宋体" w:cs="Times New Roman"/>
                <w:b/>
                <w:color w:val="000000" w:themeColor="text1"/>
                <w14:textFill>
                  <w14:solidFill>
                    <w14:schemeClr w14:val="tx1"/>
                  </w14:solidFill>
                </w14:textFill>
              </w:rPr>
            </w:pPr>
          </w:p>
        </w:tc>
      </w:tr>
    </w:tbl>
    <w:p>
      <w:pPr>
        <w:snapToGrid w:val="0"/>
        <w:outlineLvl w:val="0"/>
        <w:rPr>
          <w:rFonts w:eastAsia="宋体"/>
          <w:b/>
          <w:color w:val="000000" w:themeColor="text1"/>
          <w:sz w:val="30"/>
          <w:szCs w:val="30"/>
          <w14:textFill>
            <w14:solidFill>
              <w14:schemeClr w14:val="tx1"/>
            </w14:solidFill>
          </w14:textFill>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0" w:num="1"/>
          <w:rtlGutter w:val="0"/>
          <w:docGrid w:type="lines" w:linePitch="394" w:charSpace="0"/>
        </w:sectPr>
      </w:pPr>
    </w:p>
    <w:p>
      <w:pPr>
        <w:snapToGrid w:val="0"/>
        <w:outlineLvl w:val="0"/>
        <w:rPr>
          <w:rFonts w:eastAsia="宋体"/>
          <w:b/>
          <w:color w:val="000000" w:themeColor="text1"/>
          <w:sz w:val="30"/>
          <w:szCs w:val="30"/>
          <w14:textFill>
            <w14:solidFill>
              <w14:schemeClr w14:val="tx1"/>
            </w14:solidFill>
          </w14:textFill>
        </w:rPr>
      </w:pPr>
      <w:r>
        <w:rPr>
          <w:rFonts w:eastAsia="宋体"/>
          <w:b/>
          <w:color w:val="000000" w:themeColor="text1"/>
          <w:sz w:val="30"/>
          <w:szCs w:val="30"/>
          <w14:textFill>
            <w14:solidFill>
              <w14:schemeClr w14:val="tx1"/>
            </w14:solidFill>
          </w14:textFill>
        </w:rPr>
        <w:t>项目主要污染物产生及预计排放情况</w:t>
      </w:r>
    </w:p>
    <w:tbl>
      <w:tblPr>
        <w:tblStyle w:val="32"/>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598"/>
        <w:gridCol w:w="1702"/>
        <w:gridCol w:w="1417"/>
        <w:gridCol w:w="2409"/>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927" w:type="dxa"/>
            <w:tcBorders>
              <w:tl2br w:val="single" w:color="auto" w:sz="4" w:space="0"/>
            </w:tcBorders>
            <w:vAlign w:val="center"/>
          </w:tcPr>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内容</w:t>
            </w:r>
          </w:p>
          <w:p>
            <w:pP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类型</w:t>
            </w:r>
          </w:p>
        </w:tc>
        <w:tc>
          <w:tcPr>
            <w:tcW w:w="2300" w:type="dxa"/>
            <w:gridSpan w:val="2"/>
            <w:vAlign w:val="center"/>
          </w:tcPr>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排放源</w:t>
            </w:r>
          </w:p>
        </w:tc>
        <w:tc>
          <w:tcPr>
            <w:tcW w:w="1417" w:type="dxa"/>
            <w:vAlign w:val="center"/>
          </w:tcPr>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污染物</w:t>
            </w:r>
          </w:p>
        </w:tc>
        <w:tc>
          <w:tcPr>
            <w:tcW w:w="2409" w:type="dxa"/>
            <w:vAlign w:val="center"/>
          </w:tcPr>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处理前产生浓度</w:t>
            </w:r>
          </w:p>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及产生量</w:t>
            </w:r>
          </w:p>
        </w:tc>
        <w:tc>
          <w:tcPr>
            <w:tcW w:w="2235" w:type="dxa"/>
            <w:vAlign w:val="center"/>
          </w:tcPr>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处理后排放浓度</w:t>
            </w:r>
          </w:p>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jc w:val="center"/>
        </w:trPr>
        <w:tc>
          <w:tcPr>
            <w:tcW w:w="927" w:type="dxa"/>
            <w:vMerge w:val="restart"/>
            <w:vAlign w:val="center"/>
          </w:tcPr>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大气污染物</w:t>
            </w:r>
          </w:p>
        </w:tc>
        <w:tc>
          <w:tcPr>
            <w:tcW w:w="598" w:type="dxa"/>
            <w:tcBorders>
              <w:bottom w:val="single" w:color="auto" w:sz="4" w:space="0"/>
            </w:tcBorders>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施工期</w:t>
            </w:r>
          </w:p>
        </w:tc>
        <w:tc>
          <w:tcPr>
            <w:tcW w:w="1702" w:type="dxa"/>
            <w:tcBorders>
              <w:bottom w:val="single" w:color="auto" w:sz="4" w:space="0"/>
            </w:tcBorders>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道路、施工机械、运输车辆等</w:t>
            </w:r>
          </w:p>
        </w:tc>
        <w:tc>
          <w:tcPr>
            <w:tcW w:w="1417" w:type="dxa"/>
            <w:tcBorders>
              <w:bottom w:val="single" w:color="auto" w:sz="4" w:space="0"/>
            </w:tcBorders>
            <w:vAlign w:val="center"/>
          </w:tcPr>
          <w:p>
            <w:pPr>
              <w:jc w:val="both"/>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扬尘</w:t>
            </w:r>
            <w:r>
              <w:rPr>
                <w:rFonts w:hint="eastAsia" w:eastAsia="宋体"/>
                <w:color w:val="000000" w:themeColor="text1"/>
                <w:sz w:val="24"/>
                <w:szCs w:val="24"/>
                <w:lang w:eastAsia="zh-CN"/>
                <w14:textFill>
                  <w14:solidFill>
                    <w14:schemeClr w14:val="tx1"/>
                  </w14:solidFill>
                </w14:textFill>
              </w:rPr>
              <w:t>、</w:t>
            </w:r>
            <w:r>
              <w:rPr>
                <w:rFonts w:hint="eastAsia" w:eastAsia="宋体"/>
                <w:color w:val="000000" w:themeColor="text1"/>
                <w:sz w:val="24"/>
                <w:szCs w:val="24"/>
                <w14:textFill>
                  <w14:solidFill>
                    <w14:schemeClr w14:val="tx1"/>
                  </w14:solidFill>
                </w14:textFill>
              </w:rPr>
              <w:t>HC、CO、NOx</w:t>
            </w:r>
          </w:p>
        </w:tc>
        <w:tc>
          <w:tcPr>
            <w:tcW w:w="2409" w:type="dxa"/>
            <w:tcBorders>
              <w:bottom w:val="single" w:color="auto" w:sz="4" w:space="0"/>
            </w:tcBorders>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少量</w:t>
            </w:r>
          </w:p>
        </w:tc>
        <w:tc>
          <w:tcPr>
            <w:tcW w:w="2235" w:type="dxa"/>
            <w:tcBorders>
              <w:bottom w:val="single" w:color="auto" w:sz="4" w:space="0"/>
            </w:tcBorders>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1"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restart"/>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运</w:t>
            </w:r>
          </w:p>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营</w:t>
            </w:r>
          </w:p>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期</w:t>
            </w:r>
          </w:p>
        </w:tc>
        <w:tc>
          <w:tcPr>
            <w:tcW w:w="1702" w:type="dxa"/>
            <w:vMerge w:val="restart"/>
            <w:vAlign w:val="center"/>
          </w:tcPr>
          <w:p>
            <w:pPr>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处理设施等</w:t>
            </w:r>
          </w:p>
        </w:tc>
        <w:tc>
          <w:tcPr>
            <w:tcW w:w="1417" w:type="dxa"/>
            <w:tcBorders>
              <w:bottom w:val="single" w:color="auto" w:sz="4" w:space="0"/>
            </w:tcBorders>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NH</w:t>
            </w:r>
            <w:r>
              <w:rPr>
                <w:rFonts w:hint="eastAsia" w:eastAsia="宋体"/>
                <w:color w:val="000000" w:themeColor="text1"/>
                <w:sz w:val="24"/>
                <w:szCs w:val="24"/>
                <w:vertAlign w:val="subscript"/>
                <w14:textFill>
                  <w14:solidFill>
                    <w14:schemeClr w14:val="tx1"/>
                  </w14:solidFill>
                </w14:textFill>
              </w:rPr>
              <w:t>3</w:t>
            </w:r>
          </w:p>
        </w:tc>
        <w:tc>
          <w:tcPr>
            <w:tcW w:w="2409" w:type="dxa"/>
            <w:tcBorders>
              <w:bottom w:val="single" w:color="auto" w:sz="4" w:space="0"/>
            </w:tcBorders>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0.</w:t>
            </w:r>
            <w:r>
              <w:rPr>
                <w:rFonts w:hint="eastAsia" w:eastAsia="宋体"/>
                <w:color w:val="000000" w:themeColor="text1"/>
                <w:sz w:val="24"/>
                <w:szCs w:val="24"/>
                <w:lang w:val="en-US" w:eastAsia="zh-CN"/>
                <w14:textFill>
                  <w14:solidFill>
                    <w14:schemeClr w14:val="tx1"/>
                  </w14:solidFill>
                </w14:textFill>
              </w:rPr>
              <w:t>0399</w:t>
            </w:r>
            <w:r>
              <w:rPr>
                <w:rFonts w:hint="eastAsia" w:eastAsia="宋体"/>
                <w:color w:val="000000" w:themeColor="text1"/>
                <w:sz w:val="24"/>
                <w:szCs w:val="24"/>
                <w14:textFill>
                  <w14:solidFill>
                    <w14:schemeClr w14:val="tx1"/>
                  </w14:solidFill>
                </w14:textFill>
              </w:rPr>
              <w:t>t/a</w:t>
            </w:r>
          </w:p>
        </w:tc>
        <w:tc>
          <w:tcPr>
            <w:tcW w:w="2235" w:type="dxa"/>
            <w:tcBorders>
              <w:bottom w:val="single" w:color="auto" w:sz="4" w:space="0"/>
            </w:tcBorders>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有组织：</w:t>
            </w:r>
            <w:r>
              <w:rPr>
                <w:rFonts w:eastAsia="宋体"/>
                <w:color w:val="000000" w:themeColor="text1"/>
                <w:sz w:val="24"/>
                <w:szCs w:val="24"/>
                <w14:textFill>
                  <w14:solidFill>
                    <w14:schemeClr w14:val="tx1"/>
                  </w14:solidFill>
                </w14:textFill>
              </w:rPr>
              <w:t>0.0</w:t>
            </w:r>
            <w:r>
              <w:rPr>
                <w:rFonts w:hint="eastAsia" w:eastAsia="宋体"/>
                <w:color w:val="000000" w:themeColor="text1"/>
                <w:sz w:val="24"/>
                <w:szCs w:val="24"/>
                <w:lang w:val="en-US" w:eastAsia="zh-CN"/>
                <w14:textFill>
                  <w14:solidFill>
                    <w14:schemeClr w14:val="tx1"/>
                  </w14:solidFill>
                </w14:textFill>
              </w:rPr>
              <w:t>072</w:t>
            </w:r>
            <w:r>
              <w:rPr>
                <w:rFonts w:hint="eastAsia" w:eastAsia="宋体"/>
                <w:color w:val="000000" w:themeColor="text1"/>
                <w:sz w:val="24"/>
                <w:szCs w:val="24"/>
                <w14:textFill>
                  <w14:solidFill>
                    <w14:schemeClr w14:val="tx1"/>
                  </w14:solidFill>
                </w14:textFill>
              </w:rPr>
              <w:t>t/a；</w:t>
            </w:r>
          </w:p>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无组织：</w:t>
            </w:r>
            <w:r>
              <w:rPr>
                <w:rFonts w:eastAsia="宋体"/>
                <w:color w:val="000000" w:themeColor="text1"/>
                <w:sz w:val="24"/>
                <w:szCs w:val="24"/>
                <w14:textFill>
                  <w14:solidFill>
                    <w14:schemeClr w14:val="tx1"/>
                  </w14:solidFill>
                </w14:textFill>
              </w:rPr>
              <w:t>0.0</w:t>
            </w:r>
            <w:r>
              <w:rPr>
                <w:rFonts w:hint="eastAsia" w:eastAsia="宋体"/>
                <w:color w:val="000000" w:themeColor="text1"/>
                <w:sz w:val="24"/>
                <w:szCs w:val="24"/>
                <w:lang w:val="en-US" w:eastAsia="zh-CN"/>
                <w14:textFill>
                  <w14:solidFill>
                    <w14:schemeClr w14:val="tx1"/>
                  </w14:solidFill>
                </w14:textFill>
              </w:rPr>
              <w:t>040</w:t>
            </w:r>
            <w:r>
              <w:rPr>
                <w:rFonts w:hint="eastAsia" w:eastAsia="宋体"/>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Merge w:val="continue"/>
            <w:vAlign w:val="center"/>
          </w:tcPr>
          <w:p>
            <w:pPr>
              <w:jc w:val="center"/>
              <w:rPr>
                <w:rFonts w:eastAsia="宋体"/>
                <w:color w:val="000000" w:themeColor="text1"/>
                <w:sz w:val="24"/>
                <w:szCs w:val="24"/>
                <w14:textFill>
                  <w14:solidFill>
                    <w14:schemeClr w14:val="tx1"/>
                  </w14:solidFill>
                </w14:textFill>
              </w:rPr>
            </w:pPr>
          </w:p>
        </w:tc>
        <w:tc>
          <w:tcPr>
            <w:tcW w:w="1417" w:type="dxa"/>
            <w:tcBorders>
              <w:bottom w:val="single" w:color="auto" w:sz="4" w:space="0"/>
            </w:tcBorders>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H</w:t>
            </w:r>
            <w:r>
              <w:rPr>
                <w:rFonts w:hint="eastAsia" w:eastAsia="宋体"/>
                <w:color w:val="000000" w:themeColor="text1"/>
                <w:sz w:val="24"/>
                <w:szCs w:val="24"/>
                <w:vertAlign w:val="subscript"/>
                <w14:textFill>
                  <w14:solidFill>
                    <w14:schemeClr w14:val="tx1"/>
                  </w14:solidFill>
                </w14:textFill>
              </w:rPr>
              <w:t>2</w:t>
            </w:r>
            <w:r>
              <w:rPr>
                <w:rFonts w:hint="eastAsia" w:eastAsia="宋体"/>
                <w:color w:val="000000" w:themeColor="text1"/>
                <w:sz w:val="24"/>
                <w:szCs w:val="24"/>
                <w14:textFill>
                  <w14:solidFill>
                    <w14:schemeClr w14:val="tx1"/>
                  </w14:solidFill>
                </w14:textFill>
              </w:rPr>
              <w:t>S</w:t>
            </w:r>
          </w:p>
        </w:tc>
        <w:tc>
          <w:tcPr>
            <w:tcW w:w="2409" w:type="dxa"/>
            <w:tcBorders>
              <w:bottom w:val="single" w:color="auto" w:sz="4" w:space="0"/>
            </w:tcBorders>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0.01</w:t>
            </w:r>
            <w:r>
              <w:rPr>
                <w:rFonts w:hint="eastAsia" w:eastAsia="宋体"/>
                <w:color w:val="000000" w:themeColor="text1"/>
                <w:sz w:val="24"/>
                <w:szCs w:val="24"/>
                <w:lang w:val="en-US" w:eastAsia="zh-CN"/>
                <w14:textFill>
                  <w14:solidFill>
                    <w14:schemeClr w14:val="tx1"/>
                  </w14:solidFill>
                </w14:textFill>
              </w:rPr>
              <w:t>54</w:t>
            </w:r>
            <w:r>
              <w:rPr>
                <w:rFonts w:hint="eastAsia" w:eastAsia="宋体"/>
                <w:color w:val="000000" w:themeColor="text1"/>
                <w:sz w:val="24"/>
                <w:szCs w:val="24"/>
                <w14:textFill>
                  <w14:solidFill>
                    <w14:schemeClr w14:val="tx1"/>
                  </w14:solidFill>
                </w14:textFill>
              </w:rPr>
              <w:t>t/a</w:t>
            </w:r>
          </w:p>
        </w:tc>
        <w:tc>
          <w:tcPr>
            <w:tcW w:w="2235" w:type="dxa"/>
            <w:tcBorders>
              <w:bottom w:val="single" w:color="auto" w:sz="4" w:space="0"/>
            </w:tcBorders>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有组织：</w:t>
            </w:r>
            <w:r>
              <w:rPr>
                <w:rFonts w:eastAsia="宋体"/>
                <w:color w:val="000000" w:themeColor="text1"/>
                <w:sz w:val="24"/>
                <w:szCs w:val="24"/>
                <w14:textFill>
                  <w14:solidFill>
                    <w14:schemeClr w14:val="tx1"/>
                  </w14:solidFill>
                </w14:textFill>
              </w:rPr>
              <w:t>0.00</w:t>
            </w:r>
            <w:r>
              <w:rPr>
                <w:rFonts w:hint="eastAsia" w:eastAsia="宋体"/>
                <w:color w:val="000000" w:themeColor="text1"/>
                <w:sz w:val="24"/>
                <w:szCs w:val="24"/>
                <w:lang w:val="en-US" w:eastAsia="zh-CN"/>
                <w14:textFill>
                  <w14:solidFill>
                    <w14:schemeClr w14:val="tx1"/>
                  </w14:solidFill>
                </w14:textFill>
              </w:rPr>
              <w:t>28</w:t>
            </w:r>
            <w:r>
              <w:rPr>
                <w:rFonts w:hint="eastAsia" w:eastAsia="宋体"/>
                <w:color w:val="000000" w:themeColor="text1"/>
                <w:sz w:val="24"/>
                <w:szCs w:val="24"/>
                <w14:textFill>
                  <w14:solidFill>
                    <w14:schemeClr w14:val="tx1"/>
                  </w14:solidFill>
                </w14:textFill>
              </w:rPr>
              <w:t>t/a；</w:t>
            </w:r>
          </w:p>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无组织：</w:t>
            </w:r>
            <w:r>
              <w:rPr>
                <w:rFonts w:eastAsia="宋体"/>
                <w:color w:val="000000" w:themeColor="text1"/>
                <w:sz w:val="24"/>
                <w:szCs w:val="24"/>
                <w14:textFill>
                  <w14:solidFill>
                    <w14:schemeClr w14:val="tx1"/>
                  </w14:solidFill>
                </w14:textFill>
              </w:rPr>
              <w:t>0.001</w:t>
            </w:r>
            <w:r>
              <w:rPr>
                <w:rFonts w:hint="eastAsia" w:eastAsia="宋体"/>
                <w:color w:val="000000" w:themeColor="text1"/>
                <w:sz w:val="24"/>
                <w:szCs w:val="24"/>
                <w:lang w:val="en-US" w:eastAsia="zh-CN"/>
                <w14:textFill>
                  <w14:solidFill>
                    <w14:schemeClr w14:val="tx1"/>
                  </w14:solidFill>
                </w14:textFill>
              </w:rPr>
              <w:t>5</w:t>
            </w:r>
            <w:r>
              <w:rPr>
                <w:rFonts w:hint="eastAsia" w:eastAsia="宋体"/>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exact"/>
          <w:jc w:val="center"/>
        </w:trPr>
        <w:tc>
          <w:tcPr>
            <w:tcW w:w="927" w:type="dxa"/>
            <w:vMerge w:val="restart"/>
            <w:vAlign w:val="center"/>
          </w:tcPr>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水</w:t>
            </w:r>
          </w:p>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污</w:t>
            </w:r>
          </w:p>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染</w:t>
            </w:r>
          </w:p>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物</w:t>
            </w:r>
          </w:p>
        </w:tc>
        <w:tc>
          <w:tcPr>
            <w:tcW w:w="598" w:type="dxa"/>
            <w:vMerge w:val="restart"/>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施工期</w:t>
            </w:r>
          </w:p>
        </w:tc>
        <w:tc>
          <w:tcPr>
            <w:tcW w:w="1702" w:type="dxa"/>
            <w:vMerge w:val="restart"/>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施工工地</w:t>
            </w:r>
          </w:p>
        </w:tc>
        <w:tc>
          <w:tcPr>
            <w:tcW w:w="1417"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施工废水</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少量</w:t>
            </w:r>
          </w:p>
        </w:tc>
        <w:tc>
          <w:tcPr>
            <w:tcW w:w="2235"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沉淀处理后回用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37" w:hRule="exac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Merge w:val="continue"/>
            <w:vAlign w:val="center"/>
          </w:tcPr>
          <w:p>
            <w:pPr>
              <w:jc w:val="center"/>
              <w:rPr>
                <w:rFonts w:eastAsia="宋体"/>
                <w:color w:val="000000" w:themeColor="text1"/>
                <w:sz w:val="24"/>
                <w:szCs w:val="24"/>
                <w14:textFill>
                  <w14:solidFill>
                    <w14:schemeClr w14:val="tx1"/>
                  </w14:solidFill>
                </w14:textFill>
              </w:rPr>
            </w:pPr>
          </w:p>
        </w:tc>
        <w:tc>
          <w:tcPr>
            <w:tcW w:w="1417"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生活污水</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108m</w:t>
            </w:r>
            <w:r>
              <w:rPr>
                <w:rFonts w:hint="eastAsia" w:eastAsia="宋体"/>
                <w:color w:val="000000" w:themeColor="text1"/>
                <w:sz w:val="24"/>
                <w:szCs w:val="24"/>
                <w:vertAlign w:val="superscript"/>
                <w14:textFill>
                  <w14:solidFill>
                    <w14:schemeClr w14:val="tx1"/>
                  </w14:solidFill>
                </w14:textFill>
              </w:rPr>
              <w:t>3</w:t>
            </w:r>
          </w:p>
        </w:tc>
        <w:tc>
          <w:tcPr>
            <w:tcW w:w="2235" w:type="dxa"/>
            <w:vAlign w:val="center"/>
          </w:tcPr>
          <w:p>
            <w:pP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经现有收集池收集，待本项目投运后处理达标用于洒水降水和绿化，不外排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restart"/>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运营期</w:t>
            </w:r>
          </w:p>
        </w:tc>
        <w:tc>
          <w:tcPr>
            <w:tcW w:w="1702" w:type="dxa"/>
            <w:vMerge w:val="restart"/>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垃圾渗滤液</w:t>
            </w:r>
          </w:p>
        </w:tc>
        <w:tc>
          <w:tcPr>
            <w:tcW w:w="1417" w:type="dxa"/>
            <w:vAlign w:val="center"/>
          </w:tcPr>
          <w:p>
            <w:pPr>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COD</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4760mg/L，34.99t/a</w:t>
            </w:r>
          </w:p>
        </w:tc>
        <w:tc>
          <w:tcPr>
            <w:tcW w:w="2235"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100mg/L，0.735t/a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Merge w:val="continue"/>
            <w:vAlign w:val="center"/>
          </w:tcPr>
          <w:p>
            <w:pPr>
              <w:jc w:val="center"/>
              <w:rPr>
                <w:rFonts w:eastAsia="宋体"/>
                <w:color w:val="000000" w:themeColor="text1"/>
                <w:sz w:val="24"/>
                <w:szCs w:val="24"/>
                <w14:textFill>
                  <w14:solidFill>
                    <w14:schemeClr w14:val="tx1"/>
                  </w14:solidFill>
                </w14:textFill>
              </w:rPr>
            </w:pPr>
          </w:p>
        </w:tc>
        <w:tc>
          <w:tcPr>
            <w:tcW w:w="1417" w:type="dxa"/>
            <w:vAlign w:val="center"/>
          </w:tcPr>
          <w:p>
            <w:pPr>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BOD</w:t>
            </w:r>
            <w:r>
              <w:rPr>
                <w:rFonts w:eastAsia="宋体"/>
                <w:color w:val="000000" w:themeColor="text1"/>
                <w:sz w:val="24"/>
                <w:szCs w:val="24"/>
                <w:vertAlign w:val="subscript"/>
                <w14:textFill>
                  <w14:solidFill>
                    <w14:schemeClr w14:val="tx1"/>
                  </w14:solidFill>
                </w14:textFill>
              </w:rPr>
              <w:t>5</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1749mg/L，12.86t/a</w:t>
            </w:r>
          </w:p>
        </w:tc>
        <w:tc>
          <w:tcPr>
            <w:tcW w:w="2235"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2</w:t>
            </w:r>
            <w:r>
              <w:rPr>
                <w:rFonts w:hint="eastAsia" w:eastAsia="宋体"/>
                <w:color w:val="000000" w:themeColor="text1"/>
                <w:sz w:val="24"/>
                <w:szCs w:val="24"/>
                <w14:textFill>
                  <w14:solidFill>
                    <w14:schemeClr w14:val="tx1"/>
                  </w14:solidFill>
                </w14:textFill>
              </w:rPr>
              <w:t>0mg/L，0.</w:t>
            </w:r>
            <w:r>
              <w:rPr>
                <w:rFonts w:hint="eastAsia" w:eastAsia="宋体"/>
                <w:color w:val="000000" w:themeColor="text1"/>
                <w:sz w:val="24"/>
                <w:szCs w:val="24"/>
                <w:lang w:val="en-US" w:eastAsia="zh-CN"/>
                <w14:textFill>
                  <w14:solidFill>
                    <w14:schemeClr w14:val="tx1"/>
                  </w14:solidFill>
                </w14:textFill>
              </w:rPr>
              <w:t>147</w:t>
            </w:r>
            <w:r>
              <w:rPr>
                <w:rFonts w:hint="eastAsia" w:eastAsia="宋体"/>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Merge w:val="continue"/>
            <w:vAlign w:val="center"/>
          </w:tcPr>
          <w:p>
            <w:pPr>
              <w:jc w:val="center"/>
              <w:rPr>
                <w:rFonts w:eastAsia="宋体"/>
                <w:color w:val="000000" w:themeColor="text1"/>
                <w:sz w:val="24"/>
                <w:szCs w:val="24"/>
                <w14:textFill>
                  <w14:solidFill>
                    <w14:schemeClr w14:val="tx1"/>
                  </w14:solidFill>
                </w14:textFill>
              </w:rPr>
            </w:pPr>
          </w:p>
        </w:tc>
        <w:tc>
          <w:tcPr>
            <w:tcW w:w="1417"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NH</w:t>
            </w:r>
            <w:r>
              <w:rPr>
                <w:rFonts w:hint="eastAsia" w:eastAsia="宋体"/>
                <w:color w:val="000000" w:themeColor="text1"/>
                <w:sz w:val="24"/>
                <w:szCs w:val="24"/>
                <w:vertAlign w:val="subscript"/>
                <w14:textFill>
                  <w14:solidFill>
                    <w14:schemeClr w14:val="tx1"/>
                  </w14:solidFill>
                </w14:textFill>
              </w:rPr>
              <w:t>3</w:t>
            </w:r>
            <w:r>
              <w:rPr>
                <w:rFonts w:hint="eastAsia" w:eastAsia="宋体"/>
                <w:color w:val="000000" w:themeColor="text1"/>
                <w:sz w:val="24"/>
                <w:szCs w:val="24"/>
                <w14:textFill>
                  <w14:solidFill>
                    <w14:schemeClr w14:val="tx1"/>
                  </w14:solidFill>
                </w14:textFill>
              </w:rPr>
              <w:t>-N</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1812mg/L，13.32t/a</w:t>
            </w:r>
          </w:p>
        </w:tc>
        <w:tc>
          <w:tcPr>
            <w:tcW w:w="2235"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20</w:t>
            </w:r>
            <w:r>
              <w:rPr>
                <w:rFonts w:hint="eastAsia" w:eastAsia="宋体"/>
                <w:color w:val="000000" w:themeColor="text1"/>
                <w:sz w:val="24"/>
                <w:szCs w:val="24"/>
                <w14:textFill>
                  <w14:solidFill>
                    <w14:schemeClr w14:val="tx1"/>
                  </w14:solidFill>
                </w14:textFill>
              </w:rPr>
              <w:t>mg/L，0.1</w:t>
            </w:r>
            <w:r>
              <w:rPr>
                <w:rFonts w:hint="eastAsia" w:eastAsia="宋体"/>
                <w:color w:val="000000" w:themeColor="text1"/>
                <w:sz w:val="24"/>
                <w:szCs w:val="24"/>
                <w:lang w:val="en-US" w:eastAsia="zh-CN"/>
                <w14:textFill>
                  <w14:solidFill>
                    <w14:schemeClr w14:val="tx1"/>
                  </w14:solidFill>
                </w14:textFill>
              </w:rPr>
              <w:t>47</w:t>
            </w:r>
            <w:r>
              <w:rPr>
                <w:rFonts w:hint="eastAsia" w:eastAsia="宋体"/>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反渗透系统</w:t>
            </w:r>
          </w:p>
        </w:tc>
        <w:tc>
          <w:tcPr>
            <w:tcW w:w="1417"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浓缩液</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6</w:t>
            </w:r>
            <w:r>
              <w:rPr>
                <w:rFonts w:hint="eastAsia" w:eastAsia="宋体"/>
                <w:color w:val="000000" w:themeColor="text1"/>
                <w:sz w:val="24"/>
                <w:szCs w:val="24"/>
                <w14:textFill>
                  <w14:solidFill>
                    <w14:schemeClr w14:val="tx1"/>
                  </w14:solidFill>
                </w14:textFill>
              </w:rPr>
              <w:t>t/d</w:t>
            </w:r>
          </w:p>
        </w:tc>
        <w:tc>
          <w:tcPr>
            <w:tcW w:w="2235"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回灌填埋场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jc w:val="center"/>
        </w:trPr>
        <w:tc>
          <w:tcPr>
            <w:tcW w:w="927" w:type="dxa"/>
            <w:vMerge w:val="restart"/>
            <w:vAlign w:val="center"/>
          </w:tcPr>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固</w:t>
            </w:r>
          </w:p>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体</w:t>
            </w:r>
          </w:p>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废</w:t>
            </w:r>
          </w:p>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物</w:t>
            </w:r>
          </w:p>
        </w:tc>
        <w:tc>
          <w:tcPr>
            <w:tcW w:w="598" w:type="dxa"/>
            <w:vMerge w:val="restart"/>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施工期</w:t>
            </w:r>
          </w:p>
        </w:tc>
        <w:tc>
          <w:tcPr>
            <w:tcW w:w="1702" w:type="dxa"/>
            <w:vMerge w:val="restart"/>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施工工地</w:t>
            </w:r>
          </w:p>
        </w:tc>
        <w:tc>
          <w:tcPr>
            <w:tcW w:w="1417"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弃土</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1900m</w:t>
            </w:r>
            <w:r>
              <w:rPr>
                <w:rFonts w:hint="eastAsia" w:eastAsia="宋体"/>
                <w:color w:val="000000" w:themeColor="text1"/>
                <w:sz w:val="24"/>
                <w:szCs w:val="24"/>
                <w:vertAlign w:val="superscript"/>
                <w14:textFill>
                  <w14:solidFill>
                    <w14:schemeClr w14:val="tx1"/>
                  </w14:solidFill>
                </w14:textFill>
              </w:rPr>
              <w:t>3</w:t>
            </w:r>
          </w:p>
        </w:tc>
        <w:tc>
          <w:tcPr>
            <w:tcW w:w="2235"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绿化、土地平整、填埋场覆土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Merge w:val="continue"/>
            <w:vAlign w:val="center"/>
          </w:tcPr>
          <w:p>
            <w:pPr>
              <w:jc w:val="center"/>
              <w:rPr>
                <w:rFonts w:eastAsia="宋体"/>
                <w:color w:val="000000" w:themeColor="text1"/>
                <w:sz w:val="24"/>
                <w:szCs w:val="24"/>
                <w14:textFill>
                  <w14:solidFill>
                    <w14:schemeClr w14:val="tx1"/>
                  </w14:solidFill>
                </w14:textFill>
              </w:rPr>
            </w:pPr>
          </w:p>
        </w:tc>
        <w:tc>
          <w:tcPr>
            <w:tcW w:w="1417"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建筑垃圾</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3.0t</w:t>
            </w:r>
          </w:p>
        </w:tc>
        <w:tc>
          <w:tcPr>
            <w:tcW w:w="2235"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送填埋场填埋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Merge w:val="continue"/>
            <w:vAlign w:val="center"/>
          </w:tcPr>
          <w:p>
            <w:pPr>
              <w:jc w:val="center"/>
              <w:rPr>
                <w:rFonts w:eastAsia="宋体"/>
                <w:color w:val="000000" w:themeColor="text1"/>
                <w:sz w:val="24"/>
                <w:szCs w:val="24"/>
                <w14:textFill>
                  <w14:solidFill>
                    <w14:schemeClr w14:val="tx1"/>
                  </w14:solidFill>
                </w14:textFill>
              </w:rPr>
            </w:pPr>
          </w:p>
        </w:tc>
        <w:tc>
          <w:tcPr>
            <w:tcW w:w="1417"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生活垃圾</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1.8t</w:t>
            </w:r>
          </w:p>
        </w:tc>
        <w:tc>
          <w:tcPr>
            <w:tcW w:w="2235"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送填埋场填埋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restart"/>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运营期</w:t>
            </w:r>
          </w:p>
        </w:tc>
        <w:tc>
          <w:tcPr>
            <w:tcW w:w="1702" w:type="dxa"/>
            <w:vAlign w:val="center"/>
          </w:tcPr>
          <w:p>
            <w:pPr>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污水处理区</w:t>
            </w:r>
          </w:p>
        </w:tc>
        <w:tc>
          <w:tcPr>
            <w:tcW w:w="1417"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栅渣</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0.5t/a</w:t>
            </w:r>
          </w:p>
        </w:tc>
        <w:tc>
          <w:tcPr>
            <w:tcW w:w="2235" w:type="dxa"/>
            <w:vMerge w:val="restart"/>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送填埋场填埋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Align w:val="center"/>
          </w:tcPr>
          <w:p>
            <w:pPr>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污水处理区</w:t>
            </w:r>
          </w:p>
        </w:tc>
        <w:tc>
          <w:tcPr>
            <w:tcW w:w="1417" w:type="dxa"/>
            <w:vAlign w:val="center"/>
          </w:tcPr>
          <w:p>
            <w:pPr>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污泥</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10.50t/a</w:t>
            </w:r>
          </w:p>
        </w:tc>
        <w:tc>
          <w:tcPr>
            <w:tcW w:w="2235" w:type="dxa"/>
            <w:vMerge w:val="continue"/>
            <w:vAlign w:val="center"/>
          </w:tcPr>
          <w:p>
            <w:pPr>
              <w:jc w:val="center"/>
              <w:rPr>
                <w:rFonts w:eastAsia="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Align w:val="center"/>
          </w:tcPr>
          <w:p>
            <w:pPr>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污水处理区</w:t>
            </w:r>
          </w:p>
        </w:tc>
        <w:tc>
          <w:tcPr>
            <w:tcW w:w="1417"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废渗透膜</w:t>
            </w:r>
          </w:p>
        </w:tc>
        <w:tc>
          <w:tcPr>
            <w:tcW w:w="2409" w:type="dxa"/>
            <w:vAlign w:val="center"/>
          </w:tcPr>
          <w:p>
            <w:pPr>
              <w:jc w:val="center"/>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0.3t/a</w:t>
            </w:r>
          </w:p>
        </w:tc>
        <w:tc>
          <w:tcPr>
            <w:tcW w:w="2235" w:type="dxa"/>
            <w:vMerge w:val="continue"/>
            <w:vAlign w:val="center"/>
          </w:tcPr>
          <w:p>
            <w:pPr>
              <w:jc w:val="center"/>
              <w:rPr>
                <w:rFonts w:eastAsia="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Merge w:val="continue"/>
            <w:vAlign w:val="center"/>
          </w:tcPr>
          <w:p>
            <w:pPr>
              <w:jc w:val="center"/>
              <w:rPr>
                <w:rFonts w:eastAsia="宋体"/>
                <w:color w:val="000000" w:themeColor="text1"/>
                <w:sz w:val="24"/>
                <w:szCs w:val="21"/>
                <w14:textFill>
                  <w14:solidFill>
                    <w14:schemeClr w14:val="tx1"/>
                  </w14:solidFill>
                </w14:textFill>
              </w:rPr>
            </w:pPr>
          </w:p>
        </w:tc>
        <w:tc>
          <w:tcPr>
            <w:tcW w:w="1702" w:type="dxa"/>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生活区</w:t>
            </w:r>
          </w:p>
        </w:tc>
        <w:tc>
          <w:tcPr>
            <w:tcW w:w="1417" w:type="dxa"/>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生活垃圾</w:t>
            </w:r>
          </w:p>
        </w:tc>
        <w:tc>
          <w:tcPr>
            <w:tcW w:w="2409" w:type="dxa"/>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0.37t/a</w:t>
            </w:r>
          </w:p>
        </w:tc>
        <w:tc>
          <w:tcPr>
            <w:tcW w:w="2235" w:type="dxa"/>
            <w:vMerge w:val="continue"/>
            <w:vAlign w:val="center"/>
          </w:tcPr>
          <w:p>
            <w:pPr>
              <w:jc w:val="center"/>
              <w:rPr>
                <w:rFonts w:eastAsia="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8" w:hRule="atLeast"/>
          <w:jc w:val="center"/>
        </w:trPr>
        <w:tc>
          <w:tcPr>
            <w:tcW w:w="927" w:type="dxa"/>
            <w:vMerge w:val="restart"/>
            <w:vAlign w:val="center"/>
          </w:tcPr>
          <w:p>
            <w:pPr>
              <w:jc w:val="center"/>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噪声</w:t>
            </w:r>
          </w:p>
        </w:tc>
        <w:tc>
          <w:tcPr>
            <w:tcW w:w="598" w:type="dxa"/>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施工期</w:t>
            </w:r>
          </w:p>
        </w:tc>
        <w:tc>
          <w:tcPr>
            <w:tcW w:w="7763" w:type="dxa"/>
            <w:gridSpan w:val="4"/>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挖掘机、推土机、水泵、载重汽车等，噪声级68~105dB（A）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8" w:hRule="atLeast"/>
          <w:jc w:val="center"/>
        </w:trPr>
        <w:tc>
          <w:tcPr>
            <w:tcW w:w="927" w:type="dxa"/>
            <w:vMerge w:val="continue"/>
            <w:vAlign w:val="center"/>
          </w:tcPr>
          <w:p>
            <w:pPr>
              <w:jc w:val="center"/>
              <w:rPr>
                <w:rFonts w:eastAsia="宋体"/>
                <w:b/>
                <w:color w:val="000000" w:themeColor="text1"/>
                <w:sz w:val="24"/>
                <w:szCs w:val="21"/>
                <w14:textFill>
                  <w14:solidFill>
                    <w14:schemeClr w14:val="tx1"/>
                  </w14:solidFill>
                </w14:textFill>
              </w:rPr>
            </w:pPr>
          </w:p>
        </w:tc>
        <w:tc>
          <w:tcPr>
            <w:tcW w:w="598" w:type="dxa"/>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运营期</w:t>
            </w:r>
          </w:p>
        </w:tc>
        <w:tc>
          <w:tcPr>
            <w:tcW w:w="7763" w:type="dxa"/>
            <w:gridSpan w:val="4"/>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提升泵、风机、各类泵等，噪声级为65-95dB(A)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jc w:val="center"/>
        </w:trPr>
        <w:tc>
          <w:tcPr>
            <w:tcW w:w="927" w:type="dxa"/>
            <w:vAlign w:val="center"/>
          </w:tcPr>
          <w:p>
            <w:pPr>
              <w:jc w:val="both"/>
              <w:rPr>
                <w:rFonts w:eastAsia="宋体"/>
                <w:b/>
                <w:color w:val="000000" w:themeColor="text1"/>
                <w:sz w:val="24"/>
                <w:szCs w:val="21"/>
                <w14:textFill>
                  <w14:solidFill>
                    <w14:schemeClr w14:val="tx1"/>
                  </w14:solidFill>
                </w14:textFill>
              </w:rPr>
            </w:pPr>
            <w:r>
              <w:rPr>
                <w:rFonts w:hint="eastAsia" w:eastAsia="宋体"/>
                <w:b/>
                <w:color w:val="000000" w:themeColor="text1"/>
                <w:sz w:val="24"/>
                <w:szCs w:val="21"/>
                <w14:textFill>
                  <w14:solidFill>
                    <w14:schemeClr w14:val="tx1"/>
                  </w14:solidFill>
                </w14:textFill>
              </w:rPr>
              <w:t>其 它</w:t>
            </w:r>
          </w:p>
        </w:tc>
        <w:tc>
          <w:tcPr>
            <w:tcW w:w="8361" w:type="dxa"/>
            <w:gridSpan w:val="5"/>
            <w:vAlign w:val="center"/>
          </w:tcPr>
          <w:p>
            <w:pPr>
              <w:jc w:val="center"/>
              <w:rPr>
                <w:rFonts w:eastAsia="宋体"/>
                <w:color w:val="000000" w:themeColor="text1"/>
                <w:sz w:val="24"/>
                <w:szCs w:val="21"/>
                <w14:textFill>
                  <w14:solidFill>
                    <w14:schemeClr w14:val="tx1"/>
                  </w14:solidFill>
                </w14:textFill>
              </w:rPr>
            </w:pPr>
            <w:r>
              <w:rPr>
                <w:rFonts w:hint="eastAsia" w:eastAsia="宋体"/>
                <w:color w:val="000000" w:themeColor="text1"/>
                <w:sz w:val="24"/>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jc w:val="center"/>
        </w:trPr>
        <w:tc>
          <w:tcPr>
            <w:tcW w:w="9288" w:type="dxa"/>
            <w:gridSpan w:val="6"/>
            <w:vAlign w:val="center"/>
          </w:tcPr>
          <w:p>
            <w:pPr>
              <w:rPr>
                <w:rFonts w:eastAsia="宋体"/>
                <w:b/>
                <w:color w:val="000000" w:themeColor="text1"/>
                <w:sz w:val="24"/>
                <w:szCs w:val="21"/>
                <w14:textFill>
                  <w14:solidFill>
                    <w14:schemeClr w14:val="tx1"/>
                  </w14:solidFill>
                </w14:textFill>
              </w:rPr>
            </w:pPr>
            <w:r>
              <w:rPr>
                <w:rFonts w:eastAsia="宋体"/>
                <w:b/>
                <w:color w:val="000000" w:themeColor="text1"/>
                <w:sz w:val="24"/>
                <w:szCs w:val="21"/>
                <w14:textFill>
                  <w14:solidFill>
                    <w14:schemeClr w14:val="tx1"/>
                  </w14:solidFill>
                </w14:textFill>
              </w:rPr>
              <w:t>主要生态影响</w:t>
            </w:r>
          </w:p>
          <w:p>
            <w:pPr>
              <w:spacing w:line="360" w:lineRule="auto"/>
              <w:ind w:firstLine="480" w:firstLineChars="200"/>
              <w:jc w:val="left"/>
              <w:rPr>
                <w:rFonts w:eastAsia="宋体"/>
                <w:color w:val="000000" w:themeColor="text1"/>
                <w:sz w:val="24"/>
                <w:szCs w:val="21"/>
                <w14:textFill>
                  <w14:solidFill>
                    <w14:schemeClr w14:val="tx1"/>
                  </w14:solidFill>
                </w14:textFill>
              </w:rPr>
            </w:pPr>
            <w:r>
              <w:rPr>
                <w:rFonts w:eastAsia="宋体"/>
                <w:color w:val="000000" w:themeColor="text1"/>
                <w:sz w:val="24"/>
                <w:szCs w:val="21"/>
                <w14:textFill>
                  <w14:solidFill>
                    <w14:schemeClr w14:val="tx1"/>
                  </w14:solidFill>
                </w14:textFill>
              </w:rPr>
              <w:t>本项目用地在</w:t>
            </w:r>
            <w:r>
              <w:rPr>
                <w:rFonts w:hint="eastAsia" w:eastAsia="宋体"/>
                <w:color w:val="000000" w:themeColor="text1"/>
                <w:sz w:val="24"/>
                <w:szCs w:val="21"/>
                <w14:textFill>
                  <w14:solidFill>
                    <w14:schemeClr w14:val="tx1"/>
                  </w14:solidFill>
                </w14:textFill>
              </w:rPr>
              <w:t>玛纳斯县生活垃圾填埋场东侧</w:t>
            </w:r>
            <w:r>
              <w:rPr>
                <w:rFonts w:eastAsia="宋体"/>
                <w:color w:val="000000" w:themeColor="text1"/>
                <w:sz w:val="24"/>
                <w:szCs w:val="21"/>
                <w14:textFill>
                  <w14:solidFill>
                    <w14:schemeClr w14:val="tx1"/>
                  </w14:solidFill>
                </w14:textFill>
              </w:rPr>
              <w:t>，经调查用地范围内未发现国家重点保护野生植物、古树名木。项目水土流失的主要原因是污水处理构筑物基础开挖时对原有地表的破坏，使土壤裸露松散，改变原有下垫面和地形地貌，形成一些边坡等，增加土壤的可蚀性。</w:t>
            </w:r>
          </w:p>
          <w:p>
            <w:pPr>
              <w:spacing w:line="360" w:lineRule="auto"/>
              <w:ind w:firstLine="480" w:firstLineChars="200"/>
              <w:jc w:val="left"/>
              <w:rPr>
                <w:rFonts w:eastAsia="宋体"/>
                <w:color w:val="000000" w:themeColor="text1"/>
                <w:sz w:val="24"/>
                <w:szCs w:val="21"/>
                <w14:textFill>
                  <w14:solidFill>
                    <w14:schemeClr w14:val="tx1"/>
                  </w14:solidFill>
                </w14:textFill>
              </w:rPr>
            </w:pPr>
            <w:r>
              <w:rPr>
                <w:rFonts w:eastAsia="宋体"/>
                <w:color w:val="000000" w:themeColor="text1"/>
                <w:sz w:val="24"/>
                <w:szCs w:val="21"/>
                <w14:textFill>
                  <w14:solidFill>
                    <w14:schemeClr w14:val="tx1"/>
                  </w14:solidFill>
                </w14:textFill>
              </w:rPr>
              <w:t>预防保护措施：</w:t>
            </w:r>
          </w:p>
          <w:p>
            <w:pPr>
              <w:spacing w:line="360" w:lineRule="auto"/>
              <w:ind w:firstLine="480" w:firstLineChars="200"/>
              <w:jc w:val="left"/>
              <w:rPr>
                <w:rFonts w:eastAsia="宋体"/>
                <w:color w:val="000000" w:themeColor="text1"/>
                <w:sz w:val="24"/>
                <w:szCs w:val="21"/>
                <w14:textFill>
                  <w14:solidFill>
                    <w14:schemeClr w14:val="tx1"/>
                  </w14:solidFill>
                </w14:textFill>
              </w:rPr>
            </w:pPr>
            <w:r>
              <w:rPr>
                <w:rFonts w:eastAsia="宋体"/>
                <w:color w:val="000000" w:themeColor="text1"/>
                <w:sz w:val="24"/>
                <w:szCs w:val="21"/>
                <w14:textFill>
                  <w14:solidFill>
                    <w14:schemeClr w14:val="tx1"/>
                  </w14:solidFill>
                </w14:textFill>
              </w:rPr>
              <w:t>根据建设防止区施工工艺和施工时序的特点，在施工过程中应切实加强预防监督、管理措施，尽量减少施工过程中因人为扰动而新增的水土流失。</w:t>
            </w:r>
          </w:p>
          <w:p>
            <w:pPr>
              <w:spacing w:line="360" w:lineRule="auto"/>
              <w:ind w:firstLine="480" w:firstLineChars="200"/>
              <w:jc w:val="left"/>
              <w:rPr>
                <w:rFonts w:eastAsia="宋体"/>
                <w:color w:val="000000" w:themeColor="text1"/>
                <w:sz w:val="24"/>
                <w:szCs w:val="21"/>
                <w14:textFill>
                  <w14:solidFill>
                    <w14:schemeClr w14:val="tx1"/>
                  </w14:solidFill>
                </w14:textFill>
              </w:rPr>
            </w:pPr>
            <w:r>
              <w:rPr>
                <w:rFonts w:hint="eastAsia" w:eastAsia="宋体" w:cs="宋体"/>
                <w:color w:val="000000" w:themeColor="text1"/>
                <w:sz w:val="24"/>
                <w:szCs w:val="21"/>
                <w14:textFill>
                  <w14:solidFill>
                    <w14:schemeClr w14:val="tx1"/>
                  </w14:solidFill>
                </w14:textFill>
              </w:rPr>
              <w:t>①</w:t>
            </w:r>
            <w:r>
              <w:rPr>
                <w:rFonts w:eastAsia="宋体"/>
                <w:color w:val="000000" w:themeColor="text1"/>
                <w:sz w:val="24"/>
                <w:szCs w:val="21"/>
                <w14:textFill>
                  <w14:solidFill>
                    <w14:schemeClr w14:val="tx1"/>
                  </w14:solidFill>
                </w14:textFill>
              </w:rPr>
              <w:t>施工时序要求：根据当地气象条件合理安排工序。</w:t>
            </w:r>
          </w:p>
          <w:p>
            <w:pPr>
              <w:spacing w:line="360" w:lineRule="auto"/>
              <w:ind w:firstLine="480" w:firstLineChars="200"/>
              <w:jc w:val="left"/>
              <w:rPr>
                <w:rFonts w:eastAsia="宋体"/>
                <w:color w:val="000000" w:themeColor="text1"/>
                <w:sz w:val="24"/>
                <w:szCs w:val="21"/>
                <w14:textFill>
                  <w14:solidFill>
                    <w14:schemeClr w14:val="tx1"/>
                  </w14:solidFill>
                </w14:textFill>
              </w:rPr>
            </w:pPr>
            <w:r>
              <w:rPr>
                <w:rFonts w:hint="eastAsia" w:eastAsia="宋体" w:cs="宋体"/>
                <w:color w:val="000000" w:themeColor="text1"/>
                <w:sz w:val="24"/>
                <w:szCs w:val="21"/>
                <w14:textFill>
                  <w14:solidFill>
                    <w14:schemeClr w14:val="tx1"/>
                  </w14:solidFill>
                </w14:textFill>
              </w:rPr>
              <w:t>②</w:t>
            </w:r>
            <w:r>
              <w:rPr>
                <w:rFonts w:eastAsia="宋体"/>
                <w:color w:val="000000" w:themeColor="text1"/>
                <w:sz w:val="24"/>
                <w:szCs w:val="21"/>
                <w14:textFill>
                  <w14:solidFill>
                    <w14:schemeClr w14:val="tx1"/>
                  </w14:solidFill>
                </w14:textFill>
              </w:rPr>
              <w:t>施工工艺要求：汽车运输过程中装载不能过满，驶出施工区域时对车轮泥土进行冲洗，同时控制灰尘的产生。</w:t>
            </w:r>
          </w:p>
          <w:p>
            <w:pPr>
              <w:spacing w:line="360" w:lineRule="auto"/>
              <w:ind w:firstLine="480" w:firstLineChars="200"/>
              <w:jc w:val="left"/>
              <w:rPr>
                <w:rFonts w:eastAsia="宋体"/>
                <w:color w:val="000000" w:themeColor="text1"/>
                <w:sz w:val="24"/>
                <w:szCs w:val="21"/>
                <w14:textFill>
                  <w14:solidFill>
                    <w14:schemeClr w14:val="tx1"/>
                  </w14:solidFill>
                </w14:textFill>
              </w:rPr>
            </w:pPr>
            <w:r>
              <w:rPr>
                <w:rFonts w:hint="eastAsia" w:eastAsia="宋体" w:cs="宋体"/>
                <w:color w:val="000000" w:themeColor="text1"/>
                <w:sz w:val="24"/>
                <w:szCs w:val="21"/>
                <w14:textFill>
                  <w14:solidFill>
                    <w14:schemeClr w14:val="tx1"/>
                  </w14:solidFill>
                </w14:textFill>
              </w:rPr>
              <w:t>③</w:t>
            </w:r>
            <w:r>
              <w:rPr>
                <w:rFonts w:eastAsia="宋体"/>
                <w:color w:val="000000" w:themeColor="text1"/>
                <w:sz w:val="24"/>
                <w:szCs w:val="21"/>
                <w14:textFill>
                  <w14:solidFill>
                    <w14:schemeClr w14:val="tx1"/>
                  </w14:solidFill>
                </w14:textFill>
              </w:rPr>
              <w:t>加强水保措施管护：对已实施的水土流失防治措施，应加强管护，建立行之有效的管护制度，使之尽快发挥水土保持效益。</w:t>
            </w:r>
          </w:p>
          <w:p>
            <w:pPr>
              <w:spacing w:line="360" w:lineRule="auto"/>
              <w:ind w:firstLine="480" w:firstLineChars="200"/>
              <w:jc w:val="left"/>
              <w:rPr>
                <w:rFonts w:eastAsia="宋体"/>
                <w:color w:val="000000" w:themeColor="text1"/>
                <w:sz w:val="24"/>
                <w:szCs w:val="21"/>
                <w14:textFill>
                  <w14:solidFill>
                    <w14:schemeClr w14:val="tx1"/>
                  </w14:solidFill>
                </w14:textFill>
              </w:rPr>
            </w:pPr>
            <w:r>
              <w:rPr>
                <w:rFonts w:hint="eastAsia" w:eastAsia="宋体" w:cs="宋体"/>
                <w:color w:val="000000" w:themeColor="text1"/>
                <w:sz w:val="24"/>
                <w:szCs w:val="21"/>
                <w14:textFill>
                  <w14:solidFill>
                    <w14:schemeClr w14:val="tx1"/>
                  </w14:solidFill>
                </w14:textFill>
              </w:rPr>
              <w:t>④</w:t>
            </w:r>
            <w:r>
              <w:rPr>
                <w:rFonts w:eastAsia="宋体"/>
                <w:color w:val="000000" w:themeColor="text1"/>
                <w:sz w:val="24"/>
                <w:szCs w:val="21"/>
                <w14:textFill>
                  <w14:solidFill>
                    <w14:schemeClr w14:val="tx1"/>
                  </w14:solidFill>
                </w14:textFill>
              </w:rPr>
              <w:t>临时措施：构筑物的基础开挖，开挖后形成的临时土石方堆放于施工用地范围内。同时临时堆放的土石方表面松散，遇雨容易造成水土流失。临时堆放的土石方需及时清运，如不能及时清运的需要进行彩条布覆盖。</w:t>
            </w:r>
          </w:p>
          <w:p>
            <w:pPr>
              <w:spacing w:line="360" w:lineRule="auto"/>
              <w:ind w:firstLine="480" w:firstLineChars="200"/>
              <w:jc w:val="left"/>
              <w:rPr>
                <w:rFonts w:eastAsia="宋体"/>
                <w:color w:val="000000" w:themeColor="text1"/>
                <w:sz w:val="24"/>
                <w:szCs w:val="21"/>
                <w14:textFill>
                  <w14:solidFill>
                    <w14:schemeClr w14:val="tx1"/>
                  </w14:solidFill>
                </w14:textFill>
              </w:rPr>
            </w:pPr>
            <w:r>
              <w:rPr>
                <w:rFonts w:eastAsia="宋体"/>
                <w:color w:val="000000" w:themeColor="text1"/>
                <w:sz w:val="24"/>
                <w:szCs w:val="21"/>
                <w14:textFill>
                  <w14:solidFill>
                    <w14:schemeClr w14:val="tx1"/>
                  </w14:solidFill>
                </w14:textFill>
              </w:rPr>
              <w:t>综上所述，</w:t>
            </w:r>
            <w:r>
              <w:rPr>
                <w:rFonts w:hint="eastAsia" w:eastAsia="宋体"/>
                <w:color w:val="000000" w:themeColor="text1"/>
                <w:sz w:val="24"/>
                <w:szCs w:val="21"/>
                <w14:textFill>
                  <w14:solidFill>
                    <w14:schemeClr w14:val="tx1"/>
                  </w14:solidFill>
                </w14:textFill>
              </w:rPr>
              <w:t>通过严格落实以上措施后，能够有效降低施工建设生态影响</w:t>
            </w:r>
            <w:r>
              <w:rPr>
                <w:rFonts w:eastAsia="宋体"/>
                <w:color w:val="000000" w:themeColor="text1"/>
                <w:sz w:val="24"/>
                <w:szCs w:val="21"/>
                <w14:textFill>
                  <w14:solidFill>
                    <w14:schemeClr w14:val="tx1"/>
                  </w14:solidFill>
                </w14:textFill>
              </w:rPr>
              <w:t>。</w:t>
            </w:r>
          </w:p>
          <w:p>
            <w:pPr>
              <w:pStyle w:val="2"/>
              <w:jc w:val="both"/>
              <w:rPr>
                <w:rFonts w:eastAsia="宋体"/>
                <w:color w:val="000000" w:themeColor="text1"/>
                <w:sz w:val="24"/>
                <w:lang w:val="en-US"/>
                <w14:textFill>
                  <w14:solidFill>
                    <w14:schemeClr w14:val="tx1"/>
                  </w14:solidFill>
                </w14:textFill>
              </w:rPr>
            </w:pPr>
          </w:p>
          <w:p>
            <w:pPr>
              <w:pStyle w:val="2"/>
              <w:rPr>
                <w:rFonts w:eastAsia="宋体"/>
                <w:color w:val="000000" w:themeColor="text1"/>
                <w:sz w:val="24"/>
                <w:lang w:val="en-US"/>
                <w14:textFill>
                  <w14:solidFill>
                    <w14:schemeClr w14:val="tx1"/>
                  </w14:solidFill>
                </w14:textFill>
              </w:rPr>
            </w:pPr>
          </w:p>
          <w:p>
            <w:pPr>
              <w:pStyle w:val="2"/>
              <w:rPr>
                <w:rFonts w:eastAsia="宋体"/>
                <w:color w:val="000000" w:themeColor="text1"/>
                <w:sz w:val="24"/>
                <w:lang w:val="en-US"/>
                <w14:textFill>
                  <w14:solidFill>
                    <w14:schemeClr w14:val="tx1"/>
                  </w14:solidFill>
                </w14:textFill>
              </w:rPr>
            </w:pPr>
          </w:p>
          <w:p>
            <w:pPr>
              <w:pStyle w:val="2"/>
              <w:rPr>
                <w:rFonts w:eastAsia="宋体"/>
                <w:color w:val="000000" w:themeColor="text1"/>
                <w:sz w:val="24"/>
                <w:lang w:val="en-US"/>
                <w14:textFill>
                  <w14:solidFill>
                    <w14:schemeClr w14:val="tx1"/>
                  </w14:solidFill>
                </w14:textFill>
              </w:rPr>
            </w:pPr>
          </w:p>
          <w:p>
            <w:pPr>
              <w:pStyle w:val="2"/>
              <w:rPr>
                <w:rFonts w:eastAsia="宋体"/>
                <w:color w:val="000000" w:themeColor="text1"/>
                <w:sz w:val="24"/>
                <w:lang w:val="en-US"/>
                <w14:textFill>
                  <w14:solidFill>
                    <w14:schemeClr w14:val="tx1"/>
                  </w14:solidFill>
                </w14:textFill>
              </w:rPr>
            </w:pPr>
          </w:p>
          <w:p>
            <w:pPr>
              <w:jc w:val="center"/>
              <w:rPr>
                <w:rFonts w:eastAsia="宋体"/>
                <w:color w:val="000000" w:themeColor="text1"/>
                <w:sz w:val="24"/>
                <w:szCs w:val="21"/>
                <w14:textFill>
                  <w14:solidFill>
                    <w14:schemeClr w14:val="tx1"/>
                  </w14:solidFill>
                </w14:textFill>
              </w:rPr>
            </w:pPr>
          </w:p>
        </w:tc>
      </w:tr>
    </w:tbl>
    <w:p>
      <w:pPr>
        <w:snapToGrid w:val="0"/>
        <w:outlineLvl w:val="0"/>
        <w:rPr>
          <w:rFonts w:eastAsia="宋体"/>
          <w:b/>
          <w:color w:val="000000" w:themeColor="text1"/>
          <w:sz w:val="30"/>
          <w:szCs w:val="30"/>
          <w14:textFill>
            <w14:solidFill>
              <w14:schemeClr w14:val="tx1"/>
            </w14:solidFill>
          </w14:textFill>
        </w:rPr>
      </w:pPr>
      <w:r>
        <w:rPr>
          <w:rFonts w:eastAsia="宋体"/>
          <w:b/>
          <w:color w:val="000000" w:themeColor="text1"/>
          <w:sz w:val="30"/>
          <w:szCs w:val="30"/>
          <w14:textFill>
            <w14:solidFill>
              <w14:schemeClr w14:val="tx1"/>
            </w14:solidFill>
          </w14:textFill>
        </w:rPr>
        <w:t>环境影响分析</w:t>
      </w:r>
    </w:p>
    <w:tbl>
      <w:tblPr>
        <w:tblStyle w:val="32"/>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trPr>
        <w:tc>
          <w:tcPr>
            <w:tcW w:w="9180" w:type="dxa"/>
          </w:tcPr>
          <w:p>
            <w:pPr>
              <w:spacing w:line="560" w:lineRule="exact"/>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施工期</w:t>
            </w:r>
            <w:r>
              <w:rPr>
                <w:rFonts w:eastAsia="宋体"/>
                <w:b/>
                <w:color w:val="000000" w:themeColor="text1"/>
                <w14:textFill>
                  <w14:solidFill>
                    <w14:schemeClr w14:val="tx1"/>
                  </w14:solidFill>
                </w14:textFill>
              </w:rPr>
              <w:t>环境影响分析</w:t>
            </w:r>
          </w:p>
          <w:p>
            <w:pPr>
              <w:numPr>
                <w:ilvl w:val="0"/>
                <w:numId w:val="7"/>
              </w:numPr>
              <w:adjustRightInd w:val="0"/>
              <w:snapToGrid w:val="0"/>
              <w:spacing w:line="560" w:lineRule="exact"/>
              <w:rPr>
                <w:rFonts w:eastAsia="宋体"/>
                <w:b/>
                <w:color w:val="000000" w:themeColor="text1"/>
                <w:sz w:val="24"/>
                <w:szCs w:val="24"/>
                <w14:textFill>
                  <w14:solidFill>
                    <w14:schemeClr w14:val="tx1"/>
                  </w14:solidFill>
                </w14:textFill>
              </w:rPr>
            </w:pPr>
            <w:r>
              <w:rPr>
                <w:rFonts w:eastAsia="宋体"/>
                <w:b/>
                <w:color w:val="000000" w:themeColor="text1"/>
                <w:sz w:val="24"/>
                <w:szCs w:val="24"/>
                <w14:textFill>
                  <w14:solidFill>
                    <w14:schemeClr w14:val="tx1"/>
                  </w14:solidFill>
                </w14:textFill>
              </w:rPr>
              <w:t>大气环境影响分析</w:t>
            </w:r>
            <w:r>
              <w:rPr>
                <w:rFonts w:hint="eastAsia" w:eastAsia="宋体"/>
                <w:b/>
                <w:color w:val="000000" w:themeColor="text1"/>
                <w:sz w:val="24"/>
                <w:szCs w:val="24"/>
                <w14:textFill>
                  <w14:solidFill>
                    <w14:schemeClr w14:val="tx1"/>
                  </w14:solidFill>
                </w14:textFill>
              </w:rPr>
              <w:t>及防治措施</w:t>
            </w:r>
          </w:p>
          <w:p>
            <w:pPr>
              <w:pStyle w:val="2"/>
              <w:spacing w:line="560" w:lineRule="exact"/>
              <w:ind w:firstLine="464" w:firstLineChars="200"/>
              <w:jc w:val="both"/>
              <w:rPr>
                <w:rFonts w:eastAsia="宋体"/>
                <w:snapToGrid/>
                <w:color w:val="000000" w:themeColor="text1"/>
                <w:spacing w:val="-4"/>
                <w:kern w:val="2"/>
                <w:sz w:val="24"/>
                <w:szCs w:val="24"/>
                <w:lang w:val="en-US"/>
                <w14:textFill>
                  <w14:solidFill>
                    <w14:schemeClr w14:val="tx1"/>
                  </w14:solidFill>
                </w14:textFill>
              </w:rPr>
            </w:pPr>
            <w:r>
              <w:rPr>
                <w:rFonts w:hint="eastAsia" w:eastAsia="宋体"/>
                <w:snapToGrid/>
                <w:color w:val="000000" w:themeColor="text1"/>
                <w:spacing w:val="-4"/>
                <w:kern w:val="2"/>
                <w:sz w:val="24"/>
                <w:szCs w:val="24"/>
                <w:lang w:val="en-US"/>
                <w14:textFill>
                  <w14:solidFill>
                    <w14:schemeClr w14:val="tx1"/>
                  </w14:solidFill>
                </w14:textFill>
              </w:rPr>
              <w:t>1、扬尘影响分析</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eastAsia="宋体"/>
                <w:color w:val="000000" w:themeColor="text1"/>
                <w:spacing w:val="-4"/>
                <w:sz w:val="24"/>
                <w:szCs w:val="24"/>
                <w14:textFill>
                  <w14:solidFill>
                    <w14:schemeClr w14:val="tx1"/>
                  </w14:solidFill>
                </w14:textFill>
              </w:rPr>
              <w:t>施工期对大气环境影响最大是施工扬尘，其次为运输及一些动力设备运行产生的NO</w:t>
            </w:r>
            <w:r>
              <w:rPr>
                <w:rFonts w:eastAsia="宋体"/>
                <w:color w:val="000000" w:themeColor="text1"/>
                <w:spacing w:val="-4"/>
                <w:sz w:val="24"/>
                <w:szCs w:val="24"/>
                <w:vertAlign w:val="subscript"/>
                <w14:textFill>
                  <w14:solidFill>
                    <w14:schemeClr w14:val="tx1"/>
                  </w14:solidFill>
                </w14:textFill>
              </w:rPr>
              <w:t>X</w:t>
            </w:r>
            <w:r>
              <w:rPr>
                <w:rFonts w:eastAsia="宋体"/>
                <w:color w:val="000000" w:themeColor="text1"/>
                <w:spacing w:val="-4"/>
                <w:sz w:val="24"/>
                <w:szCs w:val="24"/>
                <w14:textFill>
                  <w14:solidFill>
                    <w14:schemeClr w14:val="tx1"/>
                  </w14:solidFill>
                </w14:textFill>
              </w:rPr>
              <w:t>、CO和THC。二次扬尘污染主要产生为场地清理、挖土填方、物料装卸和运输等环节。据有关调查资料，施工场地扬尘浓度见</w:t>
            </w:r>
            <w:r>
              <w:rPr>
                <w:rFonts w:hint="eastAsia" w:eastAsia="宋体"/>
                <w:color w:val="000000" w:themeColor="text1"/>
                <w:spacing w:val="-4"/>
                <w:sz w:val="24"/>
                <w:szCs w:val="24"/>
                <w14:textFill>
                  <w14:solidFill>
                    <w14:schemeClr w14:val="tx1"/>
                  </w14:solidFill>
                </w14:textFill>
              </w:rPr>
              <w:t>下表</w:t>
            </w:r>
            <w:r>
              <w:rPr>
                <w:rFonts w:eastAsia="宋体"/>
                <w:color w:val="000000" w:themeColor="text1"/>
                <w:spacing w:val="-4"/>
                <w:sz w:val="24"/>
                <w:szCs w:val="24"/>
                <w14:textFill>
                  <w14:solidFill>
                    <w14:schemeClr w14:val="tx1"/>
                  </w14:solidFill>
                </w14:textFill>
              </w:rPr>
              <w:t>。</w:t>
            </w:r>
          </w:p>
          <w:p>
            <w:pPr>
              <w:pStyle w:val="158"/>
              <w:spacing w:before="156" w:beforeLines="50" w:line="240" w:lineRule="auto"/>
              <w:ind w:firstLine="0" w:firstLineChars="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表</w:t>
            </w:r>
            <w:r>
              <w:rPr>
                <w:rFonts w:hint="eastAsia" w:ascii="Times New Roman" w:hAnsi="Times New Roman" w:eastAsia="宋体"/>
                <w:b/>
                <w:color w:val="000000" w:themeColor="text1"/>
                <w:sz w:val="21"/>
                <w14:textFill>
                  <w14:solidFill>
                    <w14:schemeClr w14:val="tx1"/>
                  </w14:solidFill>
                </w14:textFill>
              </w:rPr>
              <w:t>2</w:t>
            </w:r>
            <w:r>
              <w:rPr>
                <w:rFonts w:hint="eastAsia" w:ascii="Times New Roman" w:hAnsi="Times New Roman" w:eastAsia="宋体"/>
                <w:b/>
                <w:color w:val="000000" w:themeColor="text1"/>
                <w:sz w:val="21"/>
                <w:lang w:val="en-US" w:eastAsia="zh-CN"/>
                <w14:textFill>
                  <w14:solidFill>
                    <w14:schemeClr w14:val="tx1"/>
                  </w14:solidFill>
                </w14:textFill>
              </w:rPr>
              <w:t>4</w:t>
            </w:r>
            <w:r>
              <w:rPr>
                <w:rFonts w:ascii="Times New Roman" w:hAnsi="Times New Roman" w:eastAsia="宋体"/>
                <w:b/>
                <w:color w:val="000000" w:themeColor="text1"/>
                <w:sz w:val="21"/>
                <w14:textFill>
                  <w14:solidFill>
                    <w14:schemeClr w14:val="tx1"/>
                  </w14:solidFill>
                </w14:textFill>
              </w:rPr>
              <w:t xml:space="preserve">    施工场地扬尘测试结果资料</w:t>
            </w:r>
          </w:p>
          <w:tbl>
            <w:tblPr>
              <w:tblStyle w:val="32"/>
              <w:tblW w:w="89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169"/>
              <w:gridCol w:w="1493"/>
              <w:gridCol w:w="1493"/>
              <w:gridCol w:w="1495"/>
              <w:gridCol w:w="1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8" w:type="dxa"/>
                  <w:gridSpan w:val="2"/>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距施工地距离（m）</w:t>
                  </w:r>
                </w:p>
              </w:tc>
              <w:tc>
                <w:tcPr>
                  <w:tcW w:w="1493"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1493"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149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c>
                <w:tcPr>
                  <w:tcW w:w="149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9" w:type="dxa"/>
                  <w:vMerge w:val="restart"/>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TSP小时平均浓度（mg/m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w:t>
                  </w:r>
                </w:p>
              </w:tc>
              <w:tc>
                <w:tcPr>
                  <w:tcW w:w="116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不洒水</w:t>
                  </w:r>
                </w:p>
              </w:tc>
              <w:tc>
                <w:tcPr>
                  <w:tcW w:w="1493"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10.14</w:t>
                  </w:r>
                </w:p>
              </w:tc>
              <w:tc>
                <w:tcPr>
                  <w:tcW w:w="1493"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2.89</w:t>
                  </w:r>
                </w:p>
              </w:tc>
              <w:tc>
                <w:tcPr>
                  <w:tcW w:w="149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1.15</w:t>
                  </w:r>
                </w:p>
              </w:tc>
              <w:tc>
                <w:tcPr>
                  <w:tcW w:w="149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9" w:type="dxa"/>
                  <w:vMerge w:val="continue"/>
                  <w:vAlign w:val="center"/>
                </w:tcPr>
                <w:p>
                  <w:pPr>
                    <w:jc w:val="center"/>
                    <w:rPr>
                      <w:rFonts w:eastAsia="宋体"/>
                      <w:color w:val="000000" w:themeColor="text1"/>
                      <w:sz w:val="21"/>
                      <w:szCs w:val="21"/>
                      <w14:textFill>
                        <w14:solidFill>
                          <w14:schemeClr w14:val="tx1"/>
                        </w14:solidFill>
                      </w14:textFill>
                    </w:rPr>
                  </w:pPr>
                </w:p>
              </w:tc>
              <w:tc>
                <w:tcPr>
                  <w:tcW w:w="116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洒水</w:t>
                  </w:r>
                </w:p>
              </w:tc>
              <w:tc>
                <w:tcPr>
                  <w:tcW w:w="1493"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2.01</w:t>
                  </w:r>
                </w:p>
              </w:tc>
              <w:tc>
                <w:tcPr>
                  <w:tcW w:w="1493"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1.40</w:t>
                  </w:r>
                </w:p>
              </w:tc>
              <w:tc>
                <w:tcPr>
                  <w:tcW w:w="149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0.67</w:t>
                  </w:r>
                </w:p>
              </w:tc>
              <w:tc>
                <w:tcPr>
                  <w:tcW w:w="149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0.60</w:t>
                  </w:r>
                </w:p>
              </w:tc>
            </w:tr>
          </w:tbl>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eastAsia="宋体"/>
                <w:color w:val="000000" w:themeColor="text1"/>
                <w:spacing w:val="-4"/>
                <w:sz w:val="24"/>
                <w:szCs w:val="24"/>
                <w14:textFill>
                  <w14:solidFill>
                    <w14:schemeClr w14:val="tx1"/>
                  </w14:solidFill>
                </w14:textFill>
              </w:rPr>
              <w:t>施工扬尘最大产生的时间将出现在土方阶段，由于该阶段裸露浮土较多，产尘量较大。施工工地采取封闭式施工，受施工扬尘影响范围不大，主要是施工场地周围及下风向的部分地区。另外在物料运输过程中，会造成物料沿路撒落或风吹起尘，另一方面，施工场地泥泞使运输车辆轮胎将泥土带到厂区其它地方及公路上，泥土风干后随着车辆的辗压和行驶，在厂区院内和公路上带起很重的扬尘，污染环境。因此，必须做好施工现场及场外道路泥土及时清理，减少二次扬尘。结构、装修阶段也会因车辆行驶等产生扬尘污染，但产尘量较低。</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eastAsia="宋体"/>
                <w:color w:val="000000" w:themeColor="text1"/>
                <w:spacing w:val="-4"/>
                <w:sz w:val="24"/>
                <w:szCs w:val="24"/>
                <w14:textFill>
                  <w14:solidFill>
                    <w14:schemeClr w14:val="tx1"/>
                  </w14:solidFill>
                </w14:textFill>
              </w:rPr>
              <w:t>施工扬尘是人们十分关注的问题，施工期起尘量的多少随风力的大小、物料的干湿程度、作业的文明程度等因素会发生较大的变化，影响可达150</w:t>
            </w:r>
            <w:r>
              <w:rPr>
                <w:rFonts w:hint="eastAsia" w:eastAsia="宋体"/>
                <w:color w:val="000000" w:themeColor="text1"/>
                <w:spacing w:val="-4"/>
                <w:sz w:val="24"/>
                <w:szCs w:val="24"/>
                <w14:textFill>
                  <w14:solidFill>
                    <w14:schemeClr w14:val="tx1"/>
                  </w14:solidFill>
                </w14:textFill>
              </w:rPr>
              <w:t>~</w:t>
            </w:r>
            <w:r>
              <w:rPr>
                <w:rFonts w:eastAsia="宋体"/>
                <w:color w:val="000000" w:themeColor="text1"/>
                <w:spacing w:val="-4"/>
                <w:sz w:val="24"/>
                <w:szCs w:val="24"/>
                <w14:textFill>
                  <w14:solidFill>
                    <w14:schemeClr w14:val="tx1"/>
                  </w14:solidFill>
                </w14:textFill>
              </w:rPr>
              <w:t>300m。如管理措施做的好，扬尘量将降低50</w:t>
            </w:r>
            <w:r>
              <w:rPr>
                <w:rFonts w:hint="eastAsia" w:eastAsia="宋体"/>
                <w:color w:val="000000" w:themeColor="text1"/>
                <w:spacing w:val="-4"/>
                <w:sz w:val="24"/>
                <w:szCs w:val="24"/>
                <w14:textFill>
                  <w14:solidFill>
                    <w14:schemeClr w14:val="tx1"/>
                  </w14:solidFill>
                </w14:textFill>
              </w:rPr>
              <w:t>~</w:t>
            </w:r>
            <w:r>
              <w:rPr>
                <w:rFonts w:eastAsia="宋体"/>
                <w:color w:val="000000" w:themeColor="text1"/>
                <w:spacing w:val="-4"/>
                <w:sz w:val="24"/>
                <w:szCs w:val="24"/>
                <w14:textFill>
                  <w14:solidFill>
                    <w14:schemeClr w14:val="tx1"/>
                  </w14:solidFill>
                </w14:textFill>
              </w:rPr>
              <w:t>70%，大大减少对环境影响。</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eastAsia="宋体"/>
                <w:color w:val="000000" w:themeColor="text1"/>
                <w:spacing w:val="-4"/>
                <w:sz w:val="24"/>
                <w:szCs w:val="24"/>
                <w14:textFill>
                  <w14:solidFill>
                    <w14:schemeClr w14:val="tx1"/>
                  </w14:solidFill>
                </w14:textFill>
              </w:rPr>
              <w:t>为了将工程施工作业及运输车辆产生的二次扬尘影响降至最小程度，施工作业过程应采取适当的抑尘措施，避免或减缓施工扬尘以周围环境空气质量的影响。</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eastAsia="宋体"/>
                <w:color w:val="000000" w:themeColor="text1"/>
                <w:spacing w:val="-4"/>
                <w:sz w:val="24"/>
                <w:szCs w:val="24"/>
                <w14:textFill>
                  <w14:solidFill>
                    <w14:schemeClr w14:val="tx1"/>
                  </w14:solidFill>
                </w14:textFill>
              </w:rPr>
              <w:t>由于TSP对人体健康有着严重的影响，建议在施工中作到以下几点：</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hint="eastAsia" w:eastAsia="宋体" w:cs="宋体"/>
                <w:color w:val="000000" w:themeColor="text1"/>
                <w:spacing w:val="-4"/>
                <w:sz w:val="24"/>
                <w:szCs w:val="24"/>
                <w14:textFill>
                  <w14:solidFill>
                    <w14:schemeClr w14:val="tx1"/>
                  </w14:solidFill>
                </w14:textFill>
              </w:rPr>
              <w:t>①</w:t>
            </w:r>
            <w:r>
              <w:rPr>
                <w:rFonts w:eastAsia="宋体"/>
                <w:color w:val="000000" w:themeColor="text1"/>
                <w:spacing w:val="-4"/>
                <w:sz w:val="24"/>
                <w:szCs w:val="24"/>
                <w14:textFill>
                  <w14:solidFill>
                    <w14:schemeClr w14:val="tx1"/>
                  </w14:solidFill>
                </w14:textFill>
              </w:rPr>
              <w:t>施工场地定期洒水，防止浮尘产生，在大风日加大洒水量及洒水次数。</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hint="eastAsia" w:eastAsia="宋体" w:cs="宋体"/>
                <w:color w:val="000000" w:themeColor="text1"/>
                <w:spacing w:val="-4"/>
                <w:sz w:val="24"/>
                <w:szCs w:val="24"/>
                <w14:textFill>
                  <w14:solidFill>
                    <w14:schemeClr w14:val="tx1"/>
                  </w14:solidFill>
                </w14:textFill>
              </w:rPr>
              <w:t>②</w:t>
            </w:r>
            <w:r>
              <w:rPr>
                <w:rFonts w:eastAsia="宋体"/>
                <w:color w:val="000000" w:themeColor="text1"/>
                <w:spacing w:val="-4"/>
                <w:sz w:val="24"/>
                <w:szCs w:val="24"/>
                <w14:textFill>
                  <w14:solidFill>
                    <w14:schemeClr w14:val="tx1"/>
                  </w14:solidFill>
                </w14:textFill>
              </w:rPr>
              <w:t>施工场地内运输通道及时清扫、冲洗，以减少汽车行驶扬尘。</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hint="eastAsia" w:eastAsia="宋体" w:cs="宋体"/>
                <w:color w:val="000000" w:themeColor="text1"/>
                <w:spacing w:val="-4"/>
                <w:sz w:val="24"/>
                <w:szCs w:val="24"/>
                <w14:textFill>
                  <w14:solidFill>
                    <w14:schemeClr w14:val="tx1"/>
                  </w14:solidFill>
                </w14:textFill>
              </w:rPr>
              <w:t>③</w:t>
            </w:r>
            <w:r>
              <w:rPr>
                <w:rFonts w:eastAsia="宋体"/>
                <w:color w:val="000000" w:themeColor="text1"/>
                <w:spacing w:val="-4"/>
                <w:sz w:val="24"/>
                <w:szCs w:val="24"/>
                <w14:textFill>
                  <w14:solidFill>
                    <w14:schemeClr w14:val="tx1"/>
                  </w14:solidFill>
                </w14:textFill>
              </w:rPr>
              <w:t>运输车辆进入施工场地应低速行驶或限速行驶，减少扬尘产生量。</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hint="eastAsia" w:eastAsia="宋体" w:cs="宋体"/>
                <w:color w:val="000000" w:themeColor="text1"/>
                <w:spacing w:val="-4"/>
                <w:sz w:val="24"/>
                <w:szCs w:val="24"/>
                <w14:textFill>
                  <w14:solidFill>
                    <w14:schemeClr w14:val="tx1"/>
                  </w14:solidFill>
                </w14:textFill>
              </w:rPr>
              <w:t>④</w:t>
            </w:r>
            <w:r>
              <w:rPr>
                <w:rFonts w:eastAsia="宋体"/>
                <w:color w:val="000000" w:themeColor="text1"/>
                <w:spacing w:val="-4"/>
                <w:sz w:val="24"/>
                <w:szCs w:val="24"/>
                <w14:textFill>
                  <w14:solidFill>
                    <w14:schemeClr w14:val="tx1"/>
                  </w14:solidFill>
                </w14:textFill>
              </w:rPr>
              <w:t>如需要灰渣、水泥等，运输时应采用密闭槽车运输。</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hint="eastAsia" w:eastAsia="宋体" w:cs="宋体"/>
                <w:color w:val="000000" w:themeColor="text1"/>
                <w:spacing w:val="-4"/>
                <w:sz w:val="24"/>
                <w:szCs w:val="24"/>
                <w14:textFill>
                  <w14:solidFill>
                    <w14:schemeClr w14:val="tx1"/>
                  </w14:solidFill>
                </w14:textFill>
              </w:rPr>
              <w:t>⑤</w:t>
            </w:r>
            <w:r>
              <w:rPr>
                <w:rFonts w:eastAsia="宋体"/>
                <w:color w:val="000000" w:themeColor="text1"/>
                <w:spacing w:val="-4"/>
                <w:sz w:val="24"/>
                <w:szCs w:val="24"/>
                <w14:textFill>
                  <w14:solidFill>
                    <w14:schemeClr w14:val="tx1"/>
                  </w14:solidFill>
                </w14:textFill>
              </w:rPr>
              <w:t>避免起尘原材料的露天堆放。</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2、施工废气影响分析</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施工废气主要包括各种燃油机械的废气排放、运输车辆产生的尾气。主要污染物为</w:t>
            </w:r>
            <w:r>
              <w:rPr>
                <w:rFonts w:eastAsia="宋体"/>
                <w:color w:val="000000" w:themeColor="text1"/>
                <w:sz w:val="24"/>
                <w:szCs w:val="24"/>
                <w:lang w:val="en-US"/>
                <w14:textFill>
                  <w14:solidFill>
                    <w14:schemeClr w14:val="tx1"/>
                  </w14:solidFill>
                </w14:textFill>
              </w:rPr>
              <w:t>NO</w:t>
            </w:r>
            <w:r>
              <w:rPr>
                <w:rFonts w:eastAsia="宋体"/>
                <w:color w:val="000000" w:themeColor="text1"/>
                <w:sz w:val="24"/>
                <w:szCs w:val="24"/>
                <w:vertAlign w:val="subscript"/>
                <w:lang w:val="en-US"/>
                <w14:textFill>
                  <w14:solidFill>
                    <w14:schemeClr w14:val="tx1"/>
                  </w14:solidFill>
                </w14:textFill>
              </w:rPr>
              <w:t>X</w:t>
            </w:r>
            <w:r>
              <w:rPr>
                <w:rFonts w:eastAsia="宋体"/>
                <w:color w:val="000000" w:themeColor="text1"/>
                <w:sz w:val="24"/>
                <w:szCs w:val="24"/>
                <w:lang w:val="en-US"/>
                <w14:textFill>
                  <w14:solidFill>
                    <w14:schemeClr w14:val="tx1"/>
                  </w14:solidFill>
                </w14:textFill>
              </w:rPr>
              <w:t>、CO、THC</w:t>
            </w:r>
            <w:r>
              <w:rPr>
                <w:rFonts w:hint="eastAsia" w:eastAsia="宋体"/>
                <w:color w:val="000000" w:themeColor="text1"/>
                <w:sz w:val="24"/>
                <w:szCs w:val="24"/>
                <w:lang w:val="en-US"/>
                <w14:textFill>
                  <w14:solidFill>
                    <w14:schemeClr w14:val="tx1"/>
                  </w14:solidFill>
                </w14:textFill>
              </w:rPr>
              <w:t>。这些污染物量很小，且周围村庄距离项目较远，周围居民基本不会受到影响，但会对施工人员产生一定的影响，要加强对施工人员的防护措施。</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施工单位必须选用符合国家卫生防护标准的施工机械设备和运输工具，确保废气排放符合国家有关标准的规定；加强机械、车辆的管理和维修。</w:t>
            </w:r>
          </w:p>
          <w:p>
            <w:pPr>
              <w:adjustRightInd w:val="0"/>
              <w:snapToGrid w:val="0"/>
              <w:spacing w:line="560" w:lineRule="exact"/>
              <w:ind w:firstLine="482" w:firstLineChars="200"/>
              <w:rPr>
                <w:rFonts w:eastAsia="宋体"/>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二、</w:t>
            </w:r>
            <w:r>
              <w:rPr>
                <w:rFonts w:eastAsia="宋体"/>
                <w:b/>
                <w:color w:val="000000" w:themeColor="text1"/>
                <w:sz w:val="24"/>
                <w:szCs w:val="24"/>
                <w14:textFill>
                  <w14:solidFill>
                    <w14:schemeClr w14:val="tx1"/>
                  </w14:solidFill>
                </w14:textFill>
              </w:rPr>
              <w:t>水环境影响分析</w:t>
            </w:r>
            <w:r>
              <w:rPr>
                <w:rFonts w:hint="eastAsia" w:eastAsia="宋体"/>
                <w:b/>
                <w:color w:val="000000" w:themeColor="text1"/>
                <w:sz w:val="24"/>
                <w:szCs w:val="24"/>
                <w14:textFill>
                  <w14:solidFill>
                    <w14:schemeClr w14:val="tx1"/>
                  </w14:solidFill>
                </w14:textFill>
              </w:rPr>
              <w:t>及防治措施</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hint="eastAsia" w:eastAsia="宋体"/>
                <w:color w:val="000000" w:themeColor="text1"/>
                <w:spacing w:val="-4"/>
                <w:sz w:val="24"/>
                <w:szCs w:val="24"/>
                <w14:textFill>
                  <w14:solidFill>
                    <w14:schemeClr w14:val="tx1"/>
                  </w14:solidFill>
                </w14:textFill>
              </w:rPr>
              <w:t>1、</w:t>
            </w:r>
            <w:r>
              <w:rPr>
                <w:rFonts w:eastAsia="宋体"/>
                <w:color w:val="000000" w:themeColor="text1"/>
                <w:spacing w:val="-4"/>
                <w:sz w:val="24"/>
                <w:szCs w:val="24"/>
                <w14:textFill>
                  <w14:solidFill>
                    <w14:schemeClr w14:val="tx1"/>
                  </w14:solidFill>
                </w14:textFill>
              </w:rPr>
              <w:t>影响分析</w:t>
            </w:r>
          </w:p>
          <w:p>
            <w:pPr>
              <w:spacing w:line="560" w:lineRule="exact"/>
              <w:ind w:firstLine="464" w:firstLineChars="200"/>
              <w:rPr>
                <w:rFonts w:eastAsia="宋体"/>
                <w:color w:val="000000" w:themeColor="text1"/>
                <w:spacing w:val="-4"/>
                <w:sz w:val="24"/>
                <w:szCs w:val="24"/>
                <w14:textFill>
                  <w14:solidFill>
                    <w14:schemeClr w14:val="tx1"/>
                  </w14:solidFill>
                </w14:textFill>
              </w:rPr>
            </w:pPr>
            <w:r>
              <w:rPr>
                <w:rFonts w:eastAsia="宋体"/>
                <w:color w:val="000000" w:themeColor="text1"/>
                <w:spacing w:val="-4"/>
                <w:sz w:val="24"/>
                <w:szCs w:val="24"/>
                <w14:textFill>
                  <w14:solidFill>
                    <w14:schemeClr w14:val="tx1"/>
                  </w14:solidFill>
                </w14:textFill>
              </w:rPr>
              <w:t>项目产生的废水主要包括施工时产生的废水和车辆、机械设备的冲洗废水及生活污水等。</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施工废水主要为地基开挖施工过程中产生的浑浊废水、混凝土养护废水，同时还有施工过程遇雨产生的地表径流及施工过程中机械设备在维护时将产生少量含油冲洗废水，污染因子简单，污染物以SS为主、含少量石油类，经隔油沉淀池处理后回用做施工用水。</w:t>
            </w:r>
          </w:p>
          <w:p>
            <w:pPr>
              <w:spacing w:line="560" w:lineRule="exact"/>
              <w:ind w:firstLine="480" w:firstLineChars="200"/>
              <w:rPr>
                <w:rFonts w:eastAsia="宋体"/>
                <w:b/>
                <w:color w:val="000000" w:themeColor="text1"/>
                <w14:textFill>
                  <w14:solidFill>
                    <w14:schemeClr w14:val="tx1"/>
                  </w14:solidFill>
                </w14:textFill>
              </w:rPr>
            </w:pPr>
            <w:r>
              <w:rPr>
                <w:rFonts w:hint="eastAsia" w:eastAsia="宋体"/>
                <w:color w:val="000000" w:themeColor="text1"/>
                <w:sz w:val="24"/>
                <w:szCs w:val="24"/>
                <w14:textFill>
                  <w14:solidFill>
                    <w14:schemeClr w14:val="tx1"/>
                  </w14:solidFill>
                </w14:textFill>
              </w:rPr>
              <w:t>根据工程分析，</w:t>
            </w:r>
            <w:r>
              <w:rPr>
                <w:rFonts w:eastAsia="宋体"/>
                <w:color w:val="000000" w:themeColor="text1"/>
                <w:sz w:val="24"/>
                <w:szCs w:val="24"/>
                <w14:textFill>
                  <w14:solidFill>
                    <w14:schemeClr w14:val="tx1"/>
                  </w14:solidFill>
                </w14:textFill>
              </w:rPr>
              <w:t>施工期间生活污水产生量约</w:t>
            </w:r>
            <w:r>
              <w:rPr>
                <w:rFonts w:hint="eastAsia" w:eastAsia="宋体"/>
                <w:color w:val="000000" w:themeColor="text1"/>
                <w:sz w:val="24"/>
                <w:szCs w:val="24"/>
                <w14:textFill>
                  <w14:solidFill>
                    <w14:schemeClr w14:val="tx1"/>
                  </w14:solidFill>
                </w14:textFill>
              </w:rPr>
              <w:t>108m</w:t>
            </w:r>
            <w:r>
              <w:rPr>
                <w:rFonts w:eastAsia="宋体"/>
                <w:color w:val="000000" w:themeColor="text1"/>
                <w:sz w:val="24"/>
                <w:szCs w:val="24"/>
                <w:vertAlign w:val="superscript"/>
                <w14:textFill>
                  <w14:solidFill>
                    <w14:schemeClr w14:val="tx1"/>
                  </w14:solidFill>
                </w14:textFill>
              </w:rPr>
              <w:t>3</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施工人员不在施工现场食宿，生活污水主要来自盥洗废水，施工期生活污水排放量较小，污染物成分简单，主要污染物为SS、COD</w:t>
            </w:r>
            <w:r>
              <w:rPr>
                <w:rFonts w:hint="eastAsia" w:eastAsia="宋体"/>
                <w:color w:val="000000" w:themeColor="text1"/>
                <w:sz w:val="24"/>
                <w:szCs w:val="24"/>
                <w:vertAlign w:val="subscript"/>
                <w14:textFill>
                  <w14:solidFill>
                    <w14:schemeClr w14:val="tx1"/>
                  </w14:solidFill>
                </w14:textFill>
              </w:rPr>
              <w:t>Cr</w:t>
            </w:r>
            <w:r>
              <w:rPr>
                <w:rFonts w:hint="eastAsia" w:eastAsia="宋体"/>
                <w:color w:val="000000" w:themeColor="text1"/>
                <w:sz w:val="24"/>
                <w:szCs w:val="24"/>
                <w14:textFill>
                  <w14:solidFill>
                    <w14:schemeClr w14:val="tx1"/>
                  </w14:solidFill>
                </w14:textFill>
              </w:rPr>
              <w:t>、NH</w:t>
            </w:r>
            <w:r>
              <w:rPr>
                <w:rFonts w:hint="eastAsia" w:eastAsia="宋体"/>
                <w:color w:val="000000" w:themeColor="text1"/>
                <w:sz w:val="24"/>
                <w:szCs w:val="24"/>
                <w:vertAlign w:val="subscript"/>
                <w14:textFill>
                  <w14:solidFill>
                    <w14:schemeClr w14:val="tx1"/>
                  </w14:solidFill>
                </w14:textFill>
              </w:rPr>
              <w:t>3</w:t>
            </w:r>
            <w:r>
              <w:rPr>
                <w:rFonts w:hint="eastAsia" w:eastAsia="宋体"/>
                <w:color w:val="000000" w:themeColor="text1"/>
                <w:sz w:val="24"/>
                <w:szCs w:val="24"/>
                <w14:textFill>
                  <w14:solidFill>
                    <w14:schemeClr w14:val="tx1"/>
                  </w14:solidFill>
                </w14:textFill>
              </w:rPr>
              <w:t>-N，该部分废水经现有收集池收集，待本项目投运后处理达标用于洒水降水和绿化，不外排，对地表水环境影响不大。</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2、</w:t>
            </w:r>
            <w:r>
              <w:rPr>
                <w:rFonts w:eastAsia="宋体"/>
                <w:color w:val="000000" w:themeColor="text1"/>
                <w:sz w:val="24"/>
                <w:szCs w:val="24"/>
                <w14:textFill>
                  <w14:solidFill>
                    <w14:schemeClr w14:val="tx1"/>
                  </w14:solidFill>
                </w14:textFill>
              </w:rPr>
              <w:t>防治措施</w:t>
            </w:r>
          </w:p>
          <w:p>
            <w:pPr>
              <w:pStyle w:val="15"/>
              <w:spacing w:line="560" w:lineRule="exact"/>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①</w:t>
            </w:r>
            <w:r>
              <w:rPr>
                <w:rFonts w:ascii="Times New Roman" w:hAnsi="Times New Roman" w:eastAsia="宋体"/>
                <w:color w:val="000000" w:themeColor="text1"/>
                <w:sz w:val="24"/>
                <w:szCs w:val="24"/>
                <w14:textFill>
                  <w14:solidFill>
                    <w14:schemeClr w14:val="tx1"/>
                  </w14:solidFill>
                </w14:textFill>
              </w:rPr>
              <w:t>设置沉淀池，将施工废水收集至沉淀池循环使用或排放；</w:t>
            </w:r>
          </w:p>
          <w:p>
            <w:pPr>
              <w:pStyle w:val="15"/>
              <w:spacing w:line="560" w:lineRule="exact"/>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②</w:t>
            </w:r>
            <w:r>
              <w:rPr>
                <w:rFonts w:ascii="Times New Roman" w:hAnsi="Times New Roman" w:eastAsia="宋体"/>
                <w:color w:val="000000" w:themeColor="text1"/>
                <w:sz w:val="24"/>
                <w:szCs w:val="24"/>
                <w14:textFill>
                  <w14:solidFill>
                    <w14:schemeClr w14:val="tx1"/>
                  </w14:solidFill>
                </w14:textFill>
              </w:rPr>
              <w:t>车辆冲洗废水设隔油池处理后进沉淀池沉淀后回用，如浇洒场地；</w:t>
            </w:r>
          </w:p>
          <w:p>
            <w:pPr>
              <w:pStyle w:val="15"/>
              <w:spacing w:line="560" w:lineRule="exact"/>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③</w:t>
            </w:r>
            <w:r>
              <w:rPr>
                <w:rFonts w:ascii="Times New Roman" w:hAnsi="Times New Roman" w:eastAsia="宋体"/>
                <w:color w:val="000000" w:themeColor="text1"/>
                <w:sz w:val="24"/>
                <w:szCs w:val="24"/>
                <w14:textFill>
                  <w14:solidFill>
                    <w14:schemeClr w14:val="tx1"/>
                  </w14:solidFill>
                </w14:textFill>
              </w:rPr>
              <w:t>施工单位对施工场地用水应严格管理，贯彻</w:t>
            </w:r>
            <w:r>
              <w:rPr>
                <w:rFonts w:hint="eastAsia" w:ascii="Times New Roman" w:hAnsi="Times New Roman" w:eastAsia="宋体"/>
                <w:color w:val="000000" w:themeColor="text1"/>
                <w:sz w:val="24"/>
                <w:szCs w:val="24"/>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一水多用、重复利用、节约用水</w:t>
            </w:r>
            <w:r>
              <w:rPr>
                <w:rFonts w:hint="eastAsia" w:ascii="Times New Roman" w:hAnsi="Times New Roman" w:eastAsia="宋体"/>
                <w:color w:val="000000" w:themeColor="text1"/>
                <w:sz w:val="24"/>
                <w:szCs w:val="24"/>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的原则，尽量减少废水的排放量；</w:t>
            </w:r>
          </w:p>
          <w:p>
            <w:pPr>
              <w:pStyle w:val="15"/>
              <w:spacing w:line="560" w:lineRule="exact"/>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④</w:t>
            </w:r>
            <w:r>
              <w:rPr>
                <w:rFonts w:ascii="Times New Roman" w:hAnsi="Times New Roman" w:eastAsia="宋体"/>
                <w:color w:val="000000" w:themeColor="text1"/>
                <w:sz w:val="24"/>
                <w:szCs w:val="24"/>
                <w14:textFill>
                  <w14:solidFill>
                    <w14:schemeClr w14:val="tx1"/>
                  </w14:solidFill>
                </w14:textFill>
              </w:rPr>
              <w:t>禁止将废水直接排入外环境。</w:t>
            </w:r>
          </w:p>
          <w:p>
            <w:pPr>
              <w:pStyle w:val="6"/>
              <w:spacing w:line="560" w:lineRule="exact"/>
              <w:ind w:firstLine="480" w:firstLineChars="200"/>
              <w:rPr>
                <w:rFonts w:eastAsia="宋体"/>
                <w:color w:val="000000" w:themeColor="text1"/>
                <w:sz w:val="24"/>
                <w:szCs w:val="24"/>
                <w:lang w:val="en-US"/>
                <w14:textFill>
                  <w14:solidFill>
                    <w14:schemeClr w14:val="tx1"/>
                  </w14:solidFill>
                </w14:textFill>
              </w:rPr>
            </w:pPr>
            <w:r>
              <w:rPr>
                <w:rFonts w:eastAsia="宋体"/>
                <w:color w:val="000000" w:themeColor="text1"/>
                <w:sz w:val="24"/>
                <w:szCs w:val="24"/>
                <w:lang w:val="en-US"/>
                <w14:textFill>
                  <w14:solidFill>
                    <w14:schemeClr w14:val="tx1"/>
                  </w14:solidFill>
                </w14:textFill>
              </w:rPr>
              <w:t>在采取以上措施的情况下，施工期废水均可得到有效处理，无随意排放现象，对地表水环境影响小。</w:t>
            </w:r>
          </w:p>
          <w:p>
            <w:pPr>
              <w:adjustRightInd w:val="0"/>
              <w:snapToGrid w:val="0"/>
              <w:spacing w:line="560" w:lineRule="exact"/>
              <w:ind w:firstLine="482" w:firstLineChars="200"/>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三、</w:t>
            </w:r>
            <w:r>
              <w:rPr>
                <w:rFonts w:eastAsia="宋体"/>
                <w:b/>
                <w:color w:val="000000" w:themeColor="text1"/>
                <w:sz w:val="24"/>
                <w:szCs w:val="24"/>
                <w14:textFill>
                  <w14:solidFill>
                    <w14:schemeClr w14:val="tx1"/>
                  </w14:solidFill>
                </w14:textFill>
              </w:rPr>
              <w:t>声环境影响分析</w:t>
            </w:r>
            <w:r>
              <w:rPr>
                <w:rFonts w:hint="eastAsia" w:eastAsia="宋体"/>
                <w:b/>
                <w:color w:val="000000" w:themeColor="text1"/>
                <w:sz w:val="24"/>
                <w:szCs w:val="24"/>
                <w14:textFill>
                  <w14:solidFill>
                    <w14:schemeClr w14:val="tx1"/>
                  </w14:solidFill>
                </w14:textFill>
              </w:rPr>
              <w:t>及防治措施</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w:t>
            </w:r>
            <w:r>
              <w:rPr>
                <w:rFonts w:eastAsia="宋体"/>
                <w:color w:val="000000" w:themeColor="text1"/>
                <w:sz w:val="24"/>
                <w:szCs w:val="24"/>
                <w14:textFill>
                  <w14:solidFill>
                    <w14:schemeClr w14:val="tx1"/>
                  </w14:solidFill>
                </w14:textFill>
              </w:rPr>
              <w:t>影响分析</w:t>
            </w:r>
          </w:p>
          <w:p>
            <w:pPr>
              <w:spacing w:line="560" w:lineRule="exact"/>
              <w:ind w:firstLine="676" w:firstLineChars="282"/>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施工噪声可近似视为点声源处理，其衰减模式如下：</w:t>
            </w:r>
          </w:p>
          <w:p>
            <w:pPr>
              <w:spacing w:line="560" w:lineRule="exact"/>
              <w:ind w:firstLine="662" w:firstLineChars="276"/>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L</w:t>
            </w:r>
            <w:r>
              <w:rPr>
                <w:rFonts w:eastAsia="宋体"/>
                <w:color w:val="000000" w:themeColor="text1"/>
                <w:sz w:val="24"/>
                <w:szCs w:val="24"/>
                <w:vertAlign w:val="subscript"/>
                <w14:textFill>
                  <w14:solidFill>
                    <w14:schemeClr w14:val="tx1"/>
                  </w14:solidFill>
                </w14:textFill>
              </w:rPr>
              <w:t xml:space="preserve">p </w:t>
            </w:r>
            <w:r>
              <w:rPr>
                <w:rFonts w:eastAsia="宋体"/>
                <w:color w:val="000000" w:themeColor="text1"/>
                <w:sz w:val="24"/>
                <w:szCs w:val="24"/>
                <w14:textFill>
                  <w14:solidFill>
                    <w14:schemeClr w14:val="tx1"/>
                  </w14:solidFill>
                </w14:textFill>
              </w:rPr>
              <w:t>= L</w:t>
            </w:r>
            <w:r>
              <w:rPr>
                <w:rFonts w:eastAsia="宋体"/>
                <w:color w:val="000000" w:themeColor="text1"/>
                <w:sz w:val="24"/>
                <w:szCs w:val="24"/>
                <w:vertAlign w:val="subscript"/>
                <w14:textFill>
                  <w14:solidFill>
                    <w14:schemeClr w14:val="tx1"/>
                  </w14:solidFill>
                </w14:textFill>
              </w:rPr>
              <w:t>po</w:t>
            </w:r>
            <w:r>
              <w:rPr>
                <w:rFonts w:eastAsia="宋体"/>
                <w:color w:val="000000" w:themeColor="text1"/>
                <w:sz w:val="24"/>
                <w:szCs w:val="24"/>
                <w14:textFill>
                  <w14:solidFill>
                    <w14:schemeClr w14:val="tx1"/>
                  </w14:solidFill>
                </w14:textFill>
              </w:rPr>
              <w:t>-20lg(r/r</w:t>
            </w:r>
            <w:r>
              <w:rPr>
                <w:rFonts w:eastAsia="宋体"/>
                <w:color w:val="000000" w:themeColor="text1"/>
                <w:sz w:val="24"/>
                <w:szCs w:val="24"/>
                <w:vertAlign w:val="subscript"/>
                <w14:textFill>
                  <w14:solidFill>
                    <w14:schemeClr w14:val="tx1"/>
                  </w14:solidFill>
                </w14:textFill>
              </w:rPr>
              <w:t>o</w:t>
            </w:r>
            <w:r>
              <w:rPr>
                <w:rFonts w:eastAsia="宋体"/>
                <w:color w:val="000000" w:themeColor="text1"/>
                <w:sz w:val="24"/>
                <w:szCs w:val="24"/>
                <w14:textFill>
                  <w14:solidFill>
                    <w14:schemeClr w14:val="tx1"/>
                  </w14:solidFill>
                </w14:textFill>
              </w:rPr>
              <w:t>)－</w:t>
            </w:r>
            <w:r>
              <w:rPr>
                <w:rFonts w:ascii="Cambria Math" w:hAnsi="Cambria Math" w:eastAsia="宋体" w:cs="Cambria Math"/>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L</w:t>
            </w:r>
          </w:p>
          <w:p>
            <w:pPr>
              <w:spacing w:line="560" w:lineRule="exact"/>
              <w:ind w:firstLine="676" w:firstLineChars="282"/>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式中：L</w:t>
            </w:r>
            <w:r>
              <w:rPr>
                <w:rFonts w:eastAsia="宋体"/>
                <w:color w:val="000000" w:themeColor="text1"/>
                <w:sz w:val="24"/>
                <w:szCs w:val="24"/>
                <w:vertAlign w:val="subscript"/>
                <w14:textFill>
                  <w14:solidFill>
                    <w14:schemeClr w14:val="tx1"/>
                  </w14:solidFill>
                </w14:textFill>
              </w:rPr>
              <w:t>p</w:t>
            </w:r>
            <w:r>
              <w:rPr>
                <w:rFonts w:eastAsia="宋体"/>
                <w:color w:val="000000" w:themeColor="text1"/>
                <w:sz w:val="24"/>
                <w:szCs w:val="24"/>
                <w14:textFill>
                  <w14:solidFill>
                    <w14:schemeClr w14:val="tx1"/>
                  </w14:solidFill>
                </w14:textFill>
              </w:rPr>
              <w:t>——距声源r米处的施工噪声预测值，dB(A)；</w:t>
            </w:r>
          </w:p>
          <w:p>
            <w:pPr>
              <w:spacing w:line="560" w:lineRule="exact"/>
              <w:ind w:firstLine="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 xml:space="preserve">     </w:t>
            </w:r>
            <w:r>
              <w:rPr>
                <w:rFonts w:hint="eastAsia" w:eastAsia="宋体"/>
                <w:color w:val="000000" w:themeColor="text1"/>
                <w:sz w:val="24"/>
                <w:szCs w:val="24"/>
                <w14:textFill>
                  <w14:solidFill>
                    <w14:schemeClr w14:val="tx1"/>
                  </w14:solidFill>
                </w14:textFill>
              </w:rPr>
              <w:t xml:space="preserve">    </w:t>
            </w:r>
            <w:r>
              <w:rPr>
                <w:rFonts w:eastAsia="宋体"/>
                <w:color w:val="000000" w:themeColor="text1"/>
                <w:sz w:val="24"/>
                <w:szCs w:val="24"/>
                <w14:textFill>
                  <w14:solidFill>
                    <w14:schemeClr w14:val="tx1"/>
                  </w14:solidFill>
                </w14:textFill>
              </w:rPr>
              <w:t xml:space="preserve"> L</w:t>
            </w:r>
            <w:r>
              <w:rPr>
                <w:rFonts w:eastAsia="宋体"/>
                <w:color w:val="000000" w:themeColor="text1"/>
                <w:sz w:val="24"/>
                <w:szCs w:val="24"/>
                <w:vertAlign w:val="subscript"/>
                <w14:textFill>
                  <w14:solidFill>
                    <w14:schemeClr w14:val="tx1"/>
                  </w14:solidFill>
                </w14:textFill>
              </w:rPr>
              <w:t>po</w:t>
            </w:r>
            <w:r>
              <w:rPr>
                <w:rFonts w:eastAsia="宋体"/>
                <w:color w:val="000000" w:themeColor="text1"/>
                <w:sz w:val="24"/>
                <w:szCs w:val="24"/>
                <w14:textFill>
                  <w14:solidFill>
                    <w14:schemeClr w14:val="tx1"/>
                  </w14:solidFill>
                </w14:textFill>
              </w:rPr>
              <w:t>——距声源r</w:t>
            </w:r>
            <w:r>
              <w:rPr>
                <w:rFonts w:eastAsia="宋体"/>
                <w:color w:val="000000" w:themeColor="text1"/>
                <w:sz w:val="24"/>
                <w:szCs w:val="24"/>
                <w:vertAlign w:val="subscript"/>
                <w14:textFill>
                  <w14:solidFill>
                    <w14:schemeClr w14:val="tx1"/>
                  </w14:solidFill>
                </w14:textFill>
              </w:rPr>
              <w:t>o</w:t>
            </w:r>
            <w:r>
              <w:rPr>
                <w:rFonts w:eastAsia="宋体"/>
                <w:color w:val="000000" w:themeColor="text1"/>
                <w:sz w:val="24"/>
                <w:szCs w:val="24"/>
                <w14:textFill>
                  <w14:solidFill>
                    <w14:schemeClr w14:val="tx1"/>
                  </w14:solidFill>
                </w14:textFill>
              </w:rPr>
              <w:t>米处的参考声级，dB(A)；</w:t>
            </w:r>
          </w:p>
          <w:p>
            <w:pPr>
              <w:spacing w:line="560" w:lineRule="exact"/>
              <w:ind w:firstLine="1396" w:firstLineChars="582"/>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r</w:t>
            </w:r>
            <w:r>
              <w:rPr>
                <w:rFonts w:eastAsia="宋体"/>
                <w:color w:val="000000" w:themeColor="text1"/>
                <w:sz w:val="24"/>
                <w:szCs w:val="24"/>
                <w:vertAlign w:val="subscript"/>
                <w14:textFill>
                  <w14:solidFill>
                    <w14:schemeClr w14:val="tx1"/>
                  </w14:solidFill>
                </w14:textFill>
              </w:rPr>
              <w:t>o</w:t>
            </w:r>
            <w:r>
              <w:rPr>
                <w:rFonts w:eastAsia="宋体"/>
                <w:color w:val="000000" w:themeColor="text1"/>
                <w:sz w:val="24"/>
                <w:szCs w:val="24"/>
                <w14:textFill>
                  <w14:solidFill>
                    <w14:schemeClr w14:val="tx1"/>
                  </w14:solidFill>
                </w14:textFill>
              </w:rPr>
              <w:t>——L</w:t>
            </w:r>
            <w:r>
              <w:rPr>
                <w:rFonts w:eastAsia="宋体"/>
                <w:color w:val="000000" w:themeColor="text1"/>
                <w:sz w:val="24"/>
                <w:szCs w:val="24"/>
                <w:vertAlign w:val="subscript"/>
                <w14:textFill>
                  <w14:solidFill>
                    <w14:schemeClr w14:val="tx1"/>
                  </w14:solidFill>
                </w14:textFill>
              </w:rPr>
              <w:t>po</w:t>
            </w:r>
            <w:r>
              <w:rPr>
                <w:rFonts w:eastAsia="宋体"/>
                <w:color w:val="000000" w:themeColor="text1"/>
                <w:sz w:val="24"/>
                <w:szCs w:val="24"/>
                <w14:textFill>
                  <w14:solidFill>
                    <w14:schemeClr w14:val="tx1"/>
                  </w14:solidFill>
                </w14:textFill>
              </w:rPr>
              <w:t>噪声的测点距离（5米或1米），m。</w:t>
            </w:r>
          </w:p>
          <w:p>
            <w:pPr>
              <w:spacing w:line="560" w:lineRule="exact"/>
              <w:ind w:firstLine="1320" w:firstLineChars="550"/>
              <w:rPr>
                <w:rFonts w:eastAsia="宋体"/>
                <w:color w:val="000000" w:themeColor="text1"/>
                <w:sz w:val="24"/>
                <w:szCs w:val="24"/>
                <w14:textFill>
                  <w14:solidFill>
                    <w14:schemeClr w14:val="tx1"/>
                  </w14:solidFill>
                </w14:textFill>
              </w:rPr>
            </w:pPr>
            <w:r>
              <w:rPr>
                <w:rFonts w:ascii="Cambria Math" w:hAnsi="Cambria Math" w:eastAsia="宋体" w:cs="Cambria Math"/>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L——采取各种措施后的噪声衰减量，dB(A)。</w:t>
            </w:r>
          </w:p>
          <w:p>
            <w:pPr>
              <w:spacing w:line="560" w:lineRule="exact"/>
              <w:ind w:firstLine="496" w:firstLineChars="207"/>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施工期主要噪声源有各类动力设备、施工机械和运输车辆等。根据上式对项目施工中施工机械噪声的影响进行预测计算，其结果</w:t>
            </w:r>
            <w:r>
              <w:rPr>
                <w:rFonts w:hint="eastAsia" w:eastAsia="宋体"/>
                <w:color w:val="000000" w:themeColor="text1"/>
                <w:sz w:val="24"/>
                <w:szCs w:val="24"/>
                <w14:textFill>
                  <w14:solidFill>
                    <w14:schemeClr w14:val="tx1"/>
                  </w14:solidFill>
                </w14:textFill>
              </w:rPr>
              <w:t>下表</w:t>
            </w:r>
            <w:r>
              <w:rPr>
                <w:rFonts w:eastAsia="宋体"/>
                <w:color w:val="000000" w:themeColor="text1"/>
                <w:sz w:val="24"/>
                <w:szCs w:val="24"/>
                <w14:textFill>
                  <w14:solidFill>
                    <w14:schemeClr w14:val="tx1"/>
                  </w14:solidFill>
                </w14:textFill>
              </w:rPr>
              <w:t>。</w:t>
            </w:r>
          </w:p>
          <w:p>
            <w:pPr>
              <w:pStyle w:val="158"/>
              <w:spacing w:before="156" w:beforeLines="50" w:line="240" w:lineRule="auto"/>
              <w:ind w:firstLine="422"/>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表</w:t>
            </w:r>
            <w:r>
              <w:rPr>
                <w:rFonts w:hint="eastAsia" w:ascii="Times New Roman" w:hAnsi="Times New Roman" w:eastAsia="宋体"/>
                <w:b/>
                <w:color w:val="000000" w:themeColor="text1"/>
                <w:sz w:val="21"/>
                <w14:textFill>
                  <w14:solidFill>
                    <w14:schemeClr w14:val="tx1"/>
                  </w14:solidFill>
                </w14:textFill>
              </w:rPr>
              <w:t>2</w:t>
            </w:r>
            <w:r>
              <w:rPr>
                <w:rFonts w:hint="eastAsia" w:ascii="Times New Roman" w:hAnsi="Times New Roman" w:eastAsia="宋体"/>
                <w:b/>
                <w:color w:val="000000" w:themeColor="text1"/>
                <w:sz w:val="21"/>
                <w:lang w:val="en-US" w:eastAsia="zh-CN"/>
                <w14:textFill>
                  <w14:solidFill>
                    <w14:schemeClr w14:val="tx1"/>
                  </w14:solidFill>
                </w14:textFill>
              </w:rPr>
              <w:t>5</w:t>
            </w:r>
            <w:r>
              <w:rPr>
                <w:rFonts w:hint="eastAsia" w:ascii="Times New Roman" w:hAnsi="Times New Roman" w:eastAsia="宋体"/>
                <w:b/>
                <w:color w:val="000000" w:themeColor="text1"/>
                <w:sz w:val="21"/>
                <w14:textFill>
                  <w14:solidFill>
                    <w14:schemeClr w14:val="tx1"/>
                  </w14:solidFill>
                </w14:textFill>
              </w:rPr>
              <w:t xml:space="preserve"> </w:t>
            </w:r>
            <w:r>
              <w:rPr>
                <w:rFonts w:ascii="Times New Roman" w:hAnsi="Times New Roman" w:eastAsia="宋体"/>
                <w:b/>
                <w:color w:val="000000" w:themeColor="text1"/>
                <w:sz w:val="21"/>
                <w14:textFill>
                  <w14:solidFill>
                    <w14:schemeClr w14:val="tx1"/>
                  </w14:solidFill>
                </w14:textFill>
              </w:rPr>
              <w:t xml:space="preserve"> 施工噪声影响预测结果   单位：dB（A）</w:t>
            </w:r>
          </w:p>
          <w:tbl>
            <w:tblPr>
              <w:tblStyle w:val="32"/>
              <w:tblW w:w="89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849"/>
              <w:gridCol w:w="849"/>
              <w:gridCol w:w="849"/>
              <w:gridCol w:w="848"/>
              <w:gridCol w:w="848"/>
              <w:gridCol w:w="848"/>
              <w:gridCol w:w="848"/>
              <w:gridCol w:w="848"/>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距离（m）</w:t>
                  </w:r>
                </w:p>
              </w:tc>
              <w:tc>
                <w:tcPr>
                  <w:tcW w:w="84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84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84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峰值</w:t>
                  </w:r>
                </w:p>
              </w:tc>
              <w:tc>
                <w:tcPr>
                  <w:tcW w:w="849" w:type="dxa"/>
                  <w:vAlign w:val="bottom"/>
                </w:tcPr>
                <w:p>
                  <w:pPr>
                    <w:jc w:val="center"/>
                    <w:rPr>
                      <w:rFonts w:ascii="宋体" w:hAnsi="宋体" w:eastAsia="宋体" w:cs="宋体"/>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91</w:t>
                  </w:r>
                </w:p>
              </w:tc>
              <w:tc>
                <w:tcPr>
                  <w:tcW w:w="849" w:type="dxa"/>
                  <w:vAlign w:val="bottom"/>
                </w:tcPr>
                <w:p>
                  <w:pPr>
                    <w:jc w:val="center"/>
                    <w:rPr>
                      <w:rFonts w:ascii="宋体" w:hAnsi="宋体" w:eastAsia="宋体" w:cs="宋体"/>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85</w:t>
                  </w:r>
                </w:p>
              </w:tc>
              <w:tc>
                <w:tcPr>
                  <w:tcW w:w="849" w:type="dxa"/>
                  <w:vAlign w:val="bottom"/>
                </w:tcPr>
                <w:p>
                  <w:pPr>
                    <w:jc w:val="center"/>
                    <w:rPr>
                      <w:rFonts w:ascii="宋体" w:hAnsi="宋体" w:eastAsia="宋体" w:cs="宋体"/>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79</w:t>
                  </w:r>
                </w:p>
              </w:tc>
              <w:tc>
                <w:tcPr>
                  <w:tcW w:w="848" w:type="dxa"/>
                  <w:vAlign w:val="bottom"/>
                </w:tcPr>
                <w:p>
                  <w:pPr>
                    <w:jc w:val="center"/>
                    <w:rPr>
                      <w:rFonts w:ascii="宋体" w:hAnsi="宋体" w:eastAsia="宋体" w:cs="宋体"/>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75</w:t>
                  </w:r>
                </w:p>
              </w:tc>
              <w:tc>
                <w:tcPr>
                  <w:tcW w:w="848" w:type="dxa"/>
                  <w:vAlign w:val="bottom"/>
                </w:tcPr>
                <w:p>
                  <w:pPr>
                    <w:jc w:val="center"/>
                    <w:rPr>
                      <w:rFonts w:ascii="宋体" w:hAnsi="宋体" w:eastAsia="宋体" w:cs="宋体"/>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73</w:t>
                  </w:r>
                </w:p>
              </w:tc>
              <w:tc>
                <w:tcPr>
                  <w:tcW w:w="848" w:type="dxa"/>
                  <w:vAlign w:val="bottom"/>
                </w:tcPr>
                <w:p>
                  <w:pPr>
                    <w:jc w:val="center"/>
                    <w:rPr>
                      <w:rFonts w:ascii="宋体" w:hAnsi="宋体" w:eastAsia="宋体" w:cs="宋体"/>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71</w:t>
                  </w:r>
                </w:p>
              </w:tc>
              <w:tc>
                <w:tcPr>
                  <w:tcW w:w="848" w:type="dxa"/>
                  <w:vAlign w:val="bottom"/>
                </w:tcPr>
                <w:p>
                  <w:pPr>
                    <w:jc w:val="center"/>
                    <w:rPr>
                      <w:rFonts w:ascii="宋体" w:hAnsi="宋体" w:eastAsia="宋体" w:cs="宋体"/>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67</w:t>
                  </w:r>
                </w:p>
              </w:tc>
              <w:tc>
                <w:tcPr>
                  <w:tcW w:w="848" w:type="dxa"/>
                  <w:vAlign w:val="bottom"/>
                </w:tcPr>
                <w:p>
                  <w:pPr>
                    <w:jc w:val="center"/>
                    <w:rPr>
                      <w:rFonts w:ascii="宋体" w:hAnsi="宋体" w:eastAsia="宋体" w:cs="宋体"/>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65</w:t>
                  </w:r>
                </w:p>
              </w:tc>
              <w:tc>
                <w:tcPr>
                  <w:tcW w:w="848" w:type="dxa"/>
                  <w:vAlign w:val="bottom"/>
                </w:tcPr>
                <w:p>
                  <w:pPr>
                    <w:jc w:val="center"/>
                    <w:rPr>
                      <w:rFonts w:ascii="宋体" w:hAnsi="宋体" w:eastAsia="宋体" w:cs="宋体"/>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一般情况</w:t>
                  </w:r>
                </w:p>
              </w:tc>
              <w:tc>
                <w:tcPr>
                  <w:tcW w:w="84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78</w:t>
                  </w:r>
                </w:p>
              </w:tc>
              <w:tc>
                <w:tcPr>
                  <w:tcW w:w="84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w:t>
                  </w:r>
                </w:p>
              </w:tc>
              <w:tc>
                <w:tcPr>
                  <w:tcW w:w="84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66</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60</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58</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54</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52</w:t>
                  </w:r>
                </w:p>
              </w:tc>
              <w:tc>
                <w:tcPr>
                  <w:tcW w:w="84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w:t>
                  </w:r>
                </w:p>
              </w:tc>
            </w:tr>
          </w:tbl>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2、</w:t>
            </w:r>
            <w:r>
              <w:rPr>
                <w:rFonts w:eastAsia="宋体"/>
                <w:color w:val="000000" w:themeColor="text1"/>
                <w:sz w:val="24"/>
                <w:szCs w:val="24"/>
                <w14:textFill>
                  <w14:solidFill>
                    <w14:schemeClr w14:val="tx1"/>
                  </w14:solidFill>
                </w14:textFill>
              </w:rPr>
              <w:t>防治措施</w:t>
            </w:r>
          </w:p>
          <w:p>
            <w:pPr>
              <w:pStyle w:val="13"/>
              <w:spacing w:line="560" w:lineRule="exact"/>
              <w:ind w:firstLine="480" w:firstLineChars="200"/>
              <w:rPr>
                <w:rFonts w:eastAsia="宋体"/>
                <w:color w:val="000000" w:themeColor="text1"/>
                <w:sz w:val="24"/>
                <w14:textFill>
                  <w14:solidFill>
                    <w14:schemeClr w14:val="tx1"/>
                  </w14:solidFill>
                </w14:textFill>
              </w:rPr>
            </w:pPr>
            <w:r>
              <w:rPr>
                <w:rFonts w:eastAsia="宋体"/>
                <w:color w:val="000000" w:themeColor="text1"/>
                <w:sz w:val="24"/>
                <w:szCs w:val="24"/>
                <w14:textFill>
                  <w14:solidFill>
                    <w14:schemeClr w14:val="tx1"/>
                  </w14:solidFill>
                </w14:textFill>
              </w:rPr>
              <w:t>为减轻施工期噪声扰民，应尽可能控制施工噪声。根据施工噪声的污染特点，施工中应加强管理，杜绝人为制造高噪声活动，合理安排施工时间，</w:t>
            </w:r>
            <w:r>
              <w:rPr>
                <w:rFonts w:eastAsia="宋体"/>
                <w:color w:val="000000" w:themeColor="text1"/>
                <w:sz w:val="24"/>
                <w14:textFill>
                  <w14:solidFill>
                    <w14:schemeClr w14:val="tx1"/>
                  </w14:solidFill>
                </w14:textFill>
              </w:rPr>
              <w:t>根据以上分析，环评提出以下防护措施：</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①</w:t>
            </w:r>
            <w:r>
              <w:rPr>
                <w:rFonts w:eastAsia="宋体"/>
                <w:color w:val="000000" w:themeColor="text1"/>
                <w:sz w:val="24"/>
                <w:szCs w:val="24"/>
                <w14:textFill>
                  <w14:solidFill>
                    <w14:schemeClr w14:val="tx1"/>
                  </w14:solidFill>
                </w14:textFill>
              </w:rPr>
              <w:t>推广使用低噪声机具和工艺</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推广使用先进的低噪声施工设备，施工过程中使用推土机、挖掘机、装载机、振捣棒、电锯、吊车、升降机等机具时，昼间、夜间场界噪声必须满足《建筑施工场界环境噪声排放标准》（GB12523-2011）中相应标准。</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②</w:t>
            </w:r>
            <w:r>
              <w:rPr>
                <w:rFonts w:eastAsia="宋体"/>
                <w:color w:val="000000" w:themeColor="text1"/>
                <w:sz w:val="24"/>
                <w:szCs w:val="24"/>
                <w14:textFill>
                  <w14:solidFill>
                    <w14:schemeClr w14:val="tx1"/>
                  </w14:solidFill>
                </w14:textFill>
              </w:rPr>
              <w:t>合理安排施工方式、施工布置和施工时间</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合理布置建筑施工工地内的施工机具和设备，建筑工地采用隔声屏等降噪措施，对施工现场的高噪声设备应采取封闭措施，降低施工噪声对周围环境，特别是敏感点的影响。</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施工单位在敏感建筑物集中区域内施工应合理安排作业时间，将可能产生噪声扰民的施工作业安排在昼间（0</w:t>
            </w:r>
            <w:r>
              <w:rPr>
                <w:rFonts w:hint="eastAsia" w:eastAsia="宋体"/>
                <w:color w:val="000000" w:themeColor="text1"/>
                <w:sz w:val="24"/>
                <w:szCs w:val="24"/>
                <w14:textFill>
                  <w14:solidFill>
                    <w14:schemeClr w14:val="tx1"/>
                  </w14:solidFill>
                </w14:textFill>
              </w:rPr>
              <w:t>8</w:t>
            </w:r>
            <w:r>
              <w:rPr>
                <w:rFonts w:eastAsia="宋体"/>
                <w:color w:val="000000" w:themeColor="text1"/>
                <w:sz w:val="24"/>
                <w:szCs w:val="24"/>
                <w14:textFill>
                  <w14:solidFill>
                    <w14:schemeClr w14:val="tx1"/>
                  </w14:solidFill>
                </w14:textFill>
              </w:rPr>
              <w:t>：00~</w:t>
            </w:r>
            <w:r>
              <w:rPr>
                <w:rFonts w:hint="eastAsia" w:eastAsia="宋体"/>
                <w:color w:val="000000" w:themeColor="text1"/>
                <w:sz w:val="24"/>
                <w:szCs w:val="24"/>
                <w14:textFill>
                  <w14:solidFill>
                    <w14:schemeClr w14:val="tx1"/>
                  </w14:solidFill>
                </w14:textFill>
              </w:rPr>
              <w:t>14</w:t>
            </w:r>
            <w:r>
              <w:rPr>
                <w:rFonts w:eastAsia="宋体"/>
                <w:color w:val="000000" w:themeColor="text1"/>
                <w:sz w:val="24"/>
                <w:szCs w:val="24"/>
                <w14:textFill>
                  <w14:solidFill>
                    <w14:schemeClr w14:val="tx1"/>
                  </w14:solidFill>
                </w14:textFill>
              </w:rPr>
              <w:t>:00、1</w:t>
            </w:r>
            <w:r>
              <w:rPr>
                <w:rFonts w:hint="eastAsia" w:eastAsia="宋体"/>
                <w:color w:val="000000" w:themeColor="text1"/>
                <w:sz w:val="24"/>
                <w:szCs w:val="24"/>
                <w14:textFill>
                  <w14:solidFill>
                    <w14:schemeClr w14:val="tx1"/>
                  </w14:solidFill>
                </w14:textFill>
              </w:rPr>
              <w:t>6</w:t>
            </w:r>
            <w:r>
              <w:rPr>
                <w:rFonts w:eastAsia="宋体"/>
                <w:color w:val="000000" w:themeColor="text1"/>
                <w:sz w:val="24"/>
                <w:szCs w:val="24"/>
                <w14:textFill>
                  <w14:solidFill>
                    <w14:schemeClr w14:val="tx1"/>
                  </w14:solidFill>
                </w14:textFill>
              </w:rPr>
              <w:t>:00~22：00），避开居民午间休息时间，通过增加设备缩短连续施工时间，夜间禁止施工。因生产工艺要求或者特殊需要必须夜间施工作业的，施工单位应当于夜间施工前4日按照有关法律法规的规定备案。</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③</w:t>
            </w:r>
            <w:r>
              <w:rPr>
                <w:rFonts w:eastAsia="宋体"/>
                <w:color w:val="000000" w:themeColor="text1"/>
                <w:sz w:val="24"/>
                <w:szCs w:val="24"/>
                <w14:textFill>
                  <w14:solidFill>
                    <w14:schemeClr w14:val="tx1"/>
                  </w14:solidFill>
                </w14:textFill>
              </w:rPr>
              <w:t>合理安排施工期运输车辆路线，运输车辆运输路线应尽量避开敏感点及上下班时间点，运输车辆应减速缓行，禁止随意鸣笛。</w:t>
            </w:r>
          </w:p>
          <w:p>
            <w:pPr>
              <w:pStyle w:val="15"/>
              <w:spacing w:line="560" w:lineRule="exact"/>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④</w:t>
            </w:r>
            <w:r>
              <w:rPr>
                <w:rFonts w:ascii="Times New Roman" w:hAnsi="Times New Roman" w:eastAsia="宋体"/>
                <w:color w:val="000000" w:themeColor="text1"/>
                <w:sz w:val="24"/>
                <w:szCs w:val="24"/>
                <w14:textFill>
                  <w14:solidFill>
                    <w14:schemeClr w14:val="tx1"/>
                  </w14:solidFill>
                </w14:textFill>
              </w:rPr>
              <w:t>加强对施工工地噪声的监管力度。建立建筑施工噪声防止管理责任制、加强现场管理，倡导文明施工。</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加强项目建设全过程建筑施工噪声控制。实行施工监理监理制度，监理单位依据环境影响评价报告中噪声污染防止的要求，对施工工地的噪声污染防止情况进行检查，督促各项环保措施落到实处。对未按有关环境保护要求施工的，督促建设单位限期改正，控制施工过程中的环境噪声污染。对群众举报和投诉的施工工地噪声扰民情况，监理部门应及时督促施工单位整改。</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在采取以上措施后，施工产生的噪声在可控制范围内。</w:t>
            </w:r>
          </w:p>
          <w:p>
            <w:pPr>
              <w:adjustRightInd w:val="0"/>
              <w:snapToGrid w:val="0"/>
              <w:spacing w:line="560" w:lineRule="exact"/>
              <w:ind w:firstLine="482" w:firstLineChars="200"/>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四、</w:t>
            </w:r>
            <w:r>
              <w:rPr>
                <w:rFonts w:eastAsia="宋体"/>
                <w:b/>
                <w:color w:val="000000" w:themeColor="text1"/>
                <w:sz w:val="24"/>
                <w:szCs w:val="24"/>
                <w14:textFill>
                  <w14:solidFill>
                    <w14:schemeClr w14:val="tx1"/>
                  </w14:solidFill>
                </w14:textFill>
              </w:rPr>
              <w:t>固体废物影响分析</w:t>
            </w:r>
            <w:r>
              <w:rPr>
                <w:rFonts w:hint="eastAsia" w:eastAsia="宋体"/>
                <w:b/>
                <w:color w:val="000000" w:themeColor="text1"/>
                <w:sz w:val="24"/>
                <w:szCs w:val="24"/>
                <w14:textFill>
                  <w14:solidFill>
                    <w14:schemeClr w14:val="tx1"/>
                  </w14:solidFill>
                </w14:textFill>
              </w:rPr>
              <w:t>及防治措施</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（1）影响分析</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 xml:space="preserve">项目施工期固体废弃物主要包括建筑垃圾、混凝土浇筑废料等施工垃圾以及施工人员的生活垃圾。 </w:t>
            </w:r>
            <w:bookmarkStart w:id="2" w:name="_Toc152831456"/>
            <w:bookmarkStart w:id="3" w:name="_Toc152650000"/>
          </w:p>
          <w:bookmarkEnd w:id="2"/>
          <w:bookmarkEnd w:id="3"/>
          <w:p>
            <w:pPr>
              <w:spacing w:line="560" w:lineRule="exact"/>
              <w:ind w:firstLine="547" w:firstLineChars="228"/>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本项目弃土产生量约1900m</w:t>
            </w:r>
            <w:r>
              <w:rPr>
                <w:rFonts w:hint="eastAsia" w:eastAsia="宋体"/>
                <w:color w:val="000000" w:themeColor="text1"/>
                <w:sz w:val="24"/>
                <w:szCs w:val="24"/>
                <w:vertAlign w:val="superscript"/>
                <w14:textFill>
                  <w14:solidFill>
                    <w14:schemeClr w14:val="tx1"/>
                  </w14:solidFill>
                </w14:textFill>
              </w:rPr>
              <w:t>3</w:t>
            </w:r>
            <w:r>
              <w:rPr>
                <w:rFonts w:hint="eastAsia" w:eastAsia="宋体"/>
                <w:color w:val="000000" w:themeColor="text1"/>
                <w:sz w:val="24"/>
                <w:szCs w:val="24"/>
                <w14:textFill>
                  <w14:solidFill>
                    <w14:schemeClr w14:val="tx1"/>
                  </w14:solidFill>
                </w14:textFill>
              </w:rPr>
              <w:t>，可用于填埋场周边绿化、土地平整和填埋场覆土</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在施工过程产生的施工废料等建筑垃圾产生量约3.0t</w:t>
            </w:r>
            <w:r>
              <w:rPr>
                <w:rFonts w:eastAsia="宋体"/>
                <w:color w:val="000000" w:themeColor="text1"/>
                <w:sz w:val="24"/>
                <w:szCs w:val="24"/>
                <w14:textFill>
                  <w14:solidFill>
                    <w14:schemeClr w14:val="tx1"/>
                  </w14:solidFill>
                </w14:textFill>
              </w:rPr>
              <w:t>；施工人员生活垃圾产生量</w:t>
            </w:r>
            <w:r>
              <w:rPr>
                <w:rFonts w:hint="eastAsia" w:eastAsia="宋体"/>
                <w:color w:val="000000" w:themeColor="text1"/>
                <w:sz w:val="24"/>
                <w:szCs w:val="24"/>
                <w14:textFill>
                  <w14:solidFill>
                    <w14:schemeClr w14:val="tx1"/>
                  </w14:solidFill>
                </w14:textFill>
              </w:rPr>
              <w:t>1.8t，该些垃圾集中收集后直接在填埋场进行填埋处理</w:t>
            </w:r>
            <w:r>
              <w:rPr>
                <w:rFonts w:eastAsia="宋体"/>
                <w:color w:val="000000" w:themeColor="text1"/>
                <w:sz w:val="24"/>
                <w:szCs w:val="24"/>
                <w14:textFill>
                  <w14:solidFill>
                    <w14:schemeClr w14:val="tx1"/>
                  </w14:solidFill>
                </w14:textFill>
              </w:rPr>
              <w:t>。</w:t>
            </w:r>
          </w:p>
          <w:p>
            <w:pPr>
              <w:spacing w:line="560" w:lineRule="exact"/>
              <w:ind w:firstLine="547" w:firstLineChars="228"/>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处理不当将造成影响如下：</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①</w:t>
            </w:r>
            <w:r>
              <w:rPr>
                <w:rFonts w:eastAsia="宋体"/>
                <w:color w:val="000000" w:themeColor="text1"/>
                <w:sz w:val="24"/>
                <w:szCs w:val="24"/>
                <w14:textFill>
                  <w14:solidFill>
                    <w14:schemeClr w14:val="tx1"/>
                  </w14:solidFill>
                </w14:textFill>
              </w:rPr>
              <w:t>如建筑垃圾、弃方处置地不明确或无规则乱丢乱放，将影响土地利用、河流通畅，破坏自然、生态环境；</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②</w:t>
            </w:r>
            <w:r>
              <w:rPr>
                <w:rFonts w:eastAsia="宋体"/>
                <w:color w:val="000000" w:themeColor="text1"/>
                <w:sz w:val="24"/>
                <w:szCs w:val="24"/>
                <w14:textFill>
                  <w14:solidFill>
                    <w14:schemeClr w14:val="tx1"/>
                  </w14:solidFill>
                </w14:textFill>
              </w:rPr>
              <w:t>临时堆放不当在遇大风及干燥天气时将产生扬尘等二次污染；</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③</w:t>
            </w:r>
            <w:r>
              <w:rPr>
                <w:rFonts w:eastAsia="宋体"/>
                <w:color w:val="000000" w:themeColor="text1"/>
                <w:sz w:val="24"/>
                <w:szCs w:val="24"/>
                <w14:textFill>
                  <w14:solidFill>
                    <w14:schemeClr w14:val="tx1"/>
                  </w14:solidFill>
                </w14:textFill>
              </w:rPr>
              <w:t xml:space="preserve">生活垃圾在气温适宜的条件下则会孳生蚊虫、产生恶臭、传播疾病，对周围环境产生不利影响； </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④</w:t>
            </w:r>
            <w:r>
              <w:rPr>
                <w:rFonts w:eastAsia="宋体"/>
                <w:color w:val="000000" w:themeColor="text1"/>
                <w:sz w:val="24"/>
                <w:szCs w:val="24"/>
                <w14:textFill>
                  <w14:solidFill>
                    <w14:schemeClr w14:val="tx1"/>
                  </w14:solidFill>
                </w14:textFill>
              </w:rPr>
              <w:t>渣土运输过程中可能产生扬尘等二次污染。</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（2）防治措施</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施工人员产生的生活垃圾定点收集堆放，</w:t>
            </w:r>
            <w:r>
              <w:rPr>
                <w:rFonts w:hint="eastAsia" w:eastAsia="宋体"/>
                <w:color w:val="000000" w:themeColor="text1"/>
                <w:sz w:val="24"/>
                <w:szCs w:val="24"/>
                <w14:textFill>
                  <w14:solidFill>
                    <w14:schemeClr w14:val="tx1"/>
                  </w14:solidFill>
                </w14:textFill>
              </w:rPr>
              <w:t>运至已建垃圾填埋场填埋；</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建筑垃圾全部运往住建部门指定的建筑垃圾场规范填埋，弃方送合法渣土场填埋，不能随意倾倒、堆放建筑垃圾，运输过程中不能随路洒落。</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此外，施工期间还应采取以下防治措施：</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①</w:t>
            </w:r>
            <w:r>
              <w:rPr>
                <w:rFonts w:eastAsia="宋体"/>
                <w:color w:val="000000" w:themeColor="text1"/>
                <w:sz w:val="24"/>
                <w:szCs w:val="24"/>
                <w14:textFill>
                  <w14:solidFill>
                    <w14:schemeClr w14:val="tx1"/>
                  </w14:solidFill>
                </w14:textFill>
              </w:rPr>
              <w:t>合理安排施工进度，基础开挖应避免暴雨季节，防止水土流失；</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②</w:t>
            </w:r>
            <w:r>
              <w:rPr>
                <w:rFonts w:eastAsia="宋体"/>
                <w:color w:val="000000" w:themeColor="text1"/>
                <w:sz w:val="24"/>
                <w:szCs w:val="24"/>
                <w14:textFill>
                  <w14:solidFill>
                    <w14:schemeClr w14:val="tx1"/>
                  </w14:solidFill>
                </w14:textFill>
              </w:rPr>
              <w:t>提前修建护坡、挡土墙等防止渣土流失；</w:t>
            </w:r>
          </w:p>
          <w:p>
            <w:pPr>
              <w:pStyle w:val="13"/>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③</w:t>
            </w:r>
            <w:r>
              <w:rPr>
                <w:rFonts w:eastAsia="宋体"/>
                <w:color w:val="000000" w:themeColor="text1"/>
                <w:sz w:val="24"/>
                <w:szCs w:val="24"/>
                <w14:textFill>
                  <w14:solidFill>
                    <w14:schemeClr w14:val="tx1"/>
                  </w14:solidFill>
                </w14:textFill>
              </w:rPr>
              <w:t>建筑垃圾应及时清理，严禁随意倾倒；</w:t>
            </w:r>
          </w:p>
          <w:p>
            <w:pPr>
              <w:pStyle w:val="13"/>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s="宋体"/>
                <w:color w:val="000000" w:themeColor="text1"/>
                <w:sz w:val="24"/>
                <w:szCs w:val="24"/>
                <w14:textFill>
                  <w14:solidFill>
                    <w14:schemeClr w14:val="tx1"/>
                  </w14:solidFill>
                </w14:textFill>
              </w:rPr>
              <w:t>④</w:t>
            </w:r>
            <w:r>
              <w:rPr>
                <w:rFonts w:eastAsia="宋体"/>
                <w:color w:val="000000" w:themeColor="text1"/>
                <w:sz w:val="24"/>
                <w:szCs w:val="24"/>
                <w14:textFill>
                  <w14:solidFill>
                    <w14:schemeClr w14:val="tx1"/>
                  </w14:solidFill>
                </w14:textFill>
              </w:rPr>
              <w:t>项目运输车辆不得超载运输，项目区道路硬化，运输车辆驶出场区前必须冲洗，除去车轮及车身泥沙，降低道路扬尘；运输车辆经过敏感区域应减速行驶，禁止鸣笛。</w:t>
            </w:r>
          </w:p>
          <w:p>
            <w:pPr>
              <w:pStyle w:val="13"/>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施工期固体废物经妥善处理后对环境影响小。</w:t>
            </w:r>
          </w:p>
          <w:p>
            <w:pPr>
              <w:adjustRightInd w:val="0"/>
              <w:snapToGrid w:val="0"/>
              <w:spacing w:line="560" w:lineRule="exact"/>
              <w:ind w:left="140" w:leftChars="50" w:right="140" w:rightChars="50" w:firstLine="482" w:firstLineChars="200"/>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五、生态环境</w:t>
            </w:r>
            <w:r>
              <w:rPr>
                <w:rFonts w:eastAsia="宋体"/>
                <w:b/>
                <w:color w:val="000000" w:themeColor="text1"/>
                <w:sz w:val="24"/>
                <w:szCs w:val="24"/>
                <w14:textFill>
                  <w14:solidFill>
                    <w14:schemeClr w14:val="tx1"/>
                  </w14:solidFill>
                </w14:textFill>
              </w:rPr>
              <w:t>影响分析</w:t>
            </w:r>
          </w:p>
          <w:p>
            <w:pPr>
              <w:pStyle w:val="12"/>
              <w:spacing w:line="560" w:lineRule="exact"/>
              <w:ind w:firstLine="480" w:firstLineChars="200"/>
              <w:rPr>
                <w:rFonts w:ascii="Times New Roman"/>
                <w:b w:val="0"/>
                <w:bCs w:val="0"/>
                <w:color w:val="000000" w:themeColor="text1"/>
                <w:sz w:val="24"/>
                <w:szCs w:val="24"/>
                <w:lang w:val="en-US"/>
                <w14:textFill>
                  <w14:solidFill>
                    <w14:schemeClr w14:val="tx1"/>
                  </w14:solidFill>
                </w14:textFill>
              </w:rPr>
            </w:pPr>
            <w:r>
              <w:rPr>
                <w:rFonts w:ascii="Times New Roman"/>
                <w:b w:val="0"/>
                <w:bCs w:val="0"/>
                <w:color w:val="000000" w:themeColor="text1"/>
                <w:sz w:val="24"/>
                <w:szCs w:val="24"/>
                <w:lang w:val="en-US"/>
                <w14:textFill>
                  <w14:solidFill>
                    <w14:schemeClr w14:val="tx1"/>
                  </w14:solidFill>
                </w14:textFill>
              </w:rPr>
              <w:t>本项目的生态环境影响主要表现在处理构筑物开挖产生的弃土、弃渣占地对植被</w:t>
            </w:r>
            <w:r>
              <w:rPr>
                <w:rFonts w:hint="eastAsia" w:ascii="Times New Roman"/>
                <w:b w:val="0"/>
                <w:bCs w:val="0"/>
                <w:color w:val="000000" w:themeColor="text1"/>
                <w:sz w:val="24"/>
                <w:szCs w:val="24"/>
                <w:lang w:val="en-US"/>
                <w14:textFill>
                  <w14:solidFill>
                    <w14:schemeClr w14:val="tx1"/>
                  </w14:solidFill>
                </w14:textFill>
              </w:rPr>
              <w:t>的影响</w:t>
            </w:r>
            <w:r>
              <w:rPr>
                <w:rFonts w:ascii="Times New Roman"/>
                <w:b w:val="0"/>
                <w:bCs w:val="0"/>
                <w:color w:val="000000" w:themeColor="text1"/>
                <w:sz w:val="24"/>
                <w:szCs w:val="24"/>
                <w:lang w:val="en-US"/>
                <w14:textFill>
                  <w14:solidFill>
                    <w14:schemeClr w14:val="tx1"/>
                  </w14:solidFill>
                </w14:textFill>
              </w:rPr>
              <w:t>及水土流失的影响。</w:t>
            </w:r>
          </w:p>
          <w:p>
            <w:pPr>
              <w:pStyle w:val="12"/>
              <w:spacing w:line="560" w:lineRule="exact"/>
              <w:ind w:firstLine="480" w:firstLineChars="200"/>
              <w:rPr>
                <w:rFonts w:ascii="Times New Roman"/>
                <w:b w:val="0"/>
                <w:bCs w:val="0"/>
                <w:color w:val="000000" w:themeColor="text1"/>
                <w:sz w:val="24"/>
                <w:szCs w:val="24"/>
                <w:lang w:val="en-US"/>
                <w14:textFill>
                  <w14:solidFill>
                    <w14:schemeClr w14:val="tx1"/>
                  </w14:solidFill>
                </w14:textFill>
              </w:rPr>
            </w:pPr>
            <w:r>
              <w:rPr>
                <w:rFonts w:hint="eastAsia" w:ascii="Times New Roman"/>
                <w:b w:val="0"/>
                <w:bCs w:val="0"/>
                <w:color w:val="000000" w:themeColor="text1"/>
                <w:sz w:val="24"/>
                <w:szCs w:val="24"/>
                <w:lang w:val="en-US"/>
                <w14:textFill>
                  <w14:solidFill>
                    <w14:schemeClr w14:val="tx1"/>
                  </w14:solidFill>
                </w14:textFill>
              </w:rPr>
              <w:t>（1）本项目</w:t>
            </w:r>
            <w:r>
              <w:rPr>
                <w:rFonts w:ascii="Times New Roman"/>
                <w:b w:val="0"/>
                <w:bCs w:val="0"/>
                <w:color w:val="000000" w:themeColor="text1"/>
                <w:sz w:val="24"/>
                <w:szCs w:val="24"/>
                <w:lang w:val="en-US"/>
                <w14:textFill>
                  <w14:solidFill>
                    <w14:schemeClr w14:val="tx1"/>
                  </w14:solidFill>
                </w14:textFill>
              </w:rPr>
              <w:t>占地</w:t>
            </w:r>
            <w:r>
              <w:rPr>
                <w:rFonts w:hint="eastAsia" w:ascii="Times New Roman"/>
                <w:b w:val="0"/>
                <w:bCs w:val="0"/>
                <w:color w:val="000000" w:themeColor="text1"/>
                <w:sz w:val="24"/>
                <w:szCs w:val="24"/>
                <w:lang w:val="en-US"/>
                <w14:textFill>
                  <w14:solidFill>
                    <w14:schemeClr w14:val="tx1"/>
                  </w14:solidFill>
                </w14:textFill>
              </w:rPr>
              <w:t>约2650</w:t>
            </w:r>
            <w:r>
              <w:rPr>
                <w:rFonts w:ascii="Times New Roman"/>
                <w:b w:val="0"/>
                <w:bCs w:val="0"/>
                <w:color w:val="000000" w:themeColor="text1"/>
                <w:sz w:val="24"/>
                <w:szCs w:val="24"/>
                <w:lang w:val="en-US"/>
                <w14:textFill>
                  <w14:solidFill>
                    <w14:schemeClr w14:val="tx1"/>
                  </w14:solidFill>
                </w14:textFill>
              </w:rPr>
              <w:t>m</w:t>
            </w:r>
            <w:r>
              <w:rPr>
                <w:rFonts w:ascii="Times New Roman"/>
                <w:b w:val="0"/>
                <w:bCs w:val="0"/>
                <w:color w:val="000000" w:themeColor="text1"/>
                <w:sz w:val="24"/>
                <w:szCs w:val="24"/>
                <w:vertAlign w:val="superscript"/>
                <w:lang w:val="en-US"/>
                <w14:textFill>
                  <w14:solidFill>
                    <w14:schemeClr w14:val="tx1"/>
                  </w14:solidFill>
                </w14:textFill>
              </w:rPr>
              <w:t>2</w:t>
            </w:r>
            <w:r>
              <w:rPr>
                <w:rFonts w:ascii="Times New Roman"/>
                <w:b w:val="0"/>
                <w:bCs w:val="0"/>
                <w:color w:val="000000" w:themeColor="text1"/>
                <w:sz w:val="24"/>
                <w:szCs w:val="24"/>
                <w:lang w:val="en-US"/>
                <w14:textFill>
                  <w14:solidFill>
                    <w14:schemeClr w14:val="tx1"/>
                  </w14:solidFill>
                </w14:textFill>
              </w:rPr>
              <w:t>，项目所占用土地无拆迁工程量，不占用</w:t>
            </w:r>
            <w:r>
              <w:rPr>
                <w:rFonts w:hint="eastAsia" w:ascii="Times New Roman"/>
                <w:b w:val="0"/>
                <w:bCs w:val="0"/>
                <w:color w:val="000000" w:themeColor="text1"/>
                <w:sz w:val="24"/>
                <w:szCs w:val="24"/>
                <w:lang w:val="en-US"/>
                <w14:textFill>
                  <w14:solidFill>
                    <w14:schemeClr w14:val="tx1"/>
                  </w14:solidFill>
                </w14:textFill>
              </w:rPr>
              <w:t>农田</w:t>
            </w:r>
            <w:r>
              <w:rPr>
                <w:rFonts w:ascii="Times New Roman"/>
                <w:b w:val="0"/>
                <w:bCs w:val="0"/>
                <w:color w:val="000000" w:themeColor="text1"/>
                <w:sz w:val="24"/>
                <w:szCs w:val="24"/>
                <w:lang w:val="en-US"/>
                <w14:textFill>
                  <w14:solidFill>
                    <w14:schemeClr w14:val="tx1"/>
                  </w14:solidFill>
                </w14:textFill>
              </w:rPr>
              <w:t>。</w:t>
            </w:r>
          </w:p>
          <w:p>
            <w:pPr>
              <w:pStyle w:val="12"/>
              <w:spacing w:line="560" w:lineRule="exact"/>
              <w:ind w:firstLine="480" w:firstLineChars="200"/>
              <w:rPr>
                <w:rFonts w:ascii="Times New Roman"/>
                <w:b w:val="0"/>
                <w:bCs w:val="0"/>
                <w:color w:val="000000" w:themeColor="text1"/>
                <w:sz w:val="24"/>
                <w:szCs w:val="24"/>
                <w:lang w:val="en-US"/>
                <w14:textFill>
                  <w14:solidFill>
                    <w14:schemeClr w14:val="tx1"/>
                  </w14:solidFill>
                </w14:textFill>
              </w:rPr>
            </w:pPr>
            <w:r>
              <w:rPr>
                <w:rFonts w:hint="eastAsia" w:ascii="Times New Roman"/>
                <w:b w:val="0"/>
                <w:bCs w:val="0"/>
                <w:color w:val="000000" w:themeColor="text1"/>
                <w:sz w:val="24"/>
                <w:szCs w:val="24"/>
                <w:lang w:val="en-US"/>
                <w14:textFill>
                  <w14:solidFill>
                    <w14:schemeClr w14:val="tx1"/>
                  </w14:solidFill>
                </w14:textFill>
              </w:rPr>
              <w:t>（2）项目施工活动使得部分地表植被清除，构筑物增加使土地的硬化度加大，减少了生物量，降低生态质量，对生态环境有一定的影响。本项目完成后对厂区进行绿化，可减缓对生态环境的影响。</w:t>
            </w:r>
          </w:p>
          <w:p>
            <w:pPr>
              <w:pStyle w:val="12"/>
              <w:spacing w:line="560" w:lineRule="exact"/>
              <w:ind w:firstLine="480" w:firstLineChars="200"/>
              <w:rPr>
                <w:rFonts w:ascii="Times New Roman"/>
                <w:b w:val="0"/>
                <w:bCs w:val="0"/>
                <w:color w:val="000000" w:themeColor="text1"/>
                <w:sz w:val="24"/>
                <w:szCs w:val="24"/>
                <w:lang w:val="en-US"/>
                <w14:textFill>
                  <w14:solidFill>
                    <w14:schemeClr w14:val="tx1"/>
                  </w14:solidFill>
                </w14:textFill>
              </w:rPr>
            </w:pPr>
            <w:r>
              <w:rPr>
                <w:rFonts w:hint="eastAsia" w:ascii="Times New Roman"/>
                <w:b w:val="0"/>
                <w:bCs w:val="0"/>
                <w:color w:val="000000" w:themeColor="text1"/>
                <w:sz w:val="24"/>
                <w:szCs w:val="24"/>
                <w:lang w:val="en-US"/>
                <w14:textFill>
                  <w14:solidFill>
                    <w14:schemeClr w14:val="tx1"/>
                  </w14:solidFill>
                </w14:textFill>
              </w:rPr>
              <w:t>（3）</w:t>
            </w:r>
            <w:r>
              <w:rPr>
                <w:rFonts w:ascii="Times New Roman"/>
                <w:b w:val="0"/>
                <w:bCs w:val="0"/>
                <w:color w:val="000000" w:themeColor="text1"/>
                <w:sz w:val="24"/>
                <w:szCs w:val="24"/>
                <w:lang w:val="en-US"/>
                <w14:textFill>
                  <w14:solidFill>
                    <w14:schemeClr w14:val="tx1"/>
                  </w14:solidFill>
                </w14:textFill>
              </w:rPr>
              <w:t>对水土流失的影响</w:t>
            </w:r>
          </w:p>
          <w:p>
            <w:pPr>
              <w:pStyle w:val="12"/>
              <w:spacing w:line="560" w:lineRule="exact"/>
              <w:ind w:firstLine="480" w:firstLineChars="200"/>
              <w:rPr>
                <w:rFonts w:ascii="Times New Roman"/>
                <w:b w:val="0"/>
                <w:bCs w:val="0"/>
                <w:color w:val="000000" w:themeColor="text1"/>
                <w:sz w:val="24"/>
                <w:szCs w:val="24"/>
                <w:lang w:val="en-US"/>
                <w14:textFill>
                  <w14:solidFill>
                    <w14:schemeClr w14:val="tx1"/>
                  </w14:solidFill>
                </w14:textFill>
              </w:rPr>
            </w:pPr>
            <w:r>
              <w:rPr>
                <w:rFonts w:hint="eastAsia" w:ascii="Times New Roman"/>
                <w:b w:val="0"/>
                <w:bCs w:val="0"/>
                <w:color w:val="000000" w:themeColor="text1"/>
                <w:sz w:val="24"/>
                <w:szCs w:val="24"/>
                <w:lang w:val="en-US"/>
                <w14:textFill>
                  <w14:solidFill>
                    <w14:schemeClr w14:val="tx1"/>
                  </w14:solidFill>
                </w14:textFill>
              </w:rPr>
              <w:t>施工期间在场地开挖、场地平整，管沟砌筑与回填、材料的堆放等，若处理不当会产生水土流失。施工过程对生态环境也会产生不利影响。本环评提出如下措施：</w:t>
            </w:r>
          </w:p>
          <w:p>
            <w:pPr>
              <w:pStyle w:val="12"/>
              <w:spacing w:line="560" w:lineRule="exact"/>
              <w:ind w:firstLine="480" w:firstLineChars="200"/>
              <w:rPr>
                <w:rFonts w:ascii="Times New Roman" w:cs="宋体"/>
                <w:b w:val="0"/>
                <w:bCs w:val="0"/>
                <w:color w:val="000000" w:themeColor="text1"/>
                <w:sz w:val="24"/>
                <w:szCs w:val="24"/>
                <w:lang w:val="en-US"/>
                <w14:textFill>
                  <w14:solidFill>
                    <w14:schemeClr w14:val="tx1"/>
                  </w14:solidFill>
                </w14:textFill>
              </w:rPr>
            </w:pPr>
            <w:r>
              <w:rPr>
                <w:rFonts w:hint="eastAsia" w:ascii="Times New Roman" w:cs="宋体"/>
                <w:b w:val="0"/>
                <w:bCs w:val="0"/>
                <w:color w:val="000000" w:themeColor="text1"/>
                <w:sz w:val="24"/>
                <w:szCs w:val="24"/>
                <w:lang w:val="en-US"/>
                <w14:textFill>
                  <w14:solidFill>
                    <w14:schemeClr w14:val="tx1"/>
                  </w14:solidFill>
                </w14:textFill>
              </w:rPr>
              <w:t>①施工过程中破坏的植被在工程竣工后应尽快恢复，并严格控制临时占地；</w:t>
            </w:r>
          </w:p>
          <w:p>
            <w:pPr>
              <w:pStyle w:val="12"/>
              <w:spacing w:line="560" w:lineRule="exact"/>
              <w:ind w:firstLine="480" w:firstLineChars="200"/>
              <w:rPr>
                <w:rFonts w:ascii="Times New Roman" w:cs="宋体"/>
                <w:b w:val="0"/>
                <w:bCs w:val="0"/>
                <w:color w:val="000000" w:themeColor="text1"/>
                <w:sz w:val="24"/>
                <w:szCs w:val="24"/>
                <w:lang w:val="en-US"/>
                <w14:textFill>
                  <w14:solidFill>
                    <w14:schemeClr w14:val="tx1"/>
                  </w14:solidFill>
                </w14:textFill>
              </w:rPr>
            </w:pPr>
            <w:r>
              <w:rPr>
                <w:rFonts w:hint="eastAsia" w:ascii="Times New Roman" w:cs="宋体"/>
                <w:b w:val="0"/>
                <w:bCs w:val="0"/>
                <w:color w:val="000000" w:themeColor="text1"/>
                <w:sz w:val="24"/>
                <w:szCs w:val="24"/>
                <w:lang w:val="en-US"/>
                <w14:textFill>
                  <w14:solidFill>
                    <w14:schemeClr w14:val="tx1"/>
                  </w14:solidFill>
                </w14:textFill>
              </w:rPr>
              <w:t>②在开挖地表土壤时，尽可能将表土堆在一旁，施工完毕，应尽快整理施工现场，将表土覆盖原地表，以恢复植被；</w:t>
            </w:r>
          </w:p>
          <w:p>
            <w:pPr>
              <w:pStyle w:val="12"/>
              <w:spacing w:line="560" w:lineRule="exact"/>
              <w:ind w:firstLine="480" w:firstLineChars="200"/>
              <w:rPr>
                <w:rFonts w:ascii="Times New Roman" w:cs="宋体"/>
                <w:b w:val="0"/>
                <w:bCs w:val="0"/>
                <w:color w:val="000000" w:themeColor="text1"/>
                <w:sz w:val="24"/>
                <w:szCs w:val="24"/>
                <w:lang w:val="en-US"/>
                <w14:textFill>
                  <w14:solidFill>
                    <w14:schemeClr w14:val="tx1"/>
                  </w14:solidFill>
                </w14:textFill>
              </w:rPr>
            </w:pPr>
            <w:r>
              <w:rPr>
                <w:rFonts w:hint="eastAsia" w:ascii="Times New Roman" w:cs="宋体"/>
                <w:b w:val="0"/>
                <w:bCs w:val="0"/>
                <w:color w:val="000000" w:themeColor="text1"/>
                <w:sz w:val="24"/>
                <w:szCs w:val="24"/>
                <w:lang w:val="en-US"/>
                <w14:textFill>
                  <w14:solidFill>
                    <w14:schemeClr w14:val="tx1"/>
                  </w14:solidFill>
                </w14:textFill>
              </w:rPr>
              <w:t>③合理安排施工作业时间，避开雨季施工作业；</w:t>
            </w:r>
          </w:p>
          <w:p>
            <w:pPr>
              <w:pStyle w:val="12"/>
              <w:spacing w:line="560" w:lineRule="exact"/>
              <w:ind w:firstLine="480" w:firstLineChars="200"/>
              <w:rPr>
                <w:rFonts w:ascii="Times New Roman" w:cs="宋体"/>
                <w:b w:val="0"/>
                <w:bCs w:val="0"/>
                <w:color w:val="000000" w:themeColor="text1"/>
                <w:sz w:val="24"/>
                <w:szCs w:val="24"/>
                <w:lang w:val="en-US"/>
                <w14:textFill>
                  <w14:solidFill>
                    <w14:schemeClr w14:val="tx1"/>
                  </w14:solidFill>
                </w14:textFill>
              </w:rPr>
            </w:pPr>
            <w:r>
              <w:rPr>
                <w:rFonts w:hint="eastAsia" w:ascii="Times New Roman" w:cs="宋体"/>
                <w:b w:val="0"/>
                <w:bCs w:val="0"/>
                <w:color w:val="000000" w:themeColor="text1"/>
                <w:sz w:val="24"/>
                <w:szCs w:val="24"/>
                <w:lang w:val="en-US"/>
                <w14:textFill>
                  <w14:solidFill>
                    <w14:schemeClr w14:val="tx1"/>
                  </w14:solidFill>
                </w14:textFill>
              </w:rPr>
              <w:t>④污水处理站施工场地内严格控制临时堆方堆置地点。</w:t>
            </w:r>
          </w:p>
          <w:p>
            <w:pPr>
              <w:spacing w:before="156" w:beforeLines="50" w:line="560" w:lineRule="exact"/>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营运期环境影响分析</w:t>
            </w:r>
          </w:p>
          <w:p>
            <w:pPr>
              <w:numPr>
                <w:ilvl w:val="0"/>
                <w:numId w:val="8"/>
              </w:numPr>
              <w:adjustRightInd w:val="0"/>
              <w:snapToGrid w:val="0"/>
              <w:spacing w:line="560" w:lineRule="exact"/>
              <w:ind w:right="140" w:rightChars="50"/>
              <w:rPr>
                <w:rFonts w:eastAsia="宋体"/>
                <w:b/>
                <w:color w:val="000000" w:themeColor="text1"/>
                <w:sz w:val="24"/>
                <w:szCs w:val="24"/>
                <w14:textFill>
                  <w14:solidFill>
                    <w14:schemeClr w14:val="tx1"/>
                  </w14:solidFill>
                </w14:textFill>
              </w:rPr>
            </w:pPr>
            <w:r>
              <w:rPr>
                <w:rFonts w:eastAsia="宋体"/>
                <w:b/>
                <w:color w:val="000000" w:themeColor="text1"/>
                <w:sz w:val="24"/>
                <w:szCs w:val="24"/>
                <w14:textFill>
                  <w14:solidFill>
                    <w14:schemeClr w14:val="tx1"/>
                  </w14:solidFill>
                </w14:textFill>
              </w:rPr>
              <w:t>大气环境影响分析</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本</w:t>
            </w:r>
            <w:r>
              <w:rPr>
                <w:rFonts w:eastAsia="宋体"/>
                <w:color w:val="000000" w:themeColor="text1"/>
                <w:sz w:val="24"/>
                <w:szCs w:val="24"/>
                <w14:textFill>
                  <w14:solidFill>
                    <w14:schemeClr w14:val="tx1"/>
                  </w14:solidFill>
                </w14:textFill>
              </w:rPr>
              <w:t>项目运行过程废气主要为渗滤液处理设施运行过程产生的的</w:t>
            </w:r>
            <w:r>
              <w:rPr>
                <w:rFonts w:hint="eastAsia" w:eastAsia="宋体"/>
                <w:color w:val="000000" w:themeColor="text1"/>
                <w:sz w:val="24"/>
                <w:szCs w:val="24"/>
                <w14:textFill>
                  <w14:solidFill>
                    <w14:schemeClr w14:val="tx1"/>
                  </w14:solidFill>
                </w14:textFill>
              </w:rPr>
              <w:t>NH</w:t>
            </w:r>
            <w:r>
              <w:rPr>
                <w:rFonts w:hint="eastAsia" w:eastAsia="宋体"/>
                <w:color w:val="000000" w:themeColor="text1"/>
                <w:sz w:val="24"/>
                <w:szCs w:val="24"/>
                <w:vertAlign w:val="subscript"/>
                <w14:textFill>
                  <w14:solidFill>
                    <w14:schemeClr w14:val="tx1"/>
                  </w14:solidFill>
                </w14:textFill>
              </w:rPr>
              <w:t>3</w:t>
            </w:r>
            <w:r>
              <w:rPr>
                <w:rFonts w:hint="eastAsia" w:eastAsia="宋体"/>
                <w:color w:val="000000" w:themeColor="text1"/>
                <w:sz w:val="24"/>
                <w:szCs w:val="24"/>
                <w14:textFill>
                  <w14:solidFill>
                    <w14:schemeClr w14:val="tx1"/>
                  </w14:solidFill>
                </w14:textFill>
              </w:rPr>
              <w:t>、H</w:t>
            </w:r>
            <w:r>
              <w:rPr>
                <w:rFonts w:hint="eastAsia" w:eastAsia="宋体"/>
                <w:color w:val="000000" w:themeColor="text1"/>
                <w:sz w:val="24"/>
                <w:szCs w:val="24"/>
                <w:vertAlign w:val="subscript"/>
                <w14:textFill>
                  <w14:solidFill>
                    <w14:schemeClr w14:val="tx1"/>
                  </w14:solidFill>
                </w14:textFill>
              </w:rPr>
              <w:t>2</w:t>
            </w:r>
            <w:r>
              <w:rPr>
                <w:rFonts w:hint="eastAsia" w:eastAsia="宋体"/>
                <w:color w:val="000000" w:themeColor="text1"/>
                <w:sz w:val="24"/>
                <w:szCs w:val="24"/>
                <w14:textFill>
                  <w14:solidFill>
                    <w14:schemeClr w14:val="tx1"/>
                  </w14:solidFill>
                </w14:textFill>
              </w:rPr>
              <w:t>S</w:t>
            </w:r>
            <w:r>
              <w:rPr>
                <w:rFonts w:eastAsia="宋体"/>
                <w:color w:val="000000" w:themeColor="text1"/>
                <w:sz w:val="24"/>
                <w:szCs w:val="24"/>
                <w14:textFill>
                  <w14:solidFill>
                    <w14:schemeClr w14:val="tx1"/>
                  </w14:solidFill>
                </w14:textFill>
              </w:rPr>
              <w:t>等恶臭气体。</w:t>
            </w:r>
            <w:r>
              <w:rPr>
                <w:rFonts w:hint="eastAsia" w:eastAsia="宋体"/>
                <w:color w:val="000000" w:themeColor="text1"/>
                <w:sz w:val="24"/>
                <w:szCs w:val="24"/>
                <w14:textFill>
                  <w14:solidFill>
                    <w14:schemeClr w14:val="tx1"/>
                  </w14:solidFill>
                </w14:textFill>
              </w:rPr>
              <w:t>通过对收集池、调节池、MBR综合池和污泥池等加盖封闭后安装成套集气装置，通过离子除臭装置处理后的属于有组织排放，未收集到的为无组织排放。</w:t>
            </w:r>
          </w:p>
          <w:p>
            <w:pPr>
              <w:spacing w:line="560" w:lineRule="exact"/>
              <w:ind w:firstLine="480" w:firstLineChars="20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（1）</w:t>
            </w:r>
            <w:r>
              <w:rPr>
                <w:rFonts w:eastAsia="宋体"/>
                <w:color w:val="000000" w:themeColor="text1"/>
                <w:sz w:val="24"/>
                <w14:textFill>
                  <w14:solidFill>
                    <w14:schemeClr w14:val="tx1"/>
                  </w14:solidFill>
                </w14:textFill>
              </w:rPr>
              <w:t>废气影响预测</w:t>
            </w:r>
          </w:p>
          <w:p>
            <w:pPr>
              <w:pStyle w:val="13"/>
              <w:adjustRightInd w:val="0"/>
              <w:snapToGrid w:val="0"/>
              <w:spacing w:line="560" w:lineRule="exact"/>
              <w:ind w:left="84" w:leftChars="30" w:right="84" w:rightChars="30" w:firstLine="480" w:firstLineChars="200"/>
              <w:rPr>
                <w:rFonts w:eastAsia="宋体"/>
                <w:bCs/>
                <w:color w:val="000000" w:themeColor="text1"/>
                <w:sz w:val="24"/>
                <w14:textFill>
                  <w14:solidFill>
                    <w14:schemeClr w14:val="tx1"/>
                  </w14:solidFill>
                </w14:textFill>
              </w:rPr>
            </w:pPr>
            <w:r>
              <w:rPr>
                <w:rFonts w:hint="eastAsia" w:eastAsia="宋体"/>
                <w:bCs/>
                <w:color w:val="000000" w:themeColor="text1"/>
                <w:sz w:val="24"/>
                <w14:textFill>
                  <w14:solidFill>
                    <w14:schemeClr w14:val="tx1"/>
                  </w14:solidFill>
                </w14:textFill>
              </w:rPr>
              <w:t>根据《环境影响评价技术导则 大气环境》（HJ2.2-2018），本项目直接以AERSCREEN模型的计算结果作为预测与分析依据。排放参数如下：</w:t>
            </w:r>
          </w:p>
          <w:p>
            <w:pPr>
              <w:pStyle w:val="184"/>
              <w:spacing w:beforeLines="0"/>
              <w:rPr>
                <w:color w:val="000000" w:themeColor="text1"/>
                <w:sz w:val="21"/>
                <w14:textFill>
                  <w14:solidFill>
                    <w14:schemeClr w14:val="tx1"/>
                  </w14:solidFill>
                </w14:textFill>
              </w:rPr>
            </w:pPr>
            <w:r>
              <w:rPr>
                <w:color w:val="000000" w:themeColor="text1"/>
                <w:sz w:val="21"/>
                <w14:textFill>
                  <w14:solidFill>
                    <w14:schemeClr w14:val="tx1"/>
                  </w14:solidFill>
                </w14:textFill>
              </w:rPr>
              <w:t>表</w:t>
            </w:r>
            <w:r>
              <w:rPr>
                <w:rFonts w:hint="eastAsia"/>
                <w:color w:val="000000" w:themeColor="text1"/>
                <w:sz w:val="21"/>
                <w14:textFill>
                  <w14:solidFill>
                    <w14:schemeClr w14:val="tx1"/>
                  </w14:solidFill>
                </w14:textFill>
              </w:rPr>
              <w:t>2</w:t>
            </w:r>
            <w:r>
              <w:rPr>
                <w:rFonts w:hint="eastAsia"/>
                <w:color w:val="000000" w:themeColor="text1"/>
                <w:sz w:val="21"/>
                <w:lang w:val="en-US" w:eastAsia="zh-CN"/>
                <w14:textFill>
                  <w14:solidFill>
                    <w14:schemeClr w14:val="tx1"/>
                  </w14:solidFill>
                </w14:textFill>
              </w:rPr>
              <w:t>6</w:t>
            </w:r>
            <w:r>
              <w:rPr>
                <w:rFonts w:hint="eastAsia"/>
                <w:color w:val="000000" w:themeColor="text1"/>
                <w:sz w:val="21"/>
                <w14:textFill>
                  <w14:solidFill>
                    <w14:schemeClr w14:val="tx1"/>
                  </w14:solidFill>
                </w14:textFill>
              </w:rPr>
              <w:t xml:space="preserve">  估算模型参数表</w:t>
            </w:r>
          </w:p>
          <w:tbl>
            <w:tblPr>
              <w:tblStyle w:val="32"/>
              <w:tblW w:w="89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2989"/>
              <w:gridCol w:w="2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77" w:type="dxa"/>
                  <w:gridSpan w:val="2"/>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参数</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88" w:type="dxa"/>
                  <w:vMerge w:val="restart"/>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城市/农村选项</w:t>
                  </w:r>
                </w:p>
              </w:tc>
              <w:tc>
                <w:tcPr>
                  <w:tcW w:w="2989"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城市/农村</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88" w:type="dxa"/>
                  <w:vMerge w:val="continue"/>
                  <w:shd w:val="clear" w:color="auto" w:fill="auto"/>
                  <w:vAlign w:val="center"/>
                </w:tcPr>
                <w:p>
                  <w:pPr>
                    <w:pStyle w:val="188"/>
                    <w:rPr>
                      <w:b w:val="0"/>
                      <w:color w:val="000000" w:themeColor="text1"/>
                      <w:sz w:val="21"/>
                      <w14:textFill>
                        <w14:solidFill>
                          <w14:schemeClr w14:val="tx1"/>
                        </w14:solidFill>
                      </w14:textFill>
                    </w:rPr>
                  </w:pPr>
                </w:p>
              </w:tc>
              <w:tc>
                <w:tcPr>
                  <w:tcW w:w="2989"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人口数（城市选项时）</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77" w:type="dxa"/>
                  <w:gridSpan w:val="2"/>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最高环境温度/℃</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77" w:type="dxa"/>
                  <w:gridSpan w:val="2"/>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最低环境温度/℃</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77" w:type="dxa"/>
                  <w:gridSpan w:val="2"/>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土地利用类型</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77" w:type="dxa"/>
                  <w:gridSpan w:val="2"/>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区域湿度条件</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干燥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88" w:type="dxa"/>
                  <w:vMerge w:val="restart"/>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是否考虑地形</w:t>
                  </w:r>
                </w:p>
              </w:tc>
              <w:tc>
                <w:tcPr>
                  <w:tcW w:w="2989"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考虑地形</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88" w:type="dxa"/>
                  <w:vMerge w:val="continue"/>
                  <w:shd w:val="clear" w:color="auto" w:fill="auto"/>
                  <w:vAlign w:val="center"/>
                </w:tcPr>
                <w:p>
                  <w:pPr>
                    <w:pStyle w:val="188"/>
                    <w:rPr>
                      <w:b w:val="0"/>
                      <w:color w:val="000000" w:themeColor="text1"/>
                      <w:sz w:val="21"/>
                      <w14:textFill>
                        <w14:solidFill>
                          <w14:schemeClr w14:val="tx1"/>
                        </w14:solidFill>
                      </w14:textFill>
                    </w:rPr>
                  </w:pPr>
                </w:p>
              </w:tc>
              <w:tc>
                <w:tcPr>
                  <w:tcW w:w="2989"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地形数据分辨率/m</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88" w:type="dxa"/>
                  <w:vMerge w:val="restart"/>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是否考虑岸线熏烟</w:t>
                  </w:r>
                </w:p>
              </w:tc>
              <w:tc>
                <w:tcPr>
                  <w:tcW w:w="2989"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考虑岸线熏烟</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88" w:type="dxa"/>
                  <w:vMerge w:val="continue"/>
                  <w:shd w:val="clear" w:color="auto" w:fill="auto"/>
                  <w:vAlign w:val="center"/>
                </w:tcPr>
                <w:p>
                  <w:pPr>
                    <w:pStyle w:val="188"/>
                    <w:rPr>
                      <w:b w:val="0"/>
                      <w:color w:val="000000" w:themeColor="text1"/>
                      <w:sz w:val="21"/>
                      <w14:textFill>
                        <w14:solidFill>
                          <w14:schemeClr w14:val="tx1"/>
                        </w14:solidFill>
                      </w14:textFill>
                    </w:rPr>
                  </w:pPr>
                </w:p>
              </w:tc>
              <w:tc>
                <w:tcPr>
                  <w:tcW w:w="2989"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岸线距离/km</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988" w:type="dxa"/>
                  <w:vMerge w:val="continue"/>
                  <w:shd w:val="clear" w:color="auto" w:fill="auto"/>
                  <w:vAlign w:val="center"/>
                </w:tcPr>
                <w:p>
                  <w:pPr>
                    <w:pStyle w:val="188"/>
                    <w:rPr>
                      <w:b w:val="0"/>
                      <w:color w:val="000000" w:themeColor="text1"/>
                      <w:sz w:val="21"/>
                      <w14:textFill>
                        <w14:solidFill>
                          <w14:schemeClr w14:val="tx1"/>
                        </w14:solidFill>
                      </w14:textFill>
                    </w:rPr>
                  </w:pPr>
                </w:p>
              </w:tc>
              <w:tc>
                <w:tcPr>
                  <w:tcW w:w="2989"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岸线方向/°</w:t>
                  </w:r>
                </w:p>
              </w:tc>
              <w:tc>
                <w:tcPr>
                  <w:tcW w:w="2987" w:type="dxa"/>
                  <w:shd w:val="clear" w:color="auto" w:fill="auto"/>
                  <w:vAlign w:val="center"/>
                </w:tcPr>
                <w:p>
                  <w:pPr>
                    <w:pStyle w:val="188"/>
                    <w:rPr>
                      <w:b w:val="0"/>
                      <w:color w:val="000000" w:themeColor="text1"/>
                      <w:sz w:val="21"/>
                      <w14:textFill>
                        <w14:solidFill>
                          <w14:schemeClr w14:val="tx1"/>
                        </w14:solidFill>
                      </w14:textFill>
                    </w:rPr>
                  </w:pPr>
                  <w:r>
                    <w:rPr>
                      <w:rFonts w:hint="eastAsia"/>
                      <w:b w:val="0"/>
                      <w:color w:val="000000" w:themeColor="text1"/>
                      <w:sz w:val="21"/>
                      <w14:textFill>
                        <w14:solidFill>
                          <w14:schemeClr w14:val="tx1"/>
                        </w14:solidFill>
                      </w14:textFill>
                    </w:rPr>
                    <w:t>/</w:t>
                  </w:r>
                </w:p>
              </w:tc>
            </w:tr>
          </w:tbl>
          <w:p>
            <w:pPr>
              <w:pStyle w:val="184"/>
              <w:spacing w:before="156"/>
              <w:rPr>
                <w:color w:val="000000" w:themeColor="text1"/>
                <w:sz w:val="21"/>
                <w14:textFill>
                  <w14:solidFill>
                    <w14:schemeClr w14:val="tx1"/>
                  </w14:solidFill>
                </w14:textFill>
              </w:rPr>
            </w:pPr>
            <w:r>
              <w:rPr>
                <w:color w:val="000000" w:themeColor="text1"/>
                <w:sz w:val="21"/>
                <w14:textFill>
                  <w14:solidFill>
                    <w14:schemeClr w14:val="tx1"/>
                  </w14:solidFill>
                </w14:textFill>
              </w:rPr>
              <w:t>表</w:t>
            </w:r>
            <w:r>
              <w:rPr>
                <w:rFonts w:hint="eastAsia"/>
                <w:color w:val="000000" w:themeColor="text1"/>
                <w:sz w:val="21"/>
                <w14:textFill>
                  <w14:solidFill>
                    <w14:schemeClr w14:val="tx1"/>
                  </w14:solidFill>
                </w14:textFill>
              </w:rPr>
              <w:t>2</w:t>
            </w:r>
            <w:r>
              <w:rPr>
                <w:rFonts w:hint="eastAsia"/>
                <w:color w:val="000000" w:themeColor="text1"/>
                <w:sz w:val="21"/>
                <w:lang w:val="en-US" w:eastAsia="zh-CN"/>
                <w14:textFill>
                  <w14:solidFill>
                    <w14:schemeClr w14:val="tx1"/>
                  </w14:solidFill>
                </w14:textFill>
              </w:rPr>
              <w:t>7</w:t>
            </w:r>
            <w:r>
              <w:rPr>
                <w:rFonts w:hint="eastAsia"/>
                <w:color w:val="000000" w:themeColor="text1"/>
                <w:sz w:val="21"/>
                <w14:textFill>
                  <w14:solidFill>
                    <w14:schemeClr w14:val="tx1"/>
                  </w14:solidFill>
                </w14:textFill>
              </w:rPr>
              <w:t xml:space="preserve">  大气污染物排放参数</w:t>
            </w:r>
          </w:p>
          <w:tbl>
            <w:tblPr>
              <w:tblStyle w:val="32"/>
              <w:tblW w:w="89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736"/>
              <w:gridCol w:w="3149"/>
              <w:gridCol w:w="2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991" w:type="dxa"/>
                  <w:gridSpan w:val="2"/>
                  <w:vAlign w:val="center"/>
                </w:tcPr>
                <w:p>
                  <w:pPr>
                    <w:pStyle w:val="185"/>
                    <w:rPr>
                      <w:rFonts w:eastAsia="宋体"/>
                      <w:color w:val="000000" w:themeColor="text1"/>
                      <w:szCs w:val="21"/>
                      <w14:textFill>
                        <w14:solidFill>
                          <w14:schemeClr w14:val="tx1"/>
                        </w14:solidFill>
                      </w14:textFill>
                    </w:rPr>
                  </w:pPr>
                  <w:r>
                    <w:rPr>
                      <w:rFonts w:hint="eastAsia" w:eastAsia="宋体" w:cs="宋体"/>
                      <w:color w:val="000000" w:themeColor="text1"/>
                      <w:szCs w:val="21"/>
                      <w14:textFill>
                        <w14:solidFill>
                          <w14:schemeClr w14:val="tx1"/>
                        </w14:solidFill>
                      </w14:textFill>
                    </w:rPr>
                    <w:t>排放性质</w:t>
                  </w:r>
                </w:p>
              </w:tc>
              <w:tc>
                <w:tcPr>
                  <w:tcW w:w="3149" w:type="dxa"/>
                  <w:vAlign w:val="center"/>
                </w:tcPr>
                <w:p>
                  <w:pPr>
                    <w:pStyle w:val="185"/>
                    <w:rPr>
                      <w:rFonts w:eastAsia="宋体"/>
                      <w:color w:val="000000" w:themeColor="text1"/>
                      <w:szCs w:val="21"/>
                      <w14:textFill>
                        <w14:solidFill>
                          <w14:schemeClr w14:val="tx1"/>
                        </w14:solidFill>
                      </w14:textFill>
                    </w:rPr>
                  </w:pPr>
                  <w:r>
                    <w:rPr>
                      <w:rFonts w:hint="eastAsia" w:eastAsia="宋体" w:cs="宋体"/>
                      <w:color w:val="000000" w:themeColor="text1"/>
                      <w:szCs w:val="21"/>
                      <w14:textFill>
                        <w14:solidFill>
                          <w14:schemeClr w14:val="tx1"/>
                        </w14:solidFill>
                      </w14:textFill>
                    </w:rPr>
                    <w:t>点 源（有组织）</w:t>
                  </w:r>
                </w:p>
              </w:tc>
              <w:tc>
                <w:tcPr>
                  <w:tcW w:w="2818" w:type="dxa"/>
                </w:tcPr>
                <w:p>
                  <w:pPr>
                    <w:pStyle w:val="185"/>
                    <w:rPr>
                      <w:rFonts w:eastAsia="宋体" w:cs="宋体"/>
                      <w:color w:val="000000" w:themeColor="text1"/>
                      <w:szCs w:val="21"/>
                      <w14:textFill>
                        <w14:solidFill>
                          <w14:schemeClr w14:val="tx1"/>
                        </w14:solidFill>
                      </w14:textFill>
                    </w:rPr>
                  </w:pPr>
                  <w:r>
                    <w:rPr>
                      <w:rFonts w:hint="eastAsia" w:eastAsia="宋体" w:cs="宋体"/>
                      <w:color w:val="000000" w:themeColor="text1"/>
                      <w:szCs w:val="21"/>
                      <w14:textFill>
                        <w14:solidFill>
                          <w14:schemeClr w14:val="tx1"/>
                        </w14:solidFill>
                      </w14:textFill>
                    </w:rPr>
                    <w:t>面 源（无组织）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991" w:type="dxa"/>
                  <w:gridSpan w:val="2"/>
                  <w:vAlign w:val="center"/>
                </w:tcPr>
                <w:p>
                  <w:pPr>
                    <w:pStyle w:val="185"/>
                    <w:rPr>
                      <w:rFonts w:eastAsia="宋体"/>
                      <w:color w:val="000000" w:themeColor="text1"/>
                      <w:szCs w:val="21"/>
                      <w14:textFill>
                        <w14:solidFill>
                          <w14:schemeClr w14:val="tx1"/>
                        </w14:solidFill>
                      </w14:textFill>
                    </w:rPr>
                  </w:pPr>
                  <w:r>
                    <w:rPr>
                      <w:rFonts w:hint="eastAsia" w:eastAsia="宋体" w:cs="宋体"/>
                      <w:color w:val="000000" w:themeColor="text1"/>
                      <w:szCs w:val="21"/>
                      <w14:textFill>
                        <w14:solidFill>
                          <w14:schemeClr w14:val="tx1"/>
                        </w14:solidFill>
                      </w14:textFill>
                    </w:rPr>
                    <w:t>排放高度</w:t>
                  </w:r>
                </w:p>
              </w:tc>
              <w:tc>
                <w:tcPr>
                  <w:tcW w:w="3149" w:type="dxa"/>
                  <w:vAlign w:val="center"/>
                </w:tcPr>
                <w:p>
                  <w:pPr>
                    <w:pStyle w:val="185"/>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15.0</w:t>
                  </w:r>
                  <w:r>
                    <w:rPr>
                      <w:rFonts w:eastAsia="宋体"/>
                      <w:color w:val="000000" w:themeColor="text1"/>
                      <w:szCs w:val="21"/>
                      <w14:textFill>
                        <w14:solidFill>
                          <w14:schemeClr w14:val="tx1"/>
                        </w14:solidFill>
                      </w14:textFill>
                    </w:rPr>
                    <w:t>m</w:t>
                  </w:r>
                </w:p>
              </w:tc>
              <w:tc>
                <w:tcPr>
                  <w:tcW w:w="2818" w:type="dxa"/>
                </w:tcPr>
                <w:p>
                  <w:pPr>
                    <w:pStyle w:val="185"/>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1.5m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991" w:type="dxa"/>
                  <w:gridSpan w:val="2"/>
                  <w:vAlign w:val="center"/>
                </w:tcPr>
                <w:p>
                  <w:pPr>
                    <w:pStyle w:val="185"/>
                    <w:rPr>
                      <w:rFonts w:eastAsia="宋体"/>
                      <w:color w:val="000000" w:themeColor="text1"/>
                      <w:szCs w:val="21"/>
                      <w14:textFill>
                        <w14:solidFill>
                          <w14:schemeClr w14:val="tx1"/>
                        </w14:solidFill>
                      </w14:textFill>
                    </w:rPr>
                  </w:pPr>
                  <w:r>
                    <w:rPr>
                      <w:rFonts w:hint="eastAsia" w:eastAsia="宋体" w:cs="宋体"/>
                      <w:color w:val="000000" w:themeColor="text1"/>
                      <w:szCs w:val="21"/>
                      <w14:textFill>
                        <w14:solidFill>
                          <w14:schemeClr w14:val="tx1"/>
                        </w14:solidFill>
                      </w14:textFill>
                    </w:rPr>
                    <w:t>排气筒内径</w:t>
                  </w:r>
                </w:p>
              </w:tc>
              <w:tc>
                <w:tcPr>
                  <w:tcW w:w="3149" w:type="dxa"/>
                  <w:vAlign w:val="center"/>
                </w:tcPr>
                <w:p>
                  <w:pPr>
                    <w:pStyle w:val="185"/>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0.</w:t>
                  </w:r>
                  <w:r>
                    <w:rPr>
                      <w:rFonts w:hint="eastAsia" w:eastAsia="宋体"/>
                      <w:color w:val="000000" w:themeColor="text1"/>
                      <w:szCs w:val="21"/>
                      <w14:textFill>
                        <w14:solidFill>
                          <w14:schemeClr w14:val="tx1"/>
                        </w14:solidFill>
                      </w14:textFill>
                    </w:rPr>
                    <w:t>60</w:t>
                  </w:r>
                  <w:r>
                    <w:rPr>
                      <w:rFonts w:eastAsia="宋体"/>
                      <w:color w:val="000000" w:themeColor="text1"/>
                      <w:szCs w:val="21"/>
                      <w14:textFill>
                        <w14:solidFill>
                          <w14:schemeClr w14:val="tx1"/>
                        </w14:solidFill>
                      </w14:textFill>
                    </w:rPr>
                    <w:t>m</w:t>
                  </w:r>
                </w:p>
              </w:tc>
              <w:tc>
                <w:tcPr>
                  <w:tcW w:w="2818" w:type="dxa"/>
                </w:tcPr>
                <w:p>
                  <w:pPr>
                    <w:pStyle w:val="185"/>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991" w:type="dxa"/>
                  <w:gridSpan w:val="2"/>
                  <w:vAlign w:val="center"/>
                </w:tcPr>
                <w:p>
                  <w:pPr>
                    <w:pStyle w:val="185"/>
                    <w:rPr>
                      <w:rFonts w:eastAsia="宋体" w:cs="宋体"/>
                      <w:color w:val="000000" w:themeColor="text1"/>
                      <w:szCs w:val="21"/>
                      <w14:textFill>
                        <w14:solidFill>
                          <w14:schemeClr w14:val="tx1"/>
                        </w14:solidFill>
                      </w14:textFill>
                    </w:rPr>
                  </w:pPr>
                  <w:r>
                    <w:rPr>
                      <w:rFonts w:hint="eastAsia" w:eastAsia="宋体" w:cs="宋体"/>
                      <w:color w:val="000000" w:themeColor="text1"/>
                      <w:szCs w:val="21"/>
                      <w14:textFill>
                        <w14:solidFill>
                          <w14:schemeClr w14:val="tx1"/>
                        </w14:solidFill>
                      </w14:textFill>
                    </w:rPr>
                    <w:t>排气筒出口温度</w:t>
                  </w:r>
                </w:p>
              </w:tc>
              <w:tc>
                <w:tcPr>
                  <w:tcW w:w="3149" w:type="dxa"/>
                  <w:vAlign w:val="center"/>
                </w:tcPr>
                <w:p>
                  <w:pPr>
                    <w:pStyle w:val="185"/>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20℃</w:t>
                  </w:r>
                </w:p>
              </w:tc>
              <w:tc>
                <w:tcPr>
                  <w:tcW w:w="2818" w:type="dxa"/>
                </w:tcPr>
                <w:p>
                  <w:pPr>
                    <w:pStyle w:val="185"/>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991" w:type="dxa"/>
                  <w:gridSpan w:val="2"/>
                  <w:vAlign w:val="center"/>
                </w:tcPr>
                <w:p>
                  <w:pPr>
                    <w:pStyle w:val="185"/>
                    <w:rPr>
                      <w:rFonts w:eastAsia="宋体" w:cs="宋体"/>
                      <w:color w:val="000000" w:themeColor="text1"/>
                      <w:szCs w:val="21"/>
                      <w14:textFill>
                        <w14:solidFill>
                          <w14:schemeClr w14:val="tx1"/>
                        </w14:solidFill>
                      </w14:textFill>
                    </w:rPr>
                  </w:pPr>
                  <w:r>
                    <w:rPr>
                      <w:rFonts w:hint="eastAsia" w:eastAsia="宋体" w:cs="宋体"/>
                      <w:color w:val="000000" w:themeColor="text1"/>
                      <w:szCs w:val="21"/>
                      <w14:textFill>
                        <w14:solidFill>
                          <w14:schemeClr w14:val="tx1"/>
                        </w14:solidFill>
                      </w14:textFill>
                    </w:rPr>
                    <w:t>排放尺寸</w:t>
                  </w:r>
                </w:p>
              </w:tc>
              <w:tc>
                <w:tcPr>
                  <w:tcW w:w="3149" w:type="dxa"/>
                  <w:vAlign w:val="center"/>
                </w:tcPr>
                <w:p>
                  <w:pPr>
                    <w:pStyle w:val="185"/>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w:t>
                  </w:r>
                </w:p>
              </w:tc>
              <w:tc>
                <w:tcPr>
                  <w:tcW w:w="2818" w:type="dxa"/>
                  <w:vAlign w:val="top"/>
                </w:tcPr>
                <w:p>
                  <w:pPr>
                    <w:pStyle w:val="185"/>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80m×33m=2650m</w:t>
                  </w:r>
                  <w:r>
                    <w:rPr>
                      <w:rFonts w:hint="eastAsia" w:eastAsia="宋体"/>
                      <w:color w:val="000000" w:themeColor="text1"/>
                      <w:szCs w:val="21"/>
                      <w:vertAlign w:val="superscript"/>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55" w:type="dxa"/>
                  <w:vMerge w:val="restart"/>
                  <w:vAlign w:val="center"/>
                </w:tcPr>
                <w:p>
                  <w:pPr>
                    <w:pStyle w:val="185"/>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排放因子</w:t>
                  </w:r>
                </w:p>
              </w:tc>
              <w:tc>
                <w:tcPr>
                  <w:tcW w:w="1736" w:type="dxa"/>
                  <w:vAlign w:val="center"/>
                </w:tcPr>
                <w:p>
                  <w:pPr>
                    <w:pStyle w:val="185"/>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NH</w:t>
                  </w:r>
                  <w:r>
                    <w:rPr>
                      <w:rFonts w:hint="eastAsia" w:eastAsia="宋体"/>
                      <w:color w:val="000000" w:themeColor="text1"/>
                      <w:szCs w:val="24"/>
                      <w:vertAlign w:val="subscript"/>
                      <w14:textFill>
                        <w14:solidFill>
                          <w14:schemeClr w14:val="tx1"/>
                        </w14:solidFill>
                      </w14:textFill>
                    </w:rPr>
                    <w:t>3</w:t>
                  </w:r>
                </w:p>
              </w:tc>
              <w:tc>
                <w:tcPr>
                  <w:tcW w:w="3149"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5000</w:t>
                  </w: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h；</w:t>
                  </w:r>
                  <w:r>
                    <w:rPr>
                      <w:rFonts w:eastAsia="宋体"/>
                      <w:color w:val="000000" w:themeColor="text1"/>
                      <w:sz w:val="21"/>
                      <w:szCs w:val="21"/>
                      <w14:textFill>
                        <w14:solidFill>
                          <w14:schemeClr w14:val="tx1"/>
                        </w14:solidFill>
                      </w14:textFill>
                    </w:rPr>
                    <w:t>0.0</w:t>
                  </w:r>
                  <w:r>
                    <w:rPr>
                      <w:rFonts w:hint="eastAsia" w:eastAsia="宋体"/>
                      <w:color w:val="000000" w:themeColor="text1"/>
                      <w:sz w:val="21"/>
                      <w:szCs w:val="21"/>
                      <w:lang w:val="en-US" w:eastAsia="zh-CN"/>
                      <w14:textFill>
                        <w14:solidFill>
                          <w14:schemeClr w14:val="tx1"/>
                        </w14:solidFill>
                      </w14:textFill>
                    </w:rPr>
                    <w:t>072</w:t>
                  </w:r>
                  <w:r>
                    <w:rPr>
                      <w:rFonts w:hint="eastAsia" w:eastAsia="宋体"/>
                      <w:color w:val="000000" w:themeColor="text1"/>
                      <w:sz w:val="21"/>
                      <w:szCs w:val="21"/>
                      <w14:textFill>
                        <w14:solidFill>
                          <w14:schemeClr w14:val="tx1"/>
                        </w14:solidFill>
                      </w14:textFill>
                    </w:rPr>
                    <w:t>t/a</w:t>
                  </w:r>
                </w:p>
              </w:tc>
              <w:tc>
                <w:tcPr>
                  <w:tcW w:w="2818" w:type="dxa"/>
                  <w:vAlign w:val="top"/>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w:t>
                  </w:r>
                  <w:r>
                    <w:rPr>
                      <w:rFonts w:hint="eastAsia" w:eastAsia="宋体"/>
                      <w:color w:val="000000" w:themeColor="text1"/>
                      <w:sz w:val="21"/>
                      <w:szCs w:val="21"/>
                      <w:lang w:val="en-US" w:eastAsia="zh-CN"/>
                      <w14:textFill>
                        <w14:solidFill>
                          <w14:schemeClr w14:val="tx1"/>
                        </w14:solidFill>
                      </w14:textFill>
                    </w:rPr>
                    <w:t>040</w:t>
                  </w:r>
                  <w:r>
                    <w:rPr>
                      <w:rFonts w:hint="eastAsia" w:eastAsia="宋体"/>
                      <w:color w:val="000000" w:themeColor="text1"/>
                      <w:sz w:val="2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55" w:type="dxa"/>
                  <w:vMerge w:val="continue"/>
                  <w:vAlign w:val="center"/>
                </w:tcPr>
                <w:p>
                  <w:pPr>
                    <w:pStyle w:val="185"/>
                    <w:rPr>
                      <w:rFonts w:eastAsia="宋体"/>
                      <w:color w:val="000000" w:themeColor="text1"/>
                      <w:szCs w:val="21"/>
                      <w14:textFill>
                        <w14:solidFill>
                          <w14:schemeClr w14:val="tx1"/>
                        </w14:solidFill>
                      </w14:textFill>
                    </w:rPr>
                  </w:pPr>
                </w:p>
              </w:tc>
              <w:tc>
                <w:tcPr>
                  <w:tcW w:w="1736" w:type="dxa"/>
                  <w:vAlign w:val="center"/>
                </w:tcPr>
                <w:p>
                  <w:pPr>
                    <w:pStyle w:val="185"/>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H</w:t>
                  </w:r>
                  <w:r>
                    <w:rPr>
                      <w:rFonts w:hint="eastAsia" w:eastAsia="宋体"/>
                      <w:color w:val="000000" w:themeColor="text1"/>
                      <w:szCs w:val="24"/>
                      <w:vertAlign w:val="subscript"/>
                      <w14:textFill>
                        <w14:solidFill>
                          <w14:schemeClr w14:val="tx1"/>
                        </w14:solidFill>
                      </w14:textFill>
                    </w:rPr>
                    <w:t>2</w:t>
                  </w:r>
                  <w:r>
                    <w:rPr>
                      <w:rFonts w:hint="eastAsia" w:eastAsia="宋体"/>
                      <w:color w:val="000000" w:themeColor="text1"/>
                      <w:szCs w:val="24"/>
                      <w14:textFill>
                        <w14:solidFill>
                          <w14:schemeClr w14:val="tx1"/>
                        </w14:solidFill>
                      </w14:textFill>
                    </w:rPr>
                    <w:t>S</w:t>
                  </w:r>
                </w:p>
              </w:tc>
              <w:tc>
                <w:tcPr>
                  <w:tcW w:w="3149"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5000</w:t>
                  </w: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h；</w:t>
                  </w:r>
                  <w:r>
                    <w:rPr>
                      <w:rFonts w:eastAsia="宋体"/>
                      <w:color w:val="000000" w:themeColor="text1"/>
                      <w:sz w:val="21"/>
                      <w:szCs w:val="21"/>
                      <w14:textFill>
                        <w14:solidFill>
                          <w14:schemeClr w14:val="tx1"/>
                        </w14:solidFill>
                      </w14:textFill>
                    </w:rPr>
                    <w:t>0.00</w:t>
                  </w:r>
                  <w:r>
                    <w:rPr>
                      <w:rFonts w:hint="eastAsia" w:eastAsia="宋体"/>
                      <w:color w:val="000000" w:themeColor="text1"/>
                      <w:sz w:val="21"/>
                      <w:szCs w:val="21"/>
                      <w:lang w:val="en-US" w:eastAsia="zh-CN"/>
                      <w14:textFill>
                        <w14:solidFill>
                          <w14:schemeClr w14:val="tx1"/>
                        </w14:solidFill>
                      </w14:textFill>
                    </w:rPr>
                    <w:t>28</w:t>
                  </w:r>
                  <w:r>
                    <w:rPr>
                      <w:rFonts w:hint="eastAsia" w:eastAsia="宋体"/>
                      <w:color w:val="000000" w:themeColor="text1"/>
                      <w:sz w:val="21"/>
                      <w:szCs w:val="21"/>
                      <w14:textFill>
                        <w14:solidFill>
                          <w14:schemeClr w14:val="tx1"/>
                        </w14:solidFill>
                      </w14:textFill>
                    </w:rPr>
                    <w:t>t/a</w:t>
                  </w:r>
                </w:p>
              </w:tc>
              <w:tc>
                <w:tcPr>
                  <w:tcW w:w="2818" w:type="dxa"/>
                  <w:vAlign w:val="top"/>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0.001</w:t>
                  </w:r>
                  <w:r>
                    <w:rPr>
                      <w:rFonts w:hint="eastAsia" w:eastAsia="宋体"/>
                      <w:color w:val="000000" w:themeColor="text1"/>
                      <w:sz w:val="21"/>
                      <w:szCs w:val="21"/>
                      <w:lang w:val="en-US" w:eastAsia="zh-CN"/>
                      <w14:textFill>
                        <w14:solidFill>
                          <w14:schemeClr w14:val="tx1"/>
                        </w14:solidFill>
                      </w14:textFill>
                    </w:rPr>
                    <w:t>5</w:t>
                  </w:r>
                  <w:r>
                    <w:rPr>
                      <w:rFonts w:hint="eastAsia" w:eastAsia="宋体"/>
                      <w:color w:val="000000" w:themeColor="text1"/>
                      <w:sz w:val="21"/>
                      <w:szCs w:val="21"/>
                      <w14:textFill>
                        <w14:solidFill>
                          <w14:schemeClr w14:val="tx1"/>
                        </w14:solidFill>
                      </w14:textFill>
                    </w:rPr>
                    <w:t>t/a</w:t>
                  </w:r>
                </w:p>
              </w:tc>
            </w:tr>
          </w:tbl>
          <w:p>
            <w:pPr>
              <w:pStyle w:val="184"/>
              <w:spacing w:before="156"/>
              <w:ind w:firstLine="280"/>
              <w:rPr>
                <w:color w:val="000000" w:themeColor="text1"/>
                <w:sz w:val="21"/>
                <w14:textFill>
                  <w14:solidFill>
                    <w14:schemeClr w14:val="tx1"/>
                  </w14:solidFill>
                </w14:textFill>
              </w:rPr>
            </w:pPr>
            <w:r>
              <w:rPr>
                <w:color w:val="000000" w:themeColor="text1"/>
                <w:sz w:val="21"/>
                <w14:textFill>
                  <w14:solidFill>
                    <w14:schemeClr w14:val="tx1"/>
                  </w14:solidFill>
                </w14:textFill>
              </w:rPr>
              <w:t>表</w:t>
            </w:r>
            <w:r>
              <w:rPr>
                <w:rFonts w:hint="eastAsia"/>
                <w:color w:val="000000" w:themeColor="text1"/>
                <w:sz w:val="21"/>
                <w14:textFill>
                  <w14:solidFill>
                    <w14:schemeClr w14:val="tx1"/>
                  </w14:solidFill>
                </w14:textFill>
              </w:rPr>
              <w:t>2</w:t>
            </w:r>
            <w:r>
              <w:rPr>
                <w:rFonts w:hint="eastAsia"/>
                <w:color w:val="000000" w:themeColor="text1"/>
                <w:sz w:val="21"/>
                <w:lang w:val="en-US" w:eastAsia="zh-CN"/>
                <w14:textFill>
                  <w14:solidFill>
                    <w14:schemeClr w14:val="tx1"/>
                  </w14:solidFill>
                </w14:textFill>
              </w:rPr>
              <w:t>8</w:t>
            </w:r>
            <w:r>
              <w:rPr>
                <w:rFonts w:hint="eastAsia"/>
                <w:color w:val="000000" w:themeColor="text1"/>
                <w:sz w:val="21"/>
                <w14:textFill>
                  <w14:solidFill>
                    <w14:schemeClr w14:val="tx1"/>
                  </w14:solidFill>
                </w14:textFill>
              </w:rPr>
              <w:t xml:space="preserve">  </w:t>
            </w:r>
            <w:r>
              <w:rPr>
                <w:color w:val="000000" w:themeColor="text1"/>
                <w:sz w:val="21"/>
                <w14:textFill>
                  <w14:solidFill>
                    <w14:schemeClr w14:val="tx1"/>
                  </w14:solidFill>
                </w14:textFill>
              </w:rPr>
              <w:t>最大落地浓度预测结果</w:t>
            </w:r>
          </w:p>
          <w:tbl>
            <w:tblPr>
              <w:tblStyle w:val="32"/>
              <w:tblW w:w="89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293"/>
              <w:gridCol w:w="2326"/>
              <w:gridCol w:w="1813"/>
              <w:gridCol w:w="22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86" w:type="dxa"/>
                  <w:gridSpan w:val="2"/>
                  <w:vMerge w:val="restart"/>
                  <w:vAlign w:val="center"/>
                </w:tcPr>
                <w:p>
                  <w:pPr>
                    <w:pStyle w:val="185"/>
                    <w:rPr>
                      <w:rFonts w:eastAsia="宋体"/>
                      <w:color w:val="000000" w:themeColor="text1"/>
                      <w:szCs w:val="24"/>
                      <w14:textFill>
                        <w14:solidFill>
                          <w14:schemeClr w14:val="tx1"/>
                        </w14:solidFill>
                      </w14:textFill>
                    </w:rPr>
                  </w:pPr>
                  <w:r>
                    <w:rPr>
                      <w:rFonts w:hint="eastAsia" w:eastAsia="宋体" w:cs="宋体"/>
                      <w:color w:val="000000" w:themeColor="text1"/>
                      <w:szCs w:val="24"/>
                      <w14:textFill>
                        <w14:solidFill>
                          <w14:schemeClr w14:val="tx1"/>
                        </w14:solidFill>
                      </w14:textFill>
                    </w:rPr>
                    <w:t>污染物名称</w:t>
                  </w:r>
                </w:p>
              </w:tc>
              <w:tc>
                <w:tcPr>
                  <w:tcW w:w="6362" w:type="dxa"/>
                  <w:gridSpan w:val="3"/>
                  <w:vAlign w:val="center"/>
                </w:tcPr>
                <w:p>
                  <w:pPr>
                    <w:pStyle w:val="185"/>
                    <w:rPr>
                      <w:rFonts w:eastAsia="宋体"/>
                      <w:color w:val="000000" w:themeColor="text1"/>
                      <w:szCs w:val="24"/>
                      <w14:textFill>
                        <w14:solidFill>
                          <w14:schemeClr w14:val="tx1"/>
                        </w14:solidFill>
                      </w14:textFill>
                    </w:rPr>
                  </w:pPr>
                  <w:r>
                    <w:rPr>
                      <w:rFonts w:hint="eastAsia" w:eastAsia="宋体" w:cs="宋体"/>
                      <w:color w:val="000000" w:themeColor="text1"/>
                      <w:szCs w:val="24"/>
                      <w14:textFill>
                        <w14:solidFill>
                          <w14:schemeClr w14:val="tx1"/>
                        </w14:solidFill>
                      </w14:textFill>
                    </w:rPr>
                    <w:t>最大落地浓度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86" w:type="dxa"/>
                  <w:gridSpan w:val="2"/>
                  <w:vMerge w:val="continue"/>
                  <w:vAlign w:val="center"/>
                </w:tcPr>
                <w:p>
                  <w:pPr>
                    <w:pStyle w:val="185"/>
                    <w:rPr>
                      <w:rFonts w:eastAsia="宋体"/>
                      <w:color w:val="000000" w:themeColor="text1"/>
                      <w:szCs w:val="24"/>
                      <w14:textFill>
                        <w14:solidFill>
                          <w14:schemeClr w14:val="tx1"/>
                        </w14:solidFill>
                      </w14:textFill>
                    </w:rPr>
                  </w:pPr>
                </w:p>
              </w:tc>
              <w:tc>
                <w:tcPr>
                  <w:tcW w:w="2326" w:type="dxa"/>
                  <w:vAlign w:val="center"/>
                </w:tcPr>
                <w:p>
                  <w:pPr>
                    <w:pStyle w:val="185"/>
                    <w:rPr>
                      <w:rFonts w:eastAsia="宋体"/>
                      <w:color w:val="000000" w:themeColor="text1"/>
                      <w:szCs w:val="24"/>
                      <w14:textFill>
                        <w14:solidFill>
                          <w14:schemeClr w14:val="tx1"/>
                        </w14:solidFill>
                      </w14:textFill>
                    </w:rPr>
                  </w:pPr>
                  <w:r>
                    <w:rPr>
                      <w:rFonts w:hint="eastAsia" w:eastAsia="宋体" w:cs="宋体"/>
                      <w:color w:val="000000" w:themeColor="text1"/>
                      <w:szCs w:val="24"/>
                      <w14:textFill>
                        <w14:solidFill>
                          <w14:schemeClr w14:val="tx1"/>
                        </w14:solidFill>
                      </w14:textFill>
                    </w:rPr>
                    <w:t>浓度</w:t>
                  </w:r>
                  <w:r>
                    <w:rPr>
                      <w:rFonts w:eastAsia="宋体"/>
                      <w:color w:val="000000" w:themeColor="text1"/>
                      <w:szCs w:val="24"/>
                      <w14:textFill>
                        <w14:solidFill>
                          <w14:schemeClr w14:val="tx1"/>
                        </w14:solidFill>
                      </w14:textFill>
                    </w:rPr>
                    <w:t>mg/m</w:t>
                  </w:r>
                  <w:r>
                    <w:rPr>
                      <w:rFonts w:eastAsia="宋体"/>
                      <w:color w:val="000000" w:themeColor="text1"/>
                      <w:szCs w:val="24"/>
                      <w:vertAlign w:val="superscript"/>
                      <w14:textFill>
                        <w14:solidFill>
                          <w14:schemeClr w14:val="tx1"/>
                        </w14:solidFill>
                      </w14:textFill>
                    </w:rPr>
                    <w:t>3</w:t>
                  </w:r>
                </w:p>
              </w:tc>
              <w:tc>
                <w:tcPr>
                  <w:tcW w:w="1813" w:type="dxa"/>
                  <w:vAlign w:val="center"/>
                </w:tcPr>
                <w:p>
                  <w:pPr>
                    <w:pStyle w:val="185"/>
                    <w:rPr>
                      <w:rFonts w:eastAsia="宋体"/>
                      <w:color w:val="000000" w:themeColor="text1"/>
                      <w:szCs w:val="24"/>
                      <w14:textFill>
                        <w14:solidFill>
                          <w14:schemeClr w14:val="tx1"/>
                        </w14:solidFill>
                      </w14:textFill>
                    </w:rPr>
                  </w:pPr>
                  <w:r>
                    <w:rPr>
                      <w:rFonts w:hint="eastAsia" w:eastAsia="宋体" w:cs="宋体"/>
                      <w:color w:val="000000" w:themeColor="text1"/>
                      <w:szCs w:val="24"/>
                      <w14:textFill>
                        <w14:solidFill>
                          <w14:schemeClr w14:val="tx1"/>
                        </w14:solidFill>
                      </w14:textFill>
                    </w:rPr>
                    <w:t>占标率</w:t>
                  </w:r>
                  <w:r>
                    <w:rPr>
                      <w:rFonts w:eastAsia="宋体"/>
                      <w:color w:val="000000" w:themeColor="text1"/>
                      <w:szCs w:val="24"/>
                      <w14:textFill>
                        <w14:solidFill>
                          <w14:schemeClr w14:val="tx1"/>
                        </w14:solidFill>
                      </w14:textFill>
                    </w:rPr>
                    <w:t>%</w:t>
                  </w:r>
                </w:p>
              </w:tc>
              <w:tc>
                <w:tcPr>
                  <w:tcW w:w="2223" w:type="dxa"/>
                  <w:vAlign w:val="center"/>
                </w:tcPr>
                <w:p>
                  <w:pPr>
                    <w:pStyle w:val="185"/>
                    <w:rPr>
                      <w:rFonts w:eastAsia="宋体"/>
                      <w:color w:val="000000" w:themeColor="text1"/>
                      <w:szCs w:val="24"/>
                      <w14:textFill>
                        <w14:solidFill>
                          <w14:schemeClr w14:val="tx1"/>
                        </w14:solidFill>
                      </w14:textFill>
                    </w:rPr>
                  </w:pPr>
                  <w:r>
                    <w:rPr>
                      <w:rFonts w:hint="eastAsia" w:eastAsia="宋体" w:cs="宋体"/>
                      <w:color w:val="000000" w:themeColor="text1"/>
                      <w:szCs w:val="24"/>
                      <w14:textFill>
                        <w14:solidFill>
                          <w14:schemeClr w14:val="tx1"/>
                        </w14:solidFill>
                      </w14:textFill>
                    </w:rPr>
                    <w:t>距离</w:t>
                  </w:r>
                  <w:r>
                    <w:rPr>
                      <w:rFonts w:eastAsia="宋体"/>
                      <w:color w:val="000000" w:themeColor="text1"/>
                      <w:szCs w:val="24"/>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3" w:type="dxa"/>
                  <w:vMerge w:val="restart"/>
                  <w:vAlign w:val="center"/>
                </w:tcPr>
                <w:p>
                  <w:pPr>
                    <w:pStyle w:val="185"/>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有组织排放</w:t>
                  </w:r>
                </w:p>
              </w:tc>
              <w:tc>
                <w:tcPr>
                  <w:tcW w:w="1293" w:type="dxa"/>
                  <w:vAlign w:val="center"/>
                </w:tcPr>
                <w:p>
                  <w:pPr>
                    <w:pStyle w:val="185"/>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NH</w:t>
                  </w:r>
                  <w:r>
                    <w:rPr>
                      <w:rFonts w:hint="eastAsia" w:eastAsia="宋体"/>
                      <w:color w:val="000000" w:themeColor="text1"/>
                      <w:szCs w:val="24"/>
                      <w:vertAlign w:val="subscript"/>
                      <w14:textFill>
                        <w14:solidFill>
                          <w14:schemeClr w14:val="tx1"/>
                        </w14:solidFill>
                      </w14:textFill>
                    </w:rPr>
                    <w:t>3</w:t>
                  </w:r>
                </w:p>
              </w:tc>
              <w:tc>
                <w:tcPr>
                  <w:tcW w:w="2326" w:type="dxa"/>
                  <w:vAlign w:val="center"/>
                </w:tcPr>
                <w:p>
                  <w:pPr>
                    <w:pStyle w:val="185"/>
                    <w:rPr>
                      <w:rFonts w:hint="default" w:eastAsia="宋体"/>
                      <w:color w:val="000000" w:themeColor="text1"/>
                      <w:szCs w:val="24"/>
                      <w:lang w:val="en-US" w:eastAsia="zh-CN"/>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9.954E-5</w:t>
                  </w:r>
                </w:p>
              </w:tc>
              <w:tc>
                <w:tcPr>
                  <w:tcW w:w="1813" w:type="dxa"/>
                  <w:vAlign w:val="center"/>
                </w:tcPr>
                <w:p>
                  <w:pPr>
                    <w:pStyle w:val="185"/>
                    <w:rPr>
                      <w:rFonts w:hint="default" w:eastAsia="宋体"/>
                      <w:color w:val="000000" w:themeColor="text1"/>
                      <w:szCs w:val="24"/>
                      <w:lang w:val="en-US"/>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0.05</w:t>
                  </w:r>
                </w:p>
              </w:tc>
              <w:tc>
                <w:tcPr>
                  <w:tcW w:w="2223" w:type="dxa"/>
                  <w:vAlign w:val="center"/>
                </w:tcPr>
                <w:p>
                  <w:pPr>
                    <w:pStyle w:val="185"/>
                    <w:rPr>
                      <w:rFonts w:hint="default" w:eastAsia="宋体"/>
                      <w:color w:val="000000" w:themeColor="text1"/>
                      <w:szCs w:val="24"/>
                      <w:lang w:val="en-US" w:eastAsia="zh-CN"/>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174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3" w:type="dxa"/>
                  <w:vMerge w:val="continue"/>
                  <w:vAlign w:val="center"/>
                </w:tcPr>
                <w:p>
                  <w:pPr>
                    <w:pStyle w:val="185"/>
                    <w:rPr>
                      <w:rFonts w:eastAsia="宋体"/>
                      <w:color w:val="000000" w:themeColor="text1"/>
                      <w:szCs w:val="24"/>
                      <w14:textFill>
                        <w14:solidFill>
                          <w14:schemeClr w14:val="tx1"/>
                        </w14:solidFill>
                      </w14:textFill>
                    </w:rPr>
                  </w:pPr>
                </w:p>
              </w:tc>
              <w:tc>
                <w:tcPr>
                  <w:tcW w:w="1293" w:type="dxa"/>
                  <w:vAlign w:val="center"/>
                </w:tcPr>
                <w:p>
                  <w:pPr>
                    <w:pStyle w:val="185"/>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H</w:t>
                  </w:r>
                  <w:r>
                    <w:rPr>
                      <w:rFonts w:hint="eastAsia" w:eastAsia="宋体"/>
                      <w:color w:val="000000" w:themeColor="text1"/>
                      <w:szCs w:val="24"/>
                      <w:vertAlign w:val="subscript"/>
                      <w14:textFill>
                        <w14:solidFill>
                          <w14:schemeClr w14:val="tx1"/>
                        </w14:solidFill>
                      </w14:textFill>
                    </w:rPr>
                    <w:t>2</w:t>
                  </w:r>
                  <w:r>
                    <w:rPr>
                      <w:rFonts w:hint="eastAsia" w:eastAsia="宋体"/>
                      <w:color w:val="000000" w:themeColor="text1"/>
                      <w:szCs w:val="24"/>
                      <w14:textFill>
                        <w14:solidFill>
                          <w14:schemeClr w14:val="tx1"/>
                        </w14:solidFill>
                      </w14:textFill>
                    </w:rPr>
                    <w:t>S</w:t>
                  </w:r>
                </w:p>
              </w:tc>
              <w:tc>
                <w:tcPr>
                  <w:tcW w:w="2326" w:type="dxa"/>
                  <w:vAlign w:val="center"/>
                </w:tcPr>
                <w:p>
                  <w:pPr>
                    <w:pStyle w:val="185"/>
                    <w:rPr>
                      <w:rFonts w:eastAsia="宋体"/>
                      <w:color w:val="000000" w:themeColor="text1"/>
                      <w:szCs w:val="24"/>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3.871</w:t>
                  </w:r>
                  <w:r>
                    <w:rPr>
                      <w:rFonts w:eastAsia="宋体"/>
                      <w:color w:val="000000" w:themeColor="text1"/>
                      <w:szCs w:val="24"/>
                      <w14:textFill>
                        <w14:solidFill>
                          <w14:schemeClr w14:val="tx1"/>
                        </w14:solidFill>
                      </w14:textFill>
                    </w:rPr>
                    <w:t>E-</w:t>
                  </w:r>
                  <w:r>
                    <w:rPr>
                      <w:rFonts w:hint="eastAsia" w:eastAsia="宋体"/>
                      <w:color w:val="000000" w:themeColor="text1"/>
                      <w:szCs w:val="24"/>
                      <w:lang w:val="en-US" w:eastAsia="zh-CN"/>
                      <w14:textFill>
                        <w14:solidFill>
                          <w14:schemeClr w14:val="tx1"/>
                        </w14:solidFill>
                      </w14:textFill>
                    </w:rPr>
                    <w:t>0</w:t>
                  </w:r>
                  <w:r>
                    <w:rPr>
                      <w:rFonts w:eastAsia="宋体"/>
                      <w:color w:val="000000" w:themeColor="text1"/>
                      <w:szCs w:val="24"/>
                      <w14:textFill>
                        <w14:solidFill>
                          <w14:schemeClr w14:val="tx1"/>
                        </w14:solidFill>
                      </w14:textFill>
                    </w:rPr>
                    <w:t>5</w:t>
                  </w:r>
                </w:p>
              </w:tc>
              <w:tc>
                <w:tcPr>
                  <w:tcW w:w="1813" w:type="dxa"/>
                  <w:vAlign w:val="center"/>
                </w:tcPr>
                <w:p>
                  <w:pPr>
                    <w:pStyle w:val="185"/>
                    <w:rPr>
                      <w:rFonts w:hint="default" w:eastAsia="宋体"/>
                      <w:color w:val="000000" w:themeColor="text1"/>
                      <w:szCs w:val="24"/>
                      <w:lang w:val="en-US"/>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0.39</w:t>
                  </w:r>
                </w:p>
              </w:tc>
              <w:tc>
                <w:tcPr>
                  <w:tcW w:w="2223" w:type="dxa"/>
                  <w:vAlign w:val="center"/>
                </w:tcPr>
                <w:p>
                  <w:pPr>
                    <w:pStyle w:val="185"/>
                    <w:rPr>
                      <w:rFonts w:hint="default" w:eastAsia="宋体"/>
                      <w:color w:val="000000" w:themeColor="text1"/>
                      <w:szCs w:val="24"/>
                      <w:lang w:val="en-US" w:eastAsia="zh-CN"/>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174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3" w:type="dxa"/>
                  <w:vMerge w:val="restart"/>
                  <w:vAlign w:val="center"/>
                </w:tcPr>
                <w:p>
                  <w:pPr>
                    <w:pStyle w:val="185"/>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无组织排放</w:t>
                  </w:r>
                </w:p>
              </w:tc>
              <w:tc>
                <w:tcPr>
                  <w:tcW w:w="1293" w:type="dxa"/>
                  <w:vAlign w:val="center"/>
                </w:tcPr>
                <w:p>
                  <w:pPr>
                    <w:pStyle w:val="185"/>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NH</w:t>
                  </w:r>
                  <w:r>
                    <w:rPr>
                      <w:rFonts w:hint="eastAsia" w:eastAsia="宋体"/>
                      <w:color w:val="000000" w:themeColor="text1"/>
                      <w:szCs w:val="24"/>
                      <w:vertAlign w:val="subscript"/>
                      <w14:textFill>
                        <w14:solidFill>
                          <w14:schemeClr w14:val="tx1"/>
                        </w14:solidFill>
                      </w14:textFill>
                    </w:rPr>
                    <w:t>3</w:t>
                  </w:r>
                </w:p>
              </w:tc>
              <w:tc>
                <w:tcPr>
                  <w:tcW w:w="2326" w:type="dxa"/>
                  <w:vAlign w:val="center"/>
                </w:tcPr>
                <w:p>
                  <w:pPr>
                    <w:pStyle w:val="185"/>
                    <w:rPr>
                      <w:rFonts w:hint="default" w:eastAsia="宋体"/>
                      <w:color w:val="000000" w:themeColor="text1"/>
                      <w:szCs w:val="24"/>
                      <w:lang w:val="en-US" w:eastAsia="zh-CN"/>
                      <w14:textFill>
                        <w14:solidFill>
                          <w14:schemeClr w14:val="tx1"/>
                        </w14:solidFill>
                      </w14:textFill>
                    </w:rPr>
                  </w:pPr>
                  <w:r>
                    <w:rPr>
                      <w:rFonts w:eastAsia="宋体"/>
                      <w:color w:val="000000" w:themeColor="text1"/>
                      <w:szCs w:val="24"/>
                      <w14:textFill>
                        <w14:solidFill>
                          <w14:schemeClr w14:val="tx1"/>
                        </w14:solidFill>
                      </w14:textFill>
                    </w:rPr>
                    <w:t>0.0</w:t>
                  </w:r>
                  <w:r>
                    <w:rPr>
                      <w:rFonts w:hint="eastAsia" w:eastAsia="宋体"/>
                      <w:color w:val="000000" w:themeColor="text1"/>
                      <w:szCs w:val="24"/>
                      <w:lang w:val="en-US" w:eastAsia="zh-CN"/>
                      <w14:textFill>
                        <w14:solidFill>
                          <w14:schemeClr w14:val="tx1"/>
                        </w14:solidFill>
                      </w14:textFill>
                    </w:rPr>
                    <w:t>01274</w:t>
                  </w:r>
                </w:p>
              </w:tc>
              <w:tc>
                <w:tcPr>
                  <w:tcW w:w="1813" w:type="dxa"/>
                  <w:vAlign w:val="center"/>
                </w:tcPr>
                <w:p>
                  <w:pPr>
                    <w:pStyle w:val="185"/>
                    <w:rPr>
                      <w:rFonts w:hint="default" w:eastAsia="宋体"/>
                      <w:color w:val="000000" w:themeColor="text1"/>
                      <w:szCs w:val="24"/>
                      <w:lang w:val="en-US" w:eastAsia="zh-CN"/>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0.64</w:t>
                  </w:r>
                </w:p>
              </w:tc>
              <w:tc>
                <w:tcPr>
                  <w:tcW w:w="2223" w:type="dxa"/>
                  <w:vAlign w:val="center"/>
                </w:tcPr>
                <w:p>
                  <w:pPr>
                    <w:pStyle w:val="185"/>
                    <w:rPr>
                      <w:rFonts w:hint="default" w:eastAsia="宋体"/>
                      <w:color w:val="000000" w:themeColor="text1"/>
                      <w:szCs w:val="24"/>
                      <w:lang w:val="en-US" w:eastAsia="zh-CN"/>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3" w:type="dxa"/>
                  <w:vMerge w:val="continue"/>
                  <w:vAlign w:val="center"/>
                </w:tcPr>
                <w:p>
                  <w:pPr>
                    <w:pStyle w:val="185"/>
                    <w:rPr>
                      <w:rFonts w:eastAsia="宋体"/>
                      <w:color w:val="000000" w:themeColor="text1"/>
                      <w:szCs w:val="21"/>
                      <w14:textFill>
                        <w14:solidFill>
                          <w14:schemeClr w14:val="tx1"/>
                        </w14:solidFill>
                      </w14:textFill>
                    </w:rPr>
                  </w:pPr>
                </w:p>
              </w:tc>
              <w:tc>
                <w:tcPr>
                  <w:tcW w:w="1293" w:type="dxa"/>
                  <w:vAlign w:val="center"/>
                </w:tcPr>
                <w:p>
                  <w:pPr>
                    <w:pStyle w:val="185"/>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H</w:t>
                  </w:r>
                  <w:r>
                    <w:rPr>
                      <w:rFonts w:hint="eastAsia" w:eastAsia="宋体"/>
                      <w:color w:val="000000" w:themeColor="text1"/>
                      <w:szCs w:val="24"/>
                      <w:vertAlign w:val="subscript"/>
                      <w14:textFill>
                        <w14:solidFill>
                          <w14:schemeClr w14:val="tx1"/>
                        </w14:solidFill>
                      </w14:textFill>
                    </w:rPr>
                    <w:t>2</w:t>
                  </w:r>
                  <w:r>
                    <w:rPr>
                      <w:rFonts w:hint="eastAsia" w:eastAsia="宋体"/>
                      <w:color w:val="000000" w:themeColor="text1"/>
                      <w:szCs w:val="24"/>
                      <w14:textFill>
                        <w14:solidFill>
                          <w14:schemeClr w14:val="tx1"/>
                        </w14:solidFill>
                      </w14:textFill>
                    </w:rPr>
                    <w:t>S</w:t>
                  </w:r>
                </w:p>
              </w:tc>
              <w:tc>
                <w:tcPr>
                  <w:tcW w:w="2326" w:type="dxa"/>
                  <w:vAlign w:val="center"/>
                </w:tcPr>
                <w:p>
                  <w:pPr>
                    <w:pStyle w:val="185"/>
                    <w:rPr>
                      <w:rFonts w:hint="default" w:eastAsia="宋体"/>
                      <w:color w:val="000000" w:themeColor="text1"/>
                      <w:szCs w:val="24"/>
                      <w:lang w:val="en-US" w:eastAsia="zh-CN"/>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0.0004776</w:t>
                  </w:r>
                </w:p>
              </w:tc>
              <w:tc>
                <w:tcPr>
                  <w:tcW w:w="1813" w:type="dxa"/>
                  <w:vAlign w:val="center"/>
                </w:tcPr>
                <w:p>
                  <w:pPr>
                    <w:pStyle w:val="185"/>
                    <w:rPr>
                      <w:rFonts w:hint="default" w:eastAsia="宋体"/>
                      <w:color w:val="000000" w:themeColor="text1"/>
                      <w:szCs w:val="24"/>
                      <w:lang w:val="en-US" w:eastAsia="zh-CN"/>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4.78</w:t>
                  </w:r>
                </w:p>
              </w:tc>
              <w:tc>
                <w:tcPr>
                  <w:tcW w:w="2223" w:type="dxa"/>
                  <w:vAlign w:val="center"/>
                </w:tcPr>
                <w:p>
                  <w:pPr>
                    <w:pStyle w:val="185"/>
                    <w:rPr>
                      <w:rFonts w:hint="default" w:eastAsia="宋体"/>
                      <w:color w:val="000000" w:themeColor="text1"/>
                      <w:szCs w:val="24"/>
                      <w:lang w:val="en-US" w:eastAsia="zh-CN"/>
                      <w14:textFill>
                        <w14:solidFill>
                          <w14:schemeClr w14:val="tx1"/>
                        </w14:solidFill>
                      </w14:textFill>
                    </w:rPr>
                  </w:pPr>
                  <w:r>
                    <w:rPr>
                      <w:rFonts w:hint="eastAsia" w:eastAsia="宋体"/>
                      <w:color w:val="000000" w:themeColor="text1"/>
                      <w:szCs w:val="24"/>
                      <w:lang w:val="en-US" w:eastAsia="zh-CN"/>
                      <w14:textFill>
                        <w14:solidFill>
                          <w14:schemeClr w14:val="tx1"/>
                        </w14:solidFill>
                      </w14:textFill>
                    </w:rPr>
                    <w:t>76</w:t>
                  </w:r>
                </w:p>
              </w:tc>
            </w:tr>
          </w:tbl>
          <w:p>
            <w:pPr>
              <w:spacing w:line="560" w:lineRule="exact"/>
              <w:ind w:firstLine="480" w:firstLineChars="200"/>
              <w:jc w:val="left"/>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14:textFill>
                  <w14:solidFill>
                    <w14:schemeClr w14:val="tx1"/>
                  </w14:solidFill>
                </w14:textFill>
              </w:rPr>
              <w:t>拟建项目主要大气污染物为氨气和硫化氢</w:t>
            </w:r>
            <w:r>
              <w:rPr>
                <w:rFonts w:hint="eastAsia" w:eastAsia="宋体"/>
                <w:color w:val="000000" w:themeColor="text1"/>
                <w:sz w:val="24"/>
                <w:lang w:eastAsia="zh-CN"/>
                <w14:textFill>
                  <w14:solidFill>
                    <w14:schemeClr w14:val="tx1"/>
                  </w14:solidFill>
                </w14:textFill>
              </w:rPr>
              <w:t>，估算模式已考虑了最不利的气象条件，分析预测结果表明，</w:t>
            </w:r>
            <w:r>
              <w:rPr>
                <w:rFonts w:hint="eastAsia" w:eastAsia="宋体"/>
                <w:color w:val="000000" w:themeColor="text1"/>
                <w:sz w:val="24"/>
                <w14:textFill>
                  <w14:solidFill>
                    <w14:schemeClr w14:val="tx1"/>
                  </w14:solidFill>
                </w14:textFill>
              </w:rPr>
              <w:t>本</w:t>
            </w:r>
            <w:r>
              <w:rPr>
                <w:rFonts w:eastAsia="宋体"/>
                <w:color w:val="000000" w:themeColor="text1"/>
                <w:sz w:val="24"/>
                <w14:textFill>
                  <w14:solidFill>
                    <w14:schemeClr w14:val="tx1"/>
                  </w14:solidFill>
                </w14:textFill>
              </w:rPr>
              <w:t>项目排放的NH</w:t>
            </w:r>
            <w:r>
              <w:rPr>
                <w:rFonts w:eastAsia="宋体"/>
                <w:color w:val="000000" w:themeColor="text1"/>
                <w:sz w:val="24"/>
                <w:vertAlign w:val="subscript"/>
                <w14:textFill>
                  <w14:solidFill>
                    <w14:schemeClr w14:val="tx1"/>
                  </w14:solidFill>
                </w14:textFill>
              </w:rPr>
              <w:t>3</w:t>
            </w:r>
            <w:r>
              <w:rPr>
                <w:rFonts w:hint="eastAsia" w:eastAsia="宋体"/>
                <w:color w:val="000000" w:themeColor="text1"/>
                <w:sz w:val="24"/>
                <w14:textFill>
                  <w14:solidFill>
                    <w14:schemeClr w14:val="tx1"/>
                  </w14:solidFill>
                </w14:textFill>
              </w:rPr>
              <w:t>和</w:t>
            </w:r>
            <w:r>
              <w:rPr>
                <w:rFonts w:eastAsia="宋体"/>
                <w:color w:val="000000" w:themeColor="text1"/>
                <w:sz w:val="24"/>
                <w14:textFill>
                  <w14:solidFill>
                    <w14:schemeClr w14:val="tx1"/>
                  </w14:solidFill>
                </w14:textFill>
              </w:rPr>
              <w:t>H</w:t>
            </w:r>
            <w:r>
              <w:rPr>
                <w:rFonts w:eastAsia="宋体"/>
                <w:color w:val="000000" w:themeColor="text1"/>
                <w:sz w:val="24"/>
                <w:vertAlign w:val="subscript"/>
                <w14:textFill>
                  <w14:solidFill>
                    <w14:schemeClr w14:val="tx1"/>
                  </w14:solidFill>
                </w14:textFill>
              </w:rPr>
              <w:t>2</w:t>
            </w:r>
            <w:r>
              <w:rPr>
                <w:rFonts w:eastAsia="宋体"/>
                <w:color w:val="000000" w:themeColor="text1"/>
                <w:sz w:val="24"/>
                <w14:textFill>
                  <w14:solidFill>
                    <w14:schemeClr w14:val="tx1"/>
                  </w14:solidFill>
                </w14:textFill>
              </w:rPr>
              <w:t>S最大落地浓度</w:t>
            </w:r>
            <w:r>
              <w:rPr>
                <w:rFonts w:hint="eastAsia" w:eastAsia="宋体"/>
                <w:color w:val="000000" w:themeColor="text1"/>
                <w:sz w:val="24"/>
                <w14:textFill>
                  <w14:solidFill>
                    <w14:schemeClr w14:val="tx1"/>
                  </w14:solidFill>
                </w14:textFill>
              </w:rPr>
              <w:t>均</w:t>
            </w:r>
            <w:r>
              <w:rPr>
                <w:rFonts w:hint="default" w:ascii="Times New Roman" w:hAnsi="Times New Roman" w:eastAsia="宋体" w:cs="Times New Roman"/>
                <w:color w:val="000000" w:themeColor="text1"/>
                <w:sz w:val="24"/>
                <w:szCs w:val="22"/>
                <w14:textFill>
                  <w14:solidFill>
                    <w14:schemeClr w14:val="tx1"/>
                  </w14:solidFill>
                </w14:textFill>
              </w:rPr>
              <w:t>能够满足《恶臭污染物排放标准》（GB14554-93）</w:t>
            </w:r>
            <w:r>
              <w:rPr>
                <w:rFonts w:hint="eastAsia" w:eastAsia="宋体"/>
                <w:color w:val="000000" w:themeColor="text1"/>
                <w:spacing w:val="-6"/>
                <w:sz w:val="24"/>
                <w14:textFill>
                  <w14:solidFill>
                    <w14:schemeClr w14:val="tx1"/>
                  </w14:solidFill>
                </w14:textFill>
              </w:rPr>
              <w:t>标准</w:t>
            </w:r>
            <w:r>
              <w:rPr>
                <w:rFonts w:hint="eastAsia" w:eastAsia="宋体"/>
                <w:bCs/>
                <w:color w:val="000000" w:themeColor="text1"/>
                <w:sz w:val="24"/>
                <w14:textFill>
                  <w14:solidFill>
                    <w14:schemeClr w14:val="tx1"/>
                  </w14:solidFill>
                </w14:textFill>
              </w:rPr>
              <w:t>NH</w:t>
            </w:r>
            <w:r>
              <w:rPr>
                <w:rFonts w:hint="eastAsia" w:eastAsia="宋体"/>
                <w:bCs/>
                <w:color w:val="000000" w:themeColor="text1"/>
                <w:sz w:val="24"/>
                <w:vertAlign w:val="subscript"/>
                <w14:textFill>
                  <w14:solidFill>
                    <w14:schemeClr w14:val="tx1"/>
                  </w14:solidFill>
                </w14:textFill>
              </w:rPr>
              <w:t>3</w:t>
            </w:r>
            <w:r>
              <w:rPr>
                <w:rFonts w:hint="eastAsia" w:eastAsia="宋体"/>
                <w:bCs/>
                <w:color w:val="000000" w:themeColor="text1"/>
                <w:sz w:val="24"/>
                <w14:textFill>
                  <w14:solidFill>
                    <w14:schemeClr w14:val="tx1"/>
                  </w14:solidFill>
                </w14:textFill>
              </w:rPr>
              <w:t>0.2</w:t>
            </w:r>
            <w:r>
              <w:rPr>
                <w:rFonts w:eastAsia="宋体"/>
                <w:color w:val="000000" w:themeColor="text1"/>
                <w:sz w:val="24"/>
                <w14:textFill>
                  <w14:solidFill>
                    <w14:schemeClr w14:val="tx1"/>
                  </w14:solidFill>
                </w14:textFill>
              </w:rPr>
              <w:t>mg/m</w:t>
            </w:r>
            <w:r>
              <w:rPr>
                <w:rFonts w:eastAsia="宋体"/>
                <w:color w:val="000000" w:themeColor="text1"/>
                <w:sz w:val="24"/>
                <w:vertAlign w:val="superscript"/>
                <w14:textFill>
                  <w14:solidFill>
                    <w14:schemeClr w14:val="tx1"/>
                  </w14:solidFill>
                </w14:textFill>
              </w:rPr>
              <w:t>3</w:t>
            </w:r>
            <w:r>
              <w:rPr>
                <w:rFonts w:hint="eastAsia" w:eastAsia="宋体"/>
                <w:bCs/>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H</w:t>
            </w:r>
            <w:r>
              <w:rPr>
                <w:rFonts w:hint="eastAsia" w:eastAsia="宋体"/>
                <w:color w:val="000000" w:themeColor="text1"/>
                <w:sz w:val="24"/>
                <w:vertAlign w:val="subscript"/>
                <w14:textFill>
                  <w14:solidFill>
                    <w14:schemeClr w14:val="tx1"/>
                  </w14:solidFill>
                </w14:textFill>
              </w:rPr>
              <w:t>2</w:t>
            </w:r>
            <w:r>
              <w:rPr>
                <w:rFonts w:hint="eastAsia" w:eastAsia="宋体"/>
                <w:color w:val="000000" w:themeColor="text1"/>
                <w:sz w:val="24"/>
                <w14:textFill>
                  <w14:solidFill>
                    <w14:schemeClr w14:val="tx1"/>
                  </w14:solidFill>
                </w14:textFill>
              </w:rPr>
              <w:t>S0.01</w:t>
            </w:r>
            <w:r>
              <w:rPr>
                <w:rFonts w:eastAsia="宋体"/>
                <w:color w:val="000000" w:themeColor="text1"/>
                <w:sz w:val="24"/>
                <w14:textFill>
                  <w14:solidFill>
                    <w14:schemeClr w14:val="tx1"/>
                  </w14:solidFill>
                </w14:textFill>
              </w:rPr>
              <w:t>mg/m</w:t>
            </w:r>
            <w:r>
              <w:rPr>
                <w:rFonts w:eastAsia="宋体"/>
                <w:color w:val="000000" w:themeColor="text1"/>
                <w:sz w:val="24"/>
                <w:vertAlign w:val="superscript"/>
                <w14:textFill>
                  <w14:solidFill>
                    <w14:schemeClr w14:val="tx1"/>
                  </w14:solidFill>
                </w14:textFill>
              </w:rPr>
              <w:t>3</w:t>
            </w:r>
            <w:r>
              <w:rPr>
                <w:rFonts w:hint="eastAsia" w:eastAsia="宋体"/>
                <w:color w:val="000000" w:themeColor="text1"/>
                <w:sz w:val="24"/>
                <w14:textFill>
                  <w14:solidFill>
                    <w14:schemeClr w14:val="tx1"/>
                  </w14:solidFill>
                </w14:textFill>
              </w:rPr>
              <w:t>，占标率均小于10%，对区域环境空气的影响主要位于距离污染源</w:t>
            </w:r>
            <w:r>
              <w:rPr>
                <w:rFonts w:hint="eastAsia" w:eastAsia="宋体"/>
                <w:color w:val="000000" w:themeColor="text1"/>
                <w:sz w:val="24"/>
                <w:lang w:val="en-US" w:eastAsia="zh-CN"/>
                <w14:textFill>
                  <w14:solidFill>
                    <w14:schemeClr w14:val="tx1"/>
                  </w14:solidFill>
                </w14:textFill>
              </w:rPr>
              <w:t>174</w:t>
            </w:r>
            <w:r>
              <w:rPr>
                <w:rFonts w:hint="eastAsia" w:eastAsia="宋体"/>
                <w:color w:val="000000" w:themeColor="text1"/>
                <w:sz w:val="24"/>
                <w14:textFill>
                  <w14:solidFill>
                    <w14:schemeClr w14:val="tx1"/>
                  </w14:solidFill>
                </w14:textFill>
              </w:rPr>
              <w:t>m和</w:t>
            </w:r>
            <w:r>
              <w:rPr>
                <w:rFonts w:hint="eastAsia" w:eastAsia="宋体"/>
                <w:color w:val="000000" w:themeColor="text1"/>
                <w:sz w:val="24"/>
                <w:lang w:val="en-US" w:eastAsia="zh-CN"/>
                <w14:textFill>
                  <w14:solidFill>
                    <w14:schemeClr w14:val="tx1"/>
                  </w14:solidFill>
                </w14:textFill>
              </w:rPr>
              <w:t>76</w:t>
            </w:r>
            <w:r>
              <w:rPr>
                <w:rFonts w:hint="eastAsia" w:eastAsia="宋体"/>
                <w:color w:val="000000" w:themeColor="text1"/>
                <w:sz w:val="24"/>
                <w14:textFill>
                  <w14:solidFill>
                    <w14:schemeClr w14:val="tx1"/>
                  </w14:solidFill>
                </w14:textFill>
              </w:rPr>
              <w:t>m处，在静风情况下对最近敏感目标（500m处的兰州湾镇）影响较小</w:t>
            </w:r>
            <w:r>
              <w:rPr>
                <w:rFonts w:hint="eastAsia" w:eastAsia="宋体"/>
                <w:color w:val="000000" w:themeColor="text1"/>
                <w:sz w:val="24"/>
                <w:lang w:eastAsia="zh-CN"/>
                <w14:textFill>
                  <w14:solidFill>
                    <w14:schemeClr w14:val="tx1"/>
                  </w14:solidFill>
                </w14:textFill>
              </w:rPr>
              <w:t>。</w:t>
            </w:r>
          </w:p>
          <w:p>
            <w:pPr>
              <w:spacing w:line="560" w:lineRule="exact"/>
              <w:ind w:firstLine="480" w:firstLineChars="200"/>
              <w:jc w:val="left"/>
              <w:rPr>
                <w:rFonts w:hint="default" w:eastAsia="宋体"/>
                <w:bCs/>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从以上预测可知，项目场界</w:t>
            </w:r>
            <w:r>
              <w:rPr>
                <w:rFonts w:eastAsia="宋体"/>
                <w:color w:val="000000" w:themeColor="text1"/>
                <w:sz w:val="24"/>
                <w14:textFill>
                  <w14:solidFill>
                    <w14:schemeClr w14:val="tx1"/>
                  </w14:solidFill>
                </w14:textFill>
              </w:rPr>
              <w:t>NH</w:t>
            </w:r>
            <w:r>
              <w:rPr>
                <w:rFonts w:eastAsia="宋体"/>
                <w:color w:val="000000" w:themeColor="text1"/>
                <w:sz w:val="24"/>
                <w:vertAlign w:val="subscript"/>
                <w14:textFill>
                  <w14:solidFill>
                    <w14:schemeClr w14:val="tx1"/>
                  </w14:solidFill>
                </w14:textFill>
              </w:rPr>
              <w:t>3</w:t>
            </w:r>
            <w:r>
              <w:rPr>
                <w:rFonts w:hint="eastAsia" w:eastAsia="宋体"/>
                <w:color w:val="000000" w:themeColor="text1"/>
                <w:sz w:val="24"/>
                <w14:textFill>
                  <w14:solidFill>
                    <w14:schemeClr w14:val="tx1"/>
                  </w14:solidFill>
                </w14:textFill>
              </w:rPr>
              <w:t>和</w:t>
            </w:r>
            <w:r>
              <w:rPr>
                <w:rFonts w:eastAsia="宋体"/>
                <w:color w:val="000000" w:themeColor="text1"/>
                <w:sz w:val="24"/>
                <w14:textFill>
                  <w14:solidFill>
                    <w14:schemeClr w14:val="tx1"/>
                  </w14:solidFill>
                </w14:textFill>
              </w:rPr>
              <w:t>H</w:t>
            </w:r>
            <w:r>
              <w:rPr>
                <w:rFonts w:eastAsia="宋体"/>
                <w:color w:val="000000" w:themeColor="text1"/>
                <w:sz w:val="24"/>
                <w:vertAlign w:val="subscript"/>
                <w14:textFill>
                  <w14:solidFill>
                    <w14:schemeClr w14:val="tx1"/>
                  </w14:solidFill>
                </w14:textFill>
              </w:rPr>
              <w:t>2</w:t>
            </w:r>
            <w:r>
              <w:rPr>
                <w:rFonts w:eastAsia="宋体"/>
                <w:color w:val="000000" w:themeColor="text1"/>
                <w:sz w:val="24"/>
                <w14:textFill>
                  <w14:solidFill>
                    <w14:schemeClr w14:val="tx1"/>
                  </w14:solidFill>
                </w14:textFill>
              </w:rPr>
              <w:t>S</w:t>
            </w:r>
            <w:r>
              <w:rPr>
                <w:rFonts w:hint="eastAsia" w:eastAsia="宋体"/>
                <w:color w:val="000000" w:themeColor="text1"/>
                <w:sz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2"/>
                <w14:textFill>
                  <w14:solidFill>
                    <w14:schemeClr w14:val="tx1"/>
                  </w14:solidFill>
                </w14:textFill>
              </w:rPr>
              <w:t>满足《恶臭污染物排放标准》（GB14554-93）</w:t>
            </w:r>
            <w:r>
              <w:rPr>
                <w:rFonts w:hint="eastAsia" w:eastAsia="宋体"/>
                <w:color w:val="000000" w:themeColor="text1"/>
                <w:spacing w:val="-6"/>
                <w:sz w:val="24"/>
                <w14:textFill>
                  <w14:solidFill>
                    <w14:schemeClr w14:val="tx1"/>
                  </w14:solidFill>
                </w14:textFill>
              </w:rPr>
              <w:t>标准</w:t>
            </w:r>
            <w:r>
              <w:rPr>
                <w:rFonts w:hint="eastAsia" w:eastAsia="宋体"/>
                <w:color w:val="000000" w:themeColor="text1"/>
                <w:sz w:val="24"/>
                <w:lang w:val="en-US" w:eastAsia="zh-CN"/>
                <w14:textFill>
                  <w14:solidFill>
                    <w14:schemeClr w14:val="tx1"/>
                  </w14:solidFill>
                </w14:textFill>
              </w:rPr>
              <w:t>达标排放。浓度为本项目对区域环境影响不大，区域大气质量满足环境空气质量二级标准。</w:t>
            </w:r>
          </w:p>
          <w:p>
            <w:pPr>
              <w:spacing w:line="560" w:lineRule="exact"/>
              <w:ind w:firstLine="480" w:firstLineChars="20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（2）</w:t>
            </w:r>
            <w:r>
              <w:rPr>
                <w:rFonts w:eastAsia="宋体"/>
                <w:color w:val="000000" w:themeColor="text1"/>
                <w:sz w:val="24"/>
                <w14:textFill>
                  <w14:solidFill>
                    <w14:schemeClr w14:val="tx1"/>
                  </w14:solidFill>
                </w14:textFill>
              </w:rPr>
              <w:t>防护距离</w:t>
            </w:r>
            <w:r>
              <w:rPr>
                <w:rFonts w:hint="eastAsia" w:eastAsia="宋体"/>
                <w:color w:val="000000" w:themeColor="text1"/>
                <w:sz w:val="24"/>
                <w14:textFill>
                  <w14:solidFill>
                    <w14:schemeClr w14:val="tx1"/>
                  </w14:solidFill>
                </w14:textFill>
              </w:rPr>
              <w:t>的确定</w:t>
            </w:r>
          </w:p>
          <w:p>
            <w:pPr>
              <w:pStyle w:val="165"/>
              <w:spacing w:line="560" w:lineRule="exact"/>
              <w:ind w:firstLine="48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①大气环境防护距离</w:t>
            </w:r>
          </w:p>
          <w:p>
            <w:pPr>
              <w:pStyle w:val="165"/>
              <w:spacing w:line="560" w:lineRule="exact"/>
              <w:ind w:firstLine="480" w:firstLineChars="200"/>
              <w:rPr>
                <w:rFonts w:ascii="Times New Roman"/>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根据</w:t>
            </w:r>
            <w:r>
              <w:rPr>
                <w:rFonts w:hint="eastAsia" w:ascii="Times New Roman"/>
                <w:color w:val="000000" w:themeColor="text1"/>
                <w14:textFill>
                  <w14:solidFill>
                    <w14:schemeClr w14:val="tx1"/>
                  </w14:solidFill>
                </w14:textFill>
              </w:rPr>
              <w:t>以上</w:t>
            </w:r>
            <w:r>
              <w:rPr>
                <w:rFonts w:hint="eastAsia" w:ascii="Times New Roman"/>
                <w:bCs/>
                <w:color w:val="000000" w:themeColor="text1"/>
                <w14:textFill>
                  <w14:solidFill>
                    <w14:schemeClr w14:val="tx1"/>
                  </w14:solidFill>
                </w14:textFill>
              </w:rPr>
              <w:t>《环境影响评价技术导则 大气环境》（HJ2.2-2018），AERSCREEN模型</w:t>
            </w:r>
            <w:r>
              <w:rPr>
                <w:rFonts w:hint="eastAsia" w:ascii="Times New Roman"/>
                <w:color w:val="000000" w:themeColor="text1"/>
                <w14:textFill>
                  <w14:solidFill>
                    <w14:schemeClr w14:val="tx1"/>
                  </w14:solidFill>
                </w14:textFill>
              </w:rPr>
              <w:t>的预测结果显示，本项目无组织排放无超标点，无需设置大气环境防护距离。</w:t>
            </w:r>
          </w:p>
          <w:p>
            <w:pPr>
              <w:pStyle w:val="165"/>
              <w:spacing w:line="560" w:lineRule="exact"/>
              <w:ind w:firstLine="48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②卫生防护距离</w:t>
            </w:r>
          </w:p>
          <w:p>
            <w:pPr>
              <w:spacing w:line="560" w:lineRule="exact"/>
              <w:ind w:firstLine="456" w:firstLineChars="200"/>
              <w:rPr>
                <w:rFonts w:eastAsia="宋体"/>
                <w:color w:val="000000" w:themeColor="text1"/>
                <w:spacing w:val="-6"/>
                <w:sz w:val="24"/>
                <w14:textFill>
                  <w14:solidFill>
                    <w14:schemeClr w14:val="tx1"/>
                  </w14:solidFill>
                </w14:textFill>
              </w:rPr>
            </w:pPr>
            <w:r>
              <w:rPr>
                <w:rFonts w:hint="eastAsia" w:eastAsia="宋体"/>
                <w:color w:val="000000" w:themeColor="text1"/>
                <w:spacing w:val="-6"/>
                <w:sz w:val="24"/>
                <w14:textFill>
                  <w14:solidFill>
                    <w14:schemeClr w14:val="tx1"/>
                  </w14:solidFill>
                </w14:textFill>
              </w:rPr>
              <w:t>污染物浓度随距离的增大而衰减，为了防止和消除对周围环境及居民生活的影响，应对本项目设置卫生防护距离。因本项目为垃圾填埋场的配套设施项目，且位于垃圾填埋场预留空地内，故本项目卫生防护距离应按照垃圾填埋场卫生防护距离进行设置。根据《关于玛纳斯县城生活垃圾处理工程环境影响报告书的批复》（见附件）可知，该垃圾填埋场须设置500m卫生防护距离，故本环评要求本项目卫生防护距离应不少于500m，在防护距离范围内不得规划建设居民区、学校、医院等大气环境敏感目标。经现场踏勘，项目区周围500m内均是空地和其他公企业，无居民住宅区，对</w:t>
            </w:r>
            <w:r>
              <w:rPr>
                <w:rFonts w:hint="eastAsia" w:eastAsia="宋体"/>
                <w:color w:val="000000" w:themeColor="text1"/>
                <w:sz w:val="24"/>
                <w:szCs w:val="24"/>
                <w14:textFill>
                  <w14:solidFill>
                    <w14:schemeClr w14:val="tx1"/>
                  </w14:solidFill>
                </w14:textFill>
              </w:rPr>
              <w:t>距离本项目最近的环境敏感点为西侧500m的</w:t>
            </w:r>
            <w:r>
              <w:rPr>
                <w:rFonts w:hint="eastAsia" w:eastAsia="宋体"/>
                <w:color w:val="000000" w:themeColor="text1"/>
                <w:sz w:val="24"/>
                <w14:textFill>
                  <w14:solidFill>
                    <w14:schemeClr w14:val="tx1"/>
                  </w14:solidFill>
                </w14:textFill>
              </w:rPr>
              <w:t>兰州湾镇（属于项目区上风向）</w:t>
            </w:r>
            <w:r>
              <w:rPr>
                <w:rFonts w:hint="eastAsia" w:eastAsia="宋体"/>
                <w:color w:val="000000" w:themeColor="text1"/>
                <w:sz w:val="24"/>
                <w:szCs w:val="24"/>
                <w14:textFill>
                  <w14:solidFill>
                    <w14:schemeClr w14:val="tx1"/>
                  </w14:solidFill>
                </w14:textFill>
              </w:rPr>
              <w:t>影响较小，卫生防护距离设置较为合理</w:t>
            </w:r>
            <w:r>
              <w:rPr>
                <w:rFonts w:hint="eastAsia" w:eastAsia="宋体"/>
                <w:color w:val="000000" w:themeColor="text1"/>
                <w:spacing w:val="-6"/>
                <w:sz w:val="24"/>
                <w14:textFill>
                  <w14:solidFill>
                    <w14:schemeClr w14:val="tx1"/>
                  </w14:solidFill>
                </w14:textFill>
              </w:rPr>
              <w:t>。</w:t>
            </w:r>
          </w:p>
          <w:p>
            <w:pPr>
              <w:pStyle w:val="165"/>
              <w:spacing w:line="560" w:lineRule="exact"/>
              <w:ind w:firstLine="456" w:firstLineChars="200"/>
              <w:rPr>
                <w:rFonts w:ascii="Times New Roman"/>
                <w:color w:val="000000" w:themeColor="text1"/>
                <w14:textFill>
                  <w14:solidFill>
                    <w14:schemeClr w14:val="tx1"/>
                  </w14:solidFill>
                </w14:textFill>
              </w:rPr>
            </w:pPr>
            <w:r>
              <w:rPr>
                <w:rFonts w:hint="eastAsia" w:ascii="Times New Roman"/>
                <w:color w:val="000000" w:themeColor="text1"/>
                <w:spacing w:val="-6"/>
                <w14:textFill>
                  <w14:solidFill>
                    <w14:schemeClr w14:val="tx1"/>
                  </w14:solidFill>
                </w14:textFill>
              </w:rPr>
              <w:t>建设单位应严格落实环评提出的各项大气污染防治措施，并在厂界外设置500m的卫生防护距离。落实环评提出的恶臭治理措施后，对大气环境质量的影响较小。</w:t>
            </w:r>
          </w:p>
          <w:p>
            <w:pPr>
              <w:adjustRightInd w:val="0"/>
              <w:snapToGrid w:val="0"/>
              <w:spacing w:line="560" w:lineRule="exact"/>
              <w:ind w:left="140" w:leftChars="50" w:right="140" w:rightChars="50" w:firstLine="482" w:firstLineChars="200"/>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二、地表水</w:t>
            </w:r>
            <w:r>
              <w:rPr>
                <w:rFonts w:eastAsia="宋体"/>
                <w:b/>
                <w:color w:val="000000" w:themeColor="text1"/>
                <w:sz w:val="24"/>
                <w:szCs w:val="24"/>
                <w14:textFill>
                  <w14:solidFill>
                    <w14:schemeClr w14:val="tx1"/>
                  </w14:solidFill>
                </w14:textFill>
              </w:rPr>
              <w:t>环境影响分析</w:t>
            </w:r>
            <w:r>
              <w:rPr>
                <w:rFonts w:hint="eastAsia" w:eastAsia="宋体"/>
                <w:b/>
                <w:color w:val="000000" w:themeColor="text1"/>
                <w:sz w:val="24"/>
                <w:szCs w:val="24"/>
                <w14:textFill>
                  <w14:solidFill>
                    <w14:schemeClr w14:val="tx1"/>
                  </w14:solidFill>
                </w14:textFill>
              </w:rPr>
              <w:t>及防治措施</w:t>
            </w:r>
          </w:p>
          <w:p>
            <w:pPr>
              <w:spacing w:line="560" w:lineRule="exact"/>
              <w:ind w:firstLine="480" w:firstLineChars="200"/>
              <w:rPr>
                <w:rFonts w:eastAsia="宋体"/>
                <w:color w:val="000000" w:themeColor="text1"/>
                <w:kern w:val="0"/>
                <w:sz w:val="24"/>
                <w:szCs w:val="24"/>
                <w14:textFill>
                  <w14:solidFill>
                    <w14:schemeClr w14:val="tx1"/>
                  </w14:solidFill>
                </w14:textFill>
              </w:rPr>
            </w:pPr>
            <w:r>
              <w:rPr>
                <w:rFonts w:eastAsia="宋体"/>
                <w:color w:val="000000" w:themeColor="text1"/>
                <w:kern w:val="0"/>
                <w:sz w:val="24"/>
                <w:szCs w:val="24"/>
                <w14:textFill>
                  <w14:solidFill>
                    <w14:schemeClr w14:val="tx1"/>
                  </w14:solidFill>
                </w14:textFill>
              </w:rPr>
              <w:t>本项目</w:t>
            </w:r>
            <w:r>
              <w:rPr>
                <w:rFonts w:hint="eastAsia" w:eastAsia="宋体"/>
                <w:color w:val="000000" w:themeColor="text1"/>
                <w:kern w:val="0"/>
                <w:sz w:val="24"/>
                <w:szCs w:val="24"/>
                <w14:textFill>
                  <w14:solidFill>
                    <w14:schemeClr w14:val="tx1"/>
                  </w14:solidFill>
                </w14:textFill>
              </w:rPr>
              <w:t>涉及的</w:t>
            </w:r>
            <w:r>
              <w:rPr>
                <w:rFonts w:eastAsia="宋体"/>
                <w:color w:val="000000" w:themeColor="text1"/>
                <w:kern w:val="0"/>
                <w:sz w:val="24"/>
                <w:szCs w:val="24"/>
                <w14:textFill>
                  <w14:solidFill>
                    <w14:schemeClr w14:val="tx1"/>
                  </w14:solidFill>
                </w14:textFill>
              </w:rPr>
              <w:t>废水主要是</w:t>
            </w:r>
            <w:r>
              <w:rPr>
                <w:rFonts w:hint="eastAsia" w:eastAsia="宋体"/>
                <w:color w:val="000000" w:themeColor="text1"/>
                <w:kern w:val="0"/>
                <w:sz w:val="24"/>
                <w:szCs w:val="24"/>
                <w14:textFill>
                  <w14:solidFill>
                    <w14:schemeClr w14:val="tx1"/>
                  </w14:solidFill>
                </w14:textFill>
              </w:rPr>
              <w:t>填埋场</w:t>
            </w:r>
            <w:r>
              <w:rPr>
                <w:rFonts w:eastAsia="宋体"/>
                <w:color w:val="000000" w:themeColor="text1"/>
                <w:kern w:val="0"/>
                <w:sz w:val="24"/>
                <w:szCs w:val="24"/>
                <w14:textFill>
                  <w14:solidFill>
                    <w14:schemeClr w14:val="tx1"/>
                  </w14:solidFill>
                </w14:textFill>
              </w:rPr>
              <w:t>垃圾渗滤液和工作人员生活污水，全部进入拟建的渗滤液处理站处理，</w:t>
            </w:r>
            <w:r>
              <w:rPr>
                <w:rFonts w:hint="eastAsia" w:eastAsia="宋体"/>
                <w:color w:val="000000" w:themeColor="text1"/>
                <w:kern w:val="0"/>
                <w:sz w:val="24"/>
                <w:szCs w:val="24"/>
                <w14:textFill>
                  <w14:solidFill>
                    <w14:schemeClr w14:val="tx1"/>
                  </w14:solidFill>
                </w14:textFill>
              </w:rPr>
              <w:t>废水中污染物主要为COD</w:t>
            </w:r>
            <w:r>
              <w:rPr>
                <w:rFonts w:hint="eastAsia" w:eastAsia="宋体"/>
                <w:color w:val="000000" w:themeColor="text1"/>
                <w:kern w:val="0"/>
                <w:sz w:val="24"/>
                <w:szCs w:val="24"/>
                <w:vertAlign w:val="subscript"/>
                <w14:textFill>
                  <w14:solidFill>
                    <w14:schemeClr w14:val="tx1"/>
                  </w14:solidFill>
                </w14:textFill>
              </w:rPr>
              <w:t>Cr</w:t>
            </w:r>
            <w:r>
              <w:rPr>
                <w:rFonts w:hint="eastAsia" w:eastAsia="宋体"/>
                <w:color w:val="000000" w:themeColor="text1"/>
                <w:kern w:val="0"/>
                <w:sz w:val="24"/>
                <w:szCs w:val="24"/>
                <w14:textFill>
                  <w14:solidFill>
                    <w14:schemeClr w14:val="tx1"/>
                  </w14:solidFill>
                </w14:textFill>
              </w:rPr>
              <w:t>、BOD</w:t>
            </w:r>
            <w:r>
              <w:rPr>
                <w:rFonts w:hint="eastAsia" w:eastAsia="宋体"/>
                <w:color w:val="000000" w:themeColor="text1"/>
                <w:kern w:val="0"/>
                <w:sz w:val="24"/>
                <w:szCs w:val="24"/>
                <w:vertAlign w:val="subscript"/>
                <w14:textFill>
                  <w14:solidFill>
                    <w14:schemeClr w14:val="tx1"/>
                  </w14:solidFill>
                </w14:textFill>
              </w:rPr>
              <w:t>5</w:t>
            </w:r>
            <w:r>
              <w:rPr>
                <w:rFonts w:hint="eastAsia" w:eastAsia="宋体"/>
                <w:color w:val="000000" w:themeColor="text1"/>
                <w:kern w:val="0"/>
                <w:sz w:val="24"/>
                <w:szCs w:val="24"/>
                <w14:textFill>
                  <w14:solidFill>
                    <w14:schemeClr w14:val="tx1"/>
                  </w14:solidFill>
                </w14:textFill>
              </w:rPr>
              <w:t>、NH</w:t>
            </w:r>
            <w:r>
              <w:rPr>
                <w:rFonts w:hint="eastAsia" w:eastAsia="宋体"/>
                <w:color w:val="000000" w:themeColor="text1"/>
                <w:kern w:val="0"/>
                <w:sz w:val="24"/>
                <w:szCs w:val="24"/>
                <w:vertAlign w:val="subscript"/>
                <w14:textFill>
                  <w14:solidFill>
                    <w14:schemeClr w14:val="tx1"/>
                  </w14:solidFill>
                </w14:textFill>
              </w:rPr>
              <w:t>3</w:t>
            </w:r>
            <w:r>
              <w:rPr>
                <w:rFonts w:hint="eastAsia" w:eastAsia="宋体"/>
                <w:color w:val="000000" w:themeColor="text1"/>
                <w:kern w:val="0"/>
                <w:sz w:val="24"/>
                <w:szCs w:val="24"/>
                <w14:textFill>
                  <w14:solidFill>
                    <w14:schemeClr w14:val="tx1"/>
                  </w14:solidFill>
                </w14:textFill>
              </w:rPr>
              <w:t>-N、SS等，经采用“</w:t>
            </w:r>
            <w:r>
              <w:rPr>
                <w:rFonts w:hint="eastAsia" w:eastAsia="宋体"/>
                <w:color w:val="000000" w:themeColor="text1"/>
                <w:sz w:val="24"/>
                <w:szCs w:val="24"/>
                <w14:textFill>
                  <w14:solidFill>
                    <w14:schemeClr w14:val="tx1"/>
                  </w14:solidFill>
                </w14:textFill>
              </w:rPr>
              <w:t>MBR+反渗透</w:t>
            </w:r>
            <w:r>
              <w:rPr>
                <w:rFonts w:hint="eastAsia" w:eastAsia="宋体"/>
                <w:color w:val="000000" w:themeColor="text1"/>
                <w:kern w:val="0"/>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的处理工艺，各污染物去除率均达到99%以上，排放浓度均可</w:t>
            </w:r>
            <w:r>
              <w:rPr>
                <w:rFonts w:eastAsia="宋体"/>
                <w:color w:val="000000" w:themeColor="text1"/>
                <w:kern w:val="0"/>
                <w:sz w:val="24"/>
                <w:szCs w:val="24"/>
                <w14:textFill>
                  <w14:solidFill>
                    <w14:schemeClr w14:val="tx1"/>
                  </w14:solidFill>
                </w14:textFill>
              </w:rPr>
              <w:t>达到《生活垃圾填埋场污染控制标准》（GB16889-2008）中表2的要求</w:t>
            </w:r>
            <w:r>
              <w:rPr>
                <w:rFonts w:hint="eastAsia" w:eastAsia="宋体"/>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 xml:space="preserve">同时，该尾水能够满足《城市污水再生利用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绿地灌溉</w:t>
            </w:r>
            <w:r>
              <w:rPr>
                <w:rFonts w:hint="default" w:ascii="Times New Roman" w:hAnsi="Times New Roman" w:eastAsia="宋体" w:cs="Times New Roman"/>
                <w:color w:val="000000" w:themeColor="text1"/>
                <w:sz w:val="24"/>
                <w:szCs w:val="24"/>
                <w14:textFill>
                  <w14:solidFill>
                    <w14:schemeClr w14:val="tx1"/>
                  </w14:solidFill>
                </w14:textFill>
              </w:rPr>
              <w:t>水质》（GB2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5499</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）中浓度限值，可</w:t>
            </w:r>
            <w:r>
              <w:rPr>
                <w:rFonts w:hint="eastAsia" w:eastAsia="宋体" w:cs="Times New Roman"/>
                <w:color w:val="000000" w:themeColor="text1"/>
                <w:sz w:val="24"/>
                <w:szCs w:val="24"/>
                <w:lang w:eastAsia="zh-CN"/>
                <w14:textFill>
                  <w14:solidFill>
                    <w14:schemeClr w14:val="tx1"/>
                  </w14:solidFill>
                </w14:textFill>
              </w:rPr>
              <w:t>用于生活垃圾填埋场场区绿化</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经反渗透产生的浓缩液经浓缩液收集池收集，以回灌的方式回灌至垃圾填埋场，不外排。</w:t>
            </w:r>
          </w:p>
          <w:p>
            <w:pPr>
              <w:spacing w:line="560" w:lineRule="exact"/>
              <w:ind w:firstLine="480" w:firstLineChars="200"/>
              <w:rPr>
                <w:rFonts w:eastAsia="宋体"/>
                <w:color w:val="000000" w:themeColor="text1"/>
                <w:kern w:val="0"/>
                <w:sz w:val="24"/>
                <w:szCs w:val="24"/>
                <w14:textFill>
                  <w14:solidFill>
                    <w14:schemeClr w14:val="tx1"/>
                  </w14:solidFill>
                </w14:textFill>
              </w:rPr>
            </w:pPr>
            <w:r>
              <w:rPr>
                <w:rFonts w:hint="eastAsia" w:eastAsia="宋体"/>
                <w:color w:val="000000" w:themeColor="text1"/>
                <w:kern w:val="0"/>
                <w:sz w:val="24"/>
                <w:szCs w:val="24"/>
                <w14:textFill>
                  <w14:solidFill>
                    <w14:schemeClr w14:val="tx1"/>
                  </w14:solidFill>
                </w14:textFill>
              </w:rPr>
              <w:t>当渗滤液处理系统某一环节发生故障时，系统进水暂存于调节池中，待故障排除后，渗滤液进入前处理工段，不排入外环境</w:t>
            </w:r>
            <w:r>
              <w:rPr>
                <w:rFonts w:eastAsia="宋体"/>
                <w:color w:val="000000" w:themeColor="text1"/>
                <w:kern w:val="0"/>
                <w:sz w:val="24"/>
                <w:szCs w:val="24"/>
                <w14:textFill>
                  <w14:solidFill>
                    <w14:schemeClr w14:val="tx1"/>
                  </w14:solidFill>
                </w14:textFill>
              </w:rPr>
              <w:t>。</w:t>
            </w:r>
            <w:r>
              <w:rPr>
                <w:rFonts w:hint="eastAsia" w:eastAsia="宋体"/>
                <w:color w:val="000000" w:themeColor="text1"/>
                <w:kern w:val="0"/>
                <w:sz w:val="24"/>
                <w:szCs w:val="24"/>
                <w14:textFill>
                  <w14:solidFill>
                    <w14:schemeClr w14:val="tx1"/>
                  </w14:solidFill>
                </w14:textFill>
              </w:rPr>
              <w:t>因此，本项目建设不会对附近地表水环境产生影响。</w:t>
            </w:r>
          </w:p>
          <w:p>
            <w:pPr>
              <w:adjustRightInd w:val="0"/>
              <w:snapToGrid w:val="0"/>
              <w:spacing w:line="560" w:lineRule="exact"/>
              <w:ind w:left="140" w:leftChars="50" w:right="140" w:rightChars="50" w:firstLine="482" w:firstLineChars="200"/>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三、地下水</w:t>
            </w:r>
            <w:r>
              <w:rPr>
                <w:rFonts w:eastAsia="宋体"/>
                <w:b/>
                <w:color w:val="000000" w:themeColor="text1"/>
                <w:sz w:val="24"/>
                <w:szCs w:val="24"/>
                <w14:textFill>
                  <w14:solidFill>
                    <w14:schemeClr w14:val="tx1"/>
                  </w14:solidFill>
                </w14:textFill>
              </w:rPr>
              <w:t>环境影响分析</w:t>
            </w:r>
            <w:r>
              <w:rPr>
                <w:rFonts w:hint="eastAsia" w:eastAsia="宋体"/>
                <w:b/>
                <w:color w:val="000000" w:themeColor="text1"/>
                <w:sz w:val="24"/>
                <w:szCs w:val="24"/>
                <w14:textFill>
                  <w14:solidFill>
                    <w14:schemeClr w14:val="tx1"/>
                  </w14:solidFill>
                </w14:textFill>
              </w:rPr>
              <w:t>及防治措施</w:t>
            </w:r>
          </w:p>
          <w:p>
            <w:pPr>
              <w:autoSpaceDE w:val="0"/>
              <w:autoSpaceDN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kern w:val="0"/>
                <w:sz w:val="24"/>
                <w:szCs w:val="24"/>
                <w14:textFill>
                  <w14:solidFill>
                    <w14:schemeClr w14:val="tx1"/>
                  </w14:solidFill>
                </w14:textFill>
              </w:rPr>
              <w:t>根据现场调查，本项目所在区域无地下水饮用水井。</w:t>
            </w:r>
          </w:p>
          <w:p>
            <w:pPr>
              <w:autoSpaceDE w:val="0"/>
              <w:autoSpaceDN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拟建工程渗滤液处理量为</w:t>
            </w:r>
            <w:r>
              <w:rPr>
                <w:rFonts w:hint="eastAsia" w:eastAsia="宋体"/>
                <w:color w:val="000000" w:themeColor="text1"/>
                <w:sz w:val="24"/>
                <w:szCs w:val="24"/>
                <w14:textFill>
                  <w14:solidFill>
                    <w14:schemeClr w14:val="tx1"/>
                  </w14:solidFill>
                </w14:textFill>
              </w:rPr>
              <w:t>30.0m</w:t>
            </w:r>
            <w:r>
              <w:rPr>
                <w:rFonts w:eastAsia="宋体"/>
                <w:color w:val="000000" w:themeColor="text1"/>
                <w:sz w:val="24"/>
                <w:szCs w:val="24"/>
                <w14:textFill>
                  <w14:solidFill>
                    <w14:schemeClr w14:val="tx1"/>
                  </w14:solidFill>
                </w14:textFill>
              </w:rPr>
              <w:t>³/d，渗滤液先汇入垃圾处理场已建</w:t>
            </w:r>
            <w:r>
              <w:rPr>
                <w:rFonts w:hint="eastAsia" w:eastAsia="宋体"/>
                <w:color w:val="000000" w:themeColor="text1"/>
                <w:sz w:val="24"/>
                <w:szCs w:val="24"/>
                <w14:textFill>
                  <w14:solidFill>
                    <w14:schemeClr w14:val="tx1"/>
                  </w14:solidFill>
                </w14:textFill>
              </w:rPr>
              <w:t>收集池</w:t>
            </w:r>
            <w:r>
              <w:rPr>
                <w:rFonts w:eastAsia="宋体"/>
                <w:color w:val="000000" w:themeColor="text1"/>
                <w:sz w:val="24"/>
                <w:szCs w:val="24"/>
                <w14:textFill>
                  <w14:solidFill>
                    <w14:schemeClr w14:val="tx1"/>
                  </w14:solidFill>
                </w14:textFill>
              </w:rPr>
              <w:t>（具有暂存功能）暂存，再进入拟建工程的渗滤液处理系统。工程采用</w:t>
            </w:r>
            <w:r>
              <w:rPr>
                <w:rFonts w:hint="eastAsia" w:eastAsia="宋体"/>
                <w:color w:val="000000" w:themeColor="text1"/>
                <w:sz w:val="24"/>
                <w:szCs w:val="24"/>
                <w14:textFill>
                  <w14:solidFill>
                    <w14:schemeClr w14:val="tx1"/>
                  </w14:solidFill>
                </w14:textFill>
              </w:rPr>
              <w:t>“MBR+反渗透”的处理工艺</w:t>
            </w:r>
            <w:r>
              <w:rPr>
                <w:rFonts w:eastAsia="宋体"/>
                <w:color w:val="000000" w:themeColor="text1"/>
                <w:sz w:val="24"/>
                <w:szCs w:val="24"/>
                <w14:textFill>
                  <w14:solidFill>
                    <w14:schemeClr w14:val="tx1"/>
                  </w14:solidFill>
                </w14:textFill>
              </w:rPr>
              <w:t>，出水水质达到《生活垃圾填埋场污染控制标准》（GB16889-2008）中表2标准，</w:t>
            </w:r>
            <w:r>
              <w:rPr>
                <w:rFonts w:hint="default" w:ascii="Times New Roman" w:hAnsi="Times New Roman" w:eastAsia="宋体" w:cs="Times New Roman"/>
                <w:color w:val="000000" w:themeColor="text1"/>
                <w:sz w:val="24"/>
                <w:szCs w:val="24"/>
                <w14:textFill>
                  <w14:solidFill>
                    <w14:schemeClr w14:val="tx1"/>
                  </w14:solidFill>
                </w14:textFill>
              </w:rPr>
              <w:t xml:space="preserve">同时，该尾水能够满足《城市污水再生利用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绿地灌溉</w:t>
            </w:r>
            <w:r>
              <w:rPr>
                <w:rFonts w:hint="default" w:ascii="Times New Roman" w:hAnsi="Times New Roman" w:eastAsia="宋体" w:cs="Times New Roman"/>
                <w:color w:val="000000" w:themeColor="text1"/>
                <w:sz w:val="24"/>
                <w:szCs w:val="24"/>
                <w14:textFill>
                  <w14:solidFill>
                    <w14:schemeClr w14:val="tx1"/>
                  </w14:solidFill>
                </w14:textFill>
              </w:rPr>
              <w:t>水质》（GB2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5499</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）中浓度限值，可</w:t>
            </w:r>
            <w:r>
              <w:rPr>
                <w:rFonts w:hint="eastAsia" w:eastAsia="宋体" w:cs="Times New Roman"/>
                <w:color w:val="000000" w:themeColor="text1"/>
                <w:sz w:val="24"/>
                <w:szCs w:val="24"/>
                <w:lang w:eastAsia="zh-CN"/>
                <w14:textFill>
                  <w14:solidFill>
                    <w14:schemeClr w14:val="tx1"/>
                  </w14:solidFill>
                </w14:textFill>
              </w:rPr>
              <w:t>用于生活垃圾填埋场场区绿化</w:t>
            </w:r>
            <w:r>
              <w:rPr>
                <w:rFonts w:hint="default" w:ascii="Times New Roman" w:hAnsi="Times New Roman" w:eastAsia="宋体" w:cs="Times New Roman"/>
                <w:color w:val="000000" w:themeColor="text1"/>
                <w:sz w:val="24"/>
                <w:szCs w:val="24"/>
                <w14:textFill>
                  <w14:solidFill>
                    <w14:schemeClr w14:val="tx1"/>
                  </w14:solidFill>
                </w14:textFill>
              </w:rPr>
              <w:t>。</w:t>
            </w:r>
          </w:p>
          <w:p>
            <w:pPr>
              <w:autoSpaceDE w:val="0"/>
              <w:autoSpaceDN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拟建工程的所有</w:t>
            </w:r>
            <w:r>
              <w:rPr>
                <w:rFonts w:hint="eastAsia" w:eastAsia="宋体"/>
                <w:color w:val="000000" w:themeColor="text1"/>
                <w:sz w:val="24"/>
                <w:szCs w:val="24"/>
                <w14:textFill>
                  <w14:solidFill>
                    <w14:schemeClr w14:val="tx1"/>
                  </w14:solidFill>
                </w14:textFill>
              </w:rPr>
              <w:t>主体</w:t>
            </w:r>
            <w:r>
              <w:rPr>
                <w:rFonts w:eastAsia="宋体"/>
                <w:color w:val="000000" w:themeColor="text1"/>
                <w:sz w:val="24"/>
                <w:szCs w:val="24"/>
                <w14:textFill>
                  <w14:solidFill>
                    <w14:schemeClr w14:val="tx1"/>
                  </w14:solidFill>
                </w14:textFill>
              </w:rPr>
              <w:t>构筑物均按照重点污染防渗区进行防渗处理，正常情况下废水不会泄漏进入地下水含水层导致地下水污染</w:t>
            </w:r>
            <w:r>
              <w:rPr>
                <w:rFonts w:hint="eastAsia" w:eastAsia="宋体"/>
                <w:color w:val="000000" w:themeColor="text1"/>
                <w:sz w:val="24"/>
                <w:szCs w:val="24"/>
                <w14:textFill>
                  <w14:solidFill>
                    <w14:schemeClr w14:val="tx1"/>
                  </w14:solidFill>
                </w14:textFill>
              </w:rPr>
              <w:t>，已建垃圾填埋场按照《生活垃圾填埋场污染控制标准》（GB16889-2008）对填埋区进行防渗处理，因此处理达标水用于填埋区厂区洒水抑尘和绿化不会对地下水产生影响。</w:t>
            </w:r>
          </w:p>
          <w:p>
            <w:pPr>
              <w:autoSpaceDE w:val="0"/>
              <w:autoSpaceDN w:val="0"/>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本工程</w:t>
            </w:r>
            <w:r>
              <w:rPr>
                <w:rFonts w:eastAsia="宋体"/>
                <w:color w:val="000000" w:themeColor="text1"/>
                <w:sz w:val="24"/>
                <w:szCs w:val="24"/>
                <w14:textFill>
                  <w14:solidFill>
                    <w14:schemeClr w14:val="tx1"/>
                  </w14:solidFill>
                </w14:textFill>
              </w:rPr>
              <w:t>除渗滤液处理系统外加药间、配电房、鼓风机房、仓库和膜设备间等，按一般防渗区采取防渗措施；站内道路等简单防渗区采取水泥混凝土敷设地面，正常情况下废水不会泄漏进入地下水含水层导致地下水污染。</w:t>
            </w:r>
          </w:p>
          <w:p>
            <w:pPr>
              <w:autoSpaceDE w:val="0"/>
              <w:autoSpaceDN w:val="0"/>
              <w:spacing w:line="560" w:lineRule="exact"/>
              <w:ind w:firstLine="480" w:firstLineChars="200"/>
              <w:rPr>
                <w:rFonts w:eastAsia="宋体"/>
                <w:color w:val="000000" w:themeColor="text1"/>
                <w:kern w:val="0"/>
                <w:sz w:val="24"/>
                <w:szCs w:val="24"/>
                <w14:textFill>
                  <w14:solidFill>
                    <w14:schemeClr w14:val="tx1"/>
                  </w14:solidFill>
                </w14:textFill>
              </w:rPr>
            </w:pPr>
            <w:r>
              <w:rPr>
                <w:rFonts w:eastAsia="宋体"/>
                <w:color w:val="000000" w:themeColor="text1"/>
                <w:kern w:val="0"/>
                <w:sz w:val="24"/>
                <w:szCs w:val="24"/>
                <w14:textFill>
                  <w14:solidFill>
                    <w14:schemeClr w14:val="tx1"/>
                  </w14:solidFill>
                </w14:textFill>
              </w:rPr>
              <w:t>本项目对地下水可能产生污染的途径主要</w:t>
            </w:r>
            <w:r>
              <w:rPr>
                <w:rFonts w:hint="eastAsia" w:eastAsia="宋体"/>
                <w:color w:val="000000" w:themeColor="text1"/>
                <w:kern w:val="0"/>
                <w:sz w:val="24"/>
                <w:szCs w:val="24"/>
                <w14:textFill>
                  <w14:solidFill>
                    <w14:schemeClr w14:val="tx1"/>
                  </w14:solidFill>
                </w14:textFill>
              </w:rPr>
              <w:t>为</w:t>
            </w:r>
            <w:r>
              <w:rPr>
                <w:rFonts w:eastAsia="宋体"/>
                <w:color w:val="000000" w:themeColor="text1"/>
                <w:kern w:val="0"/>
                <w:sz w:val="24"/>
                <w:szCs w:val="24"/>
                <w14:textFill>
                  <w14:solidFill>
                    <w14:schemeClr w14:val="tx1"/>
                  </w14:solidFill>
                </w14:textFill>
              </w:rPr>
              <w:t>池体防渗措施出现故障，渗滤液渗入地下影响地下水。</w:t>
            </w:r>
          </w:p>
          <w:p>
            <w:pPr>
              <w:snapToGrid w:val="0"/>
              <w:spacing w:line="560" w:lineRule="exact"/>
              <w:ind w:firstLine="480" w:firstLineChars="200"/>
              <w:rPr>
                <w:rFonts w:eastAsia="宋体"/>
                <w:color w:val="000000" w:themeColor="text1"/>
                <w:kern w:val="0"/>
                <w:sz w:val="24"/>
                <w:szCs w:val="24"/>
                <w14:textFill>
                  <w14:solidFill>
                    <w14:schemeClr w14:val="tx1"/>
                  </w14:solidFill>
                </w14:textFill>
              </w:rPr>
            </w:pPr>
            <w:r>
              <w:rPr>
                <w:rFonts w:eastAsia="宋体"/>
                <w:color w:val="000000" w:themeColor="text1"/>
                <w:kern w:val="0"/>
                <w:sz w:val="24"/>
                <w:szCs w:val="24"/>
                <w14:textFill>
                  <w14:solidFill>
                    <w14:schemeClr w14:val="tx1"/>
                  </w14:solidFill>
                </w14:textFill>
              </w:rPr>
              <w:t>按照《环境影响评价技术导则—地下水环境》（HJ610-2016）要求，根据防渗参照的标准和规范，结合目前施工过程中的可操作性和技术水平，针对不同的防渗区域采用典型防渗措施如下，在具体设计中应根据实际情况在满足防渗标准的前提下作必要的调整。</w:t>
            </w:r>
          </w:p>
          <w:p>
            <w:pPr>
              <w:spacing w:line="560" w:lineRule="exact"/>
              <w:ind w:firstLine="480" w:firstLineChars="200"/>
              <w:rPr>
                <w:rFonts w:eastAsia="宋体"/>
                <w:bCs/>
                <w:color w:val="000000" w:themeColor="text1"/>
                <w:sz w:val="24"/>
                <w:szCs w:val="24"/>
                <w14:textFill>
                  <w14:solidFill>
                    <w14:schemeClr w14:val="tx1"/>
                  </w14:solidFill>
                </w14:textFill>
              </w:rPr>
            </w:pPr>
            <w:bookmarkStart w:id="4" w:name="_Toc479847552"/>
            <w:r>
              <w:rPr>
                <w:rFonts w:hint="eastAsia" w:eastAsia="宋体"/>
                <w:bCs/>
                <w:color w:val="000000" w:themeColor="text1"/>
                <w:sz w:val="24"/>
                <w:szCs w:val="24"/>
                <w14:textFill>
                  <w14:solidFill>
                    <w14:schemeClr w14:val="tx1"/>
                  </w14:solidFill>
                </w14:textFill>
              </w:rPr>
              <w:t>（1）</w:t>
            </w:r>
            <w:r>
              <w:rPr>
                <w:rFonts w:eastAsia="宋体"/>
                <w:bCs/>
                <w:color w:val="000000" w:themeColor="text1"/>
                <w:sz w:val="24"/>
                <w:szCs w:val="24"/>
                <w14:textFill>
                  <w14:solidFill>
                    <w14:schemeClr w14:val="tx1"/>
                  </w14:solidFill>
                </w14:textFill>
              </w:rPr>
              <w:t>源头防渗措施</w:t>
            </w:r>
            <w:bookmarkEnd w:id="4"/>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该项目源头控制措施主要为渗滤液处理工程防渗处理、减少管道跑、冒、滴、漏，以及降低废水泄漏的环境风险事故方面。</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对工艺及处理构筑物采取相应的措施，以防止和降低污染物的跑、冒、滴、漏，将污染物泄漏的环境风险事故降低到最低程度；做到污染物</w:t>
            </w:r>
            <w:r>
              <w:rPr>
                <w:rFonts w:hint="eastAsia" w:eastAsia="宋体"/>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早发现、早处理</w:t>
            </w:r>
            <w:r>
              <w:rPr>
                <w:rFonts w:hint="eastAsia" w:eastAsia="宋体"/>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，以减少可能造成的地下水污染。</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进行质量体系认证，实现</w:t>
            </w:r>
            <w:r>
              <w:rPr>
                <w:rFonts w:hint="eastAsia" w:eastAsia="宋体"/>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质量、安全、环境</w:t>
            </w:r>
            <w:r>
              <w:rPr>
                <w:rFonts w:hint="eastAsia" w:eastAsia="宋体"/>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三位一体的全面质量管理目标。设立地下水动态监测小组，负责对地下水环境监测和管理，或者委托专业的机构完成。建立有关规章制度和岗位责任制。制定风险预警方案，设立应急设施减少环境污染影响。</w:t>
            </w:r>
          </w:p>
          <w:p>
            <w:pPr>
              <w:spacing w:line="560" w:lineRule="exact"/>
              <w:ind w:firstLine="480" w:firstLineChars="200"/>
              <w:rPr>
                <w:rFonts w:eastAsia="宋体"/>
                <w:bCs/>
                <w:color w:val="000000" w:themeColor="text1"/>
                <w:sz w:val="24"/>
                <w:szCs w:val="24"/>
                <w14:textFill>
                  <w14:solidFill>
                    <w14:schemeClr w14:val="tx1"/>
                  </w14:solidFill>
                </w14:textFill>
              </w:rPr>
            </w:pPr>
            <w:bookmarkStart w:id="5" w:name="_Toc479847553"/>
            <w:r>
              <w:rPr>
                <w:rFonts w:hint="eastAsia" w:eastAsia="宋体"/>
                <w:bCs/>
                <w:color w:val="000000" w:themeColor="text1"/>
                <w:sz w:val="24"/>
                <w:szCs w:val="24"/>
                <w14:textFill>
                  <w14:solidFill>
                    <w14:schemeClr w14:val="tx1"/>
                  </w14:solidFill>
                </w14:textFill>
              </w:rPr>
              <w:t>（2）</w:t>
            </w:r>
            <w:r>
              <w:rPr>
                <w:rFonts w:eastAsia="宋体"/>
                <w:bCs/>
                <w:color w:val="000000" w:themeColor="text1"/>
                <w:sz w:val="24"/>
                <w:szCs w:val="24"/>
                <w14:textFill>
                  <w14:solidFill>
                    <w14:schemeClr w14:val="tx1"/>
                  </w14:solidFill>
                </w14:textFill>
              </w:rPr>
              <w:t>分区控制措施</w:t>
            </w:r>
            <w:bookmarkEnd w:id="5"/>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根据可能产生污染的地区，划分为重点污染</w:t>
            </w:r>
            <w:r>
              <w:rPr>
                <w:rFonts w:hint="eastAsia" w:eastAsia="宋体"/>
                <w:color w:val="000000" w:themeColor="text1"/>
                <w:sz w:val="24"/>
                <w:szCs w:val="24"/>
                <w14:textFill>
                  <w14:solidFill>
                    <w14:schemeClr w14:val="tx1"/>
                  </w14:solidFill>
                </w14:textFill>
              </w:rPr>
              <w:t>防渗</w:t>
            </w:r>
            <w:r>
              <w:rPr>
                <w:rFonts w:eastAsia="宋体"/>
                <w:color w:val="000000" w:themeColor="text1"/>
                <w:sz w:val="24"/>
                <w:szCs w:val="24"/>
                <w14:textFill>
                  <w14:solidFill>
                    <w14:schemeClr w14:val="tx1"/>
                  </w14:solidFill>
                </w14:textFill>
              </w:rPr>
              <w:t>区、一般污染</w:t>
            </w:r>
            <w:r>
              <w:rPr>
                <w:rFonts w:hint="eastAsia" w:eastAsia="宋体"/>
                <w:color w:val="000000" w:themeColor="text1"/>
                <w:sz w:val="24"/>
                <w:szCs w:val="24"/>
                <w14:textFill>
                  <w14:solidFill>
                    <w14:schemeClr w14:val="tx1"/>
                  </w14:solidFill>
                </w14:textFill>
              </w:rPr>
              <w:t>防渗</w:t>
            </w:r>
            <w:r>
              <w:rPr>
                <w:rFonts w:eastAsia="宋体"/>
                <w:color w:val="000000" w:themeColor="text1"/>
                <w:sz w:val="24"/>
                <w:szCs w:val="24"/>
                <w14:textFill>
                  <w14:solidFill>
                    <w14:schemeClr w14:val="tx1"/>
                  </w14:solidFill>
                </w14:textFill>
              </w:rPr>
              <w:t>区。</w:t>
            </w:r>
          </w:p>
          <w:p>
            <w:pPr>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重点</w:t>
            </w:r>
            <w:r>
              <w:rPr>
                <w:rFonts w:eastAsia="宋体"/>
                <w:color w:val="000000" w:themeColor="text1"/>
                <w:kern w:val="0"/>
                <w:sz w:val="24"/>
                <w:szCs w:val="24"/>
                <w14:textFill>
                  <w14:solidFill>
                    <w14:schemeClr w14:val="tx1"/>
                  </w14:solidFill>
                </w14:textFill>
              </w:rPr>
              <w:t>防渗</w:t>
            </w:r>
            <w:r>
              <w:rPr>
                <w:rFonts w:eastAsia="宋体"/>
                <w:color w:val="000000" w:themeColor="text1"/>
                <w:sz w:val="24"/>
                <w:szCs w:val="24"/>
                <w14:textFill>
                  <w14:solidFill>
                    <w14:schemeClr w14:val="tx1"/>
                  </w14:solidFill>
                </w14:textFill>
              </w:rPr>
              <w:t>区</w:t>
            </w:r>
            <w:r>
              <w:rPr>
                <w:rFonts w:eastAsia="宋体"/>
                <w:color w:val="000000" w:themeColor="text1"/>
                <w:sz w:val="24"/>
                <w:szCs w:val="24"/>
                <w:lang w:val="en-GB"/>
                <w14:textFill>
                  <w14:solidFill>
                    <w14:schemeClr w14:val="tx1"/>
                  </w14:solidFill>
                </w14:textFill>
              </w:rPr>
              <w:t>包括调节池</w:t>
            </w:r>
            <w:r>
              <w:rPr>
                <w:rFonts w:eastAsia="宋体"/>
                <w:color w:val="000000" w:themeColor="text1"/>
                <w:sz w:val="24"/>
                <w:szCs w:val="24"/>
                <w14:textFill>
                  <w14:solidFill>
                    <w14:schemeClr w14:val="tx1"/>
                  </w14:solidFill>
                </w14:textFill>
              </w:rPr>
              <w:t>、MBR综合池、污泥池等</w:t>
            </w:r>
            <w:r>
              <w:rPr>
                <w:rFonts w:eastAsia="宋体"/>
                <w:color w:val="000000" w:themeColor="text1"/>
                <w:sz w:val="24"/>
                <w:szCs w:val="24"/>
                <w:lang w:val="en-GB"/>
                <w14:textFill>
                  <w14:solidFill>
                    <w14:schemeClr w14:val="tx1"/>
                  </w14:solidFill>
                </w14:textFill>
              </w:rPr>
              <w:t>，</w:t>
            </w:r>
            <w:r>
              <w:rPr>
                <w:rFonts w:eastAsia="宋体"/>
                <w:color w:val="000000" w:themeColor="text1"/>
                <w:sz w:val="24"/>
                <w:szCs w:val="24"/>
                <w14:textFill>
                  <w14:solidFill>
                    <w14:schemeClr w14:val="tx1"/>
                  </w14:solidFill>
                </w14:textFill>
              </w:rPr>
              <w:t>在运行过程中可能发生渗漏，并会对地下水水质造成污染的装置区有必要进行重点防渗，其防渗层要求不低于</w:t>
            </w:r>
            <w:r>
              <w:rPr>
                <w:rFonts w:hint="eastAsia" w:eastAsia="宋体"/>
                <w:color w:val="000000" w:themeColor="text1"/>
                <w:sz w:val="24"/>
                <w:szCs w:val="24"/>
                <w14:textFill>
                  <w14:solidFill>
                    <w14:schemeClr w14:val="tx1"/>
                  </w14:solidFill>
                </w14:textFill>
              </w:rPr>
              <w:t>6</w:t>
            </w:r>
            <w:r>
              <w:rPr>
                <w:rFonts w:eastAsia="宋体"/>
                <w:color w:val="000000" w:themeColor="text1"/>
                <w:sz w:val="24"/>
                <w:szCs w:val="24"/>
                <w14:textFill>
                  <w14:solidFill>
                    <w14:schemeClr w14:val="tx1"/>
                  </w14:solidFill>
                </w14:textFill>
              </w:rPr>
              <w:t>.0m厚渗透系数1×10</w:t>
            </w:r>
            <w:r>
              <w:rPr>
                <w:rFonts w:eastAsia="宋体"/>
                <w:color w:val="000000" w:themeColor="text1"/>
                <w:sz w:val="24"/>
                <w:szCs w:val="24"/>
                <w:vertAlign w:val="superscript"/>
                <w14:textFill>
                  <w14:solidFill>
                    <w14:schemeClr w14:val="tx1"/>
                  </w14:solidFill>
                </w14:textFill>
              </w:rPr>
              <w:t>-</w:t>
            </w:r>
            <w:r>
              <w:rPr>
                <w:rFonts w:hint="eastAsia" w:eastAsia="宋体"/>
                <w:color w:val="000000" w:themeColor="text1"/>
                <w:sz w:val="24"/>
                <w:szCs w:val="24"/>
                <w:vertAlign w:val="superscript"/>
                <w14:textFill>
                  <w14:solidFill>
                    <w14:schemeClr w14:val="tx1"/>
                  </w14:solidFill>
                </w14:textFill>
              </w:rPr>
              <w:t>7</w:t>
            </w:r>
            <w:r>
              <w:rPr>
                <w:rFonts w:eastAsia="宋体"/>
                <w:color w:val="000000" w:themeColor="text1"/>
                <w:sz w:val="24"/>
                <w:szCs w:val="24"/>
                <w14:textFill>
                  <w14:solidFill>
                    <w14:schemeClr w14:val="tx1"/>
                  </w14:solidFill>
                </w14:textFill>
              </w:rPr>
              <w:t>cm/s的等效黏土层的防渗性能。</w:t>
            </w:r>
          </w:p>
          <w:p>
            <w:pPr>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一般防渗区</w:t>
            </w:r>
            <w:r>
              <w:rPr>
                <w:rFonts w:eastAsia="宋体"/>
                <w:color w:val="000000" w:themeColor="text1"/>
                <w:kern w:val="0"/>
                <w:sz w:val="24"/>
                <w:szCs w:val="24"/>
                <w14:textFill>
                  <w14:solidFill>
                    <w14:schemeClr w14:val="tx1"/>
                  </w14:solidFill>
                </w14:textFill>
              </w:rPr>
              <w:t>包括</w:t>
            </w:r>
            <w:r>
              <w:rPr>
                <w:rFonts w:hint="eastAsia" w:eastAsia="宋体"/>
                <w:color w:val="000000" w:themeColor="text1"/>
                <w:sz w:val="24"/>
                <w:szCs w:val="24"/>
                <w14:textFill>
                  <w14:solidFill>
                    <w14:schemeClr w14:val="tx1"/>
                  </w14:solidFill>
                </w14:textFill>
              </w:rPr>
              <w:t>综合用房</w:t>
            </w:r>
            <w:r>
              <w:rPr>
                <w:rFonts w:eastAsia="宋体"/>
                <w:color w:val="000000" w:themeColor="text1"/>
                <w:sz w:val="24"/>
                <w:szCs w:val="24"/>
                <w14:textFill>
                  <w14:solidFill>
                    <w14:schemeClr w14:val="tx1"/>
                  </w14:solidFill>
                </w14:textFill>
              </w:rPr>
              <w:t>等，</w:t>
            </w:r>
            <w:r>
              <w:rPr>
                <w:rFonts w:eastAsia="宋体"/>
                <w:color w:val="000000" w:themeColor="text1"/>
                <w:sz w:val="24"/>
                <w:szCs w:val="24"/>
                <w:lang w:val="en-GB"/>
                <w14:textFill>
                  <w14:solidFill>
                    <w14:schemeClr w14:val="tx1"/>
                  </w14:solidFill>
                </w14:textFill>
              </w:rPr>
              <w:t>防渗层要求不低于</w:t>
            </w:r>
            <w:r>
              <w:rPr>
                <w:rFonts w:eastAsia="宋体"/>
                <w:color w:val="000000" w:themeColor="text1"/>
                <w:sz w:val="24"/>
                <w:szCs w:val="24"/>
                <w14:textFill>
                  <w14:solidFill>
                    <w14:schemeClr w14:val="tx1"/>
                  </w14:solidFill>
                </w14:textFill>
              </w:rPr>
              <w:t>1.5m厚渗透系数1×10</w:t>
            </w:r>
            <w:r>
              <w:rPr>
                <w:rFonts w:eastAsia="宋体"/>
                <w:color w:val="000000" w:themeColor="text1"/>
                <w:sz w:val="24"/>
                <w:szCs w:val="24"/>
                <w:vertAlign w:val="superscript"/>
                <w14:textFill>
                  <w14:solidFill>
                    <w14:schemeClr w14:val="tx1"/>
                  </w14:solidFill>
                </w14:textFill>
              </w:rPr>
              <w:t>-7</w:t>
            </w:r>
            <w:r>
              <w:rPr>
                <w:rFonts w:eastAsia="宋体"/>
                <w:color w:val="000000" w:themeColor="text1"/>
                <w:sz w:val="24"/>
                <w:szCs w:val="24"/>
                <w14:textFill>
                  <w14:solidFill>
                    <w14:schemeClr w14:val="tx1"/>
                  </w14:solidFill>
                </w14:textFill>
              </w:rPr>
              <w:t>cm/s的等效黏土层的防渗性能。</w:t>
            </w:r>
          </w:p>
          <w:p>
            <w:pPr>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重点防渗区和一般防渗区之外的区域为简单防渗区，只需要进行一般地面硬化即可。</w:t>
            </w:r>
          </w:p>
          <w:p>
            <w:pPr>
              <w:snapToGrid w:val="0"/>
              <w:spacing w:line="560" w:lineRule="exact"/>
              <w:ind w:firstLine="480" w:firstLineChars="200"/>
              <w:rPr>
                <w:rFonts w:eastAsia="宋体"/>
                <w:color w:val="000000" w:themeColor="text1"/>
                <w:kern w:val="0"/>
                <w:sz w:val="24"/>
                <w:szCs w:val="24"/>
                <w14:textFill>
                  <w14:solidFill>
                    <w14:schemeClr w14:val="tx1"/>
                  </w14:solidFill>
                </w14:textFill>
              </w:rPr>
            </w:pPr>
            <w:r>
              <w:rPr>
                <w:rFonts w:hint="eastAsia" w:eastAsia="宋体"/>
                <w:color w:val="000000" w:themeColor="text1"/>
                <w:kern w:val="0"/>
                <w:sz w:val="24"/>
                <w:szCs w:val="24"/>
                <w14:textFill>
                  <w14:solidFill>
                    <w14:schemeClr w14:val="tx1"/>
                  </w14:solidFill>
                </w14:textFill>
              </w:rPr>
              <w:t>（3）</w:t>
            </w:r>
            <w:r>
              <w:rPr>
                <w:rFonts w:eastAsia="宋体"/>
                <w:color w:val="000000" w:themeColor="text1"/>
                <w:kern w:val="0"/>
                <w:sz w:val="24"/>
                <w:szCs w:val="24"/>
                <w14:textFill>
                  <w14:solidFill>
                    <w14:schemeClr w14:val="tx1"/>
                  </w14:solidFill>
                </w14:textFill>
              </w:rPr>
              <w:t>地下水污染监控</w:t>
            </w:r>
          </w:p>
          <w:p>
            <w:pPr>
              <w:spacing w:line="560" w:lineRule="exact"/>
              <w:ind w:firstLine="480" w:firstLineChars="200"/>
              <w:rPr>
                <w:rFonts w:hint="eastAsia" w:eastAsia="宋体"/>
                <w:color w:val="000000" w:themeColor="text1"/>
                <w:sz w:val="24"/>
                <w:szCs w:val="24"/>
                <w:lang w:val="en-US" w:eastAsia="zh-CN"/>
                <w14:textFill>
                  <w14:solidFill>
                    <w14:schemeClr w14:val="tx1"/>
                  </w14:solidFill>
                </w14:textFill>
              </w:rPr>
            </w:pPr>
            <w:r>
              <w:rPr>
                <w:rFonts w:eastAsia="宋体"/>
                <w:color w:val="000000" w:themeColor="text1"/>
                <w:sz w:val="24"/>
                <w:szCs w:val="24"/>
                <w:lang w:val="zh-CN"/>
                <w14:textFill>
                  <w14:solidFill>
                    <w14:schemeClr w14:val="tx1"/>
                  </w14:solidFill>
                </w14:textFill>
              </w:rPr>
              <w:t>建立覆盖全区的地下水长期监控系统，包括科学、合理地设置地下水污染监控井，建立完善的监测制度，配备先进的检测仪器和设备。本项目地下水环境监测主要参考《地下水环境监测技术规范》（HJ/T164-2004）和《环境影响评价技术导则 地下水环境》（HJ610-2016），结合厂址区域地下水补径排特征，考虑潜在污染源、环境保护目标等因素，</w:t>
            </w:r>
            <w:r>
              <w:rPr>
                <w:rFonts w:hint="eastAsia" w:eastAsia="宋体"/>
                <w:color w:val="000000" w:themeColor="text1"/>
                <w:sz w:val="24"/>
                <w:szCs w:val="24"/>
                <w:lang w:val="en-US" w:eastAsia="zh-CN"/>
                <w14:textFill>
                  <w14:solidFill>
                    <w14:schemeClr w14:val="tx1"/>
                  </w14:solidFill>
                </w14:textFill>
              </w:rPr>
              <w:t>布设监测井。</w:t>
            </w:r>
          </w:p>
          <w:p>
            <w:pPr>
              <w:spacing w:line="560" w:lineRule="exact"/>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根据</w:t>
            </w:r>
            <w:r>
              <w:rPr>
                <w:rFonts w:hint="eastAsia" w:eastAsia="宋体"/>
                <w:color w:val="000000" w:themeColor="text1"/>
                <w:sz w:val="24"/>
                <w:szCs w:val="24"/>
                <w:lang w:val="zh-CN" w:eastAsia="zh-CN"/>
                <w14:textFill>
                  <w14:solidFill>
                    <w14:schemeClr w14:val="tx1"/>
                  </w14:solidFill>
                </w14:textFill>
              </w:rPr>
              <w:t>区域地下水水文地质情况，</w:t>
            </w:r>
            <w:r>
              <w:rPr>
                <w:rFonts w:hint="eastAsia" w:eastAsia="宋体"/>
                <w:color w:val="000000" w:themeColor="text1"/>
                <w:sz w:val="24"/>
                <w:szCs w:val="24"/>
                <w:lang w:val="en-US" w:eastAsia="zh-CN"/>
                <w14:textFill>
                  <w14:solidFill>
                    <w14:schemeClr w14:val="tx1"/>
                  </w14:solidFill>
                </w14:textFill>
              </w:rPr>
              <w:t>项目区地下水流向为南向北方向，渗滤液处理区位于垃圾填埋场填埋区的下游。</w:t>
            </w:r>
          </w:p>
          <w:p>
            <w:pPr>
              <w:spacing w:line="560" w:lineRule="exact"/>
              <w:ind w:firstLine="480" w:firstLineChars="200"/>
              <w:rPr>
                <w:rFonts w:hint="default"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①垃圾填埋场现有监测井</w:t>
            </w:r>
          </w:p>
          <w:p>
            <w:pPr>
              <w:spacing w:line="560" w:lineRule="exact"/>
              <w:ind w:firstLine="480" w:firstLineChars="200"/>
              <w:rPr>
                <w:rFonts w:hint="default" w:eastAsia="宋体"/>
                <w:bCs/>
                <w:snapToGrid w:val="0"/>
                <w:color w:val="000000" w:themeColor="text1"/>
                <w:kern w:val="0"/>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垃圾填埋场现状监测井为</w:t>
            </w:r>
            <w:r>
              <w:rPr>
                <w:rFonts w:eastAsia="宋体"/>
                <w:color w:val="000000" w:themeColor="text1"/>
                <w:sz w:val="24"/>
                <w:szCs w:val="24"/>
                <w:lang w:val="zh-CN"/>
                <w14:textFill>
                  <w14:solidFill>
                    <w14:schemeClr w14:val="tx1"/>
                  </w14:solidFill>
                </w14:textFill>
              </w:rPr>
              <w:t>利用垃圾填埋场</w:t>
            </w:r>
            <w:r>
              <w:rPr>
                <w:rFonts w:hint="eastAsia" w:eastAsia="宋体"/>
                <w:color w:val="000000" w:themeColor="text1"/>
                <w:sz w:val="24"/>
                <w:szCs w:val="24"/>
                <w:lang w:val="zh-CN"/>
                <w14:textFill>
                  <w14:solidFill>
                    <w14:schemeClr w14:val="tx1"/>
                  </w14:solidFill>
                </w14:textFill>
              </w:rPr>
              <w:t>周边</w:t>
            </w:r>
            <w:r>
              <w:rPr>
                <w:rFonts w:eastAsia="宋体"/>
                <w:color w:val="000000" w:themeColor="text1"/>
                <w:sz w:val="24"/>
                <w:szCs w:val="24"/>
                <w:lang w:val="zh-CN"/>
                <w14:textFill>
                  <w14:solidFill>
                    <w14:schemeClr w14:val="tx1"/>
                  </w14:solidFill>
                </w14:textFill>
              </w:rPr>
              <w:t>现有的地下水监控井做监控井。</w:t>
            </w:r>
            <w:r>
              <w:rPr>
                <w:rFonts w:hint="eastAsia" w:eastAsia="宋体"/>
                <w:bCs/>
                <w:snapToGrid w:val="0"/>
                <w:color w:val="000000" w:themeColor="text1"/>
                <w:kern w:val="0"/>
                <w:sz w:val="24"/>
                <w:szCs w:val="24"/>
                <w:lang w:val="en-US" w:eastAsia="zh-CN"/>
                <w14:textFill>
                  <w14:solidFill>
                    <w14:schemeClr w14:val="tx1"/>
                  </w14:solidFill>
                </w14:textFill>
              </w:rPr>
              <w:t>项目根据玛纳斯生活垃圾填埋场环境影响评价报告书的要求，地下水监测共布设6眼监控井，本底井设在填埋场南侧下兰村饮水井（1#井），污染扩散井设在北侧度假村院内（2#井），污染监视井分别设在场区东侧和西侧、东南侧、西北侧的农灌井（3#-6#井）。监测井点位见图14。</w:t>
            </w:r>
          </w:p>
          <w:p>
            <w:pPr>
              <w:keepNext w:val="0"/>
              <w:keepLines w:val="0"/>
              <w:widowControl/>
              <w:suppressLineNumbers w:val="0"/>
              <w:jc w:val="left"/>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5024120</wp:posOffset>
                      </wp:positionH>
                      <wp:positionV relativeFrom="paragraph">
                        <wp:posOffset>76200</wp:posOffset>
                      </wp:positionV>
                      <wp:extent cx="485775" cy="36131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485775" cy="361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6pt;margin-top:6pt;height:28.45pt;width:38.25pt;z-index:251729920;mso-width-relative:page;mso-height-relative:page;" filled="f" stroked="f" coordsize="21600,21600" o:gfxdata="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Iem&#10;YNoAAAAJAQAADwAAAAAAAAABACAAAAAiAAAAZHJzL2Rvd25yZXYueG1sUEsBAhQAFAAAAAgAh07i&#10;QCHbRj8gAgAAGQQAAA4AAAAAAAAAAQAgAAAAKQEAAGRycy9lMm9Eb2MueG1sUEsFBgAAAAAGAAYA&#10;WQEAALsFAAAAAA==&#10;">
                      <v:fill on="f" focussize="0,0"/>
                      <v:stroke on="f" weight="0.5pt"/>
                      <v:imagedata o:title=""/>
                      <o:lock v:ext="edit" aspectratio="f"/>
                      <v:textbox>
                        <w:txbxContent>
                          <w:p>
                            <w:pPr>
                              <w:rPr>
                                <w:rFonts w:hint="default"/>
                                <w:lang w:val="en-US" w:eastAsia="zh-CN"/>
                              </w:rPr>
                            </w:pPr>
                            <w:r>
                              <w:rPr>
                                <w:rFonts w:hint="eastAsia"/>
                                <w:lang w:val="en-US" w:eastAsia="zh-CN"/>
                              </w:rPr>
                              <w:t>N</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5024120</wp:posOffset>
                      </wp:positionH>
                      <wp:positionV relativeFrom="paragraph">
                        <wp:posOffset>95250</wp:posOffset>
                      </wp:positionV>
                      <wp:extent cx="0" cy="428625"/>
                      <wp:effectExtent l="48895" t="0" r="57785" b="13335"/>
                      <wp:wrapNone/>
                      <wp:docPr id="37" name="直接箭头连接符 37"/>
                      <wp:cNvGraphicFramePr/>
                      <a:graphic xmlns:a="http://schemas.openxmlformats.org/drawingml/2006/main">
                        <a:graphicData uri="http://schemas.microsoft.com/office/word/2010/wordprocessingShape">
                          <wps:wsp>
                            <wps:cNvCnPr/>
                            <wps:spPr>
                              <a:xfrm flipV="1">
                                <a:off x="5992495" y="3505200"/>
                                <a:ext cx="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95.6pt;margin-top:7.5pt;height:33.75pt;width:0pt;z-index:251694080;mso-width-relative:page;mso-height-relative:page;" filled="f" stroked="t" coordsize="21600,21600" o:gfxdata="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iIxUrYAAAACQEAAA8AAAAAAAAAAQAg&#10;AAAAIgAAAGRycy9kb3ducmV2LnhtbFBLAQIUABQAAAAIAIdO4kAwFzNmDgIAAMkDAAAOAAAAAAAA&#10;AAEAIAAAACcBAABkcnMvZTJvRG9jLnhtbFBLBQYAAAAABgAGAFkBAACnBQAAAAA=&#10;">
                      <v:fill on="f" focussize="0,0"/>
                      <v:stroke color="#4A7EBB [3204]" joinstyle="round"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3395345</wp:posOffset>
                      </wp:positionH>
                      <wp:positionV relativeFrom="paragraph">
                        <wp:posOffset>85725</wp:posOffset>
                      </wp:positionV>
                      <wp:extent cx="1104265" cy="361315"/>
                      <wp:effectExtent l="0" t="0" r="8255" b="4445"/>
                      <wp:wrapNone/>
                      <wp:docPr id="34" name="文本框 34"/>
                      <wp:cNvGraphicFramePr/>
                      <a:graphic xmlns:a="http://schemas.openxmlformats.org/drawingml/2006/main">
                        <a:graphicData uri="http://schemas.microsoft.com/office/word/2010/wordprocessingShape">
                          <wps:wsp>
                            <wps:cNvSpPr txBox="1"/>
                            <wps:spPr>
                              <a:xfrm>
                                <a:off x="3687445" y="4457700"/>
                                <a:ext cx="1104265" cy="361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仿宋_GB2312"/>
                                      <w:color w:val="FF0000"/>
                                      <w:sz w:val="21"/>
                                      <w:szCs w:val="21"/>
                                      <w:lang w:val="en-US" w:eastAsia="zh-CN"/>
                                    </w:rPr>
                                  </w:pPr>
                                  <w:r>
                                    <w:rPr>
                                      <w:rFonts w:hint="eastAsia"/>
                                      <w:color w:val="FF0000"/>
                                      <w:sz w:val="21"/>
                                      <w:szCs w:val="21"/>
                                      <w:lang w:val="en-US" w:eastAsia="zh-CN"/>
                                    </w:rPr>
                                    <w:t>地下水流方向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35pt;margin-top:6.75pt;height:28.45pt;width:86.95pt;z-index:251693056;mso-width-relative:page;mso-height-relative:page;" filled="f" stroked="f" coordsize="21600,21600" o:gfxdata="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8VWaTaAAAACQEAAA8AAAAAAAAAAQAgAAAAIgAAAGRycy9kb3ducmV2LnhtbFBLAQIU&#10;ABQAAAAIAIdO4kAsMUL6KgIAACYEAAAOAAAAAAAAAAEAIAAAACkBAABkcnMvZTJvRG9jLnhtbFBL&#10;BQYAAAAABgAGAFkBAADFBQAAAAA=&#10;">
                      <v:fill on="f" focussize="0,0"/>
                      <v:stroke on="f" weight="0.5pt"/>
                      <v:imagedata o:title=""/>
                      <o:lock v:ext="edit" aspectratio="f"/>
                      <v:textbox>
                        <w:txbxContent>
                          <w:p>
                            <w:pPr>
                              <w:rPr>
                                <w:rFonts w:hint="default" w:eastAsia="仿宋_GB2312"/>
                                <w:color w:val="FF0000"/>
                                <w:sz w:val="21"/>
                                <w:szCs w:val="21"/>
                                <w:lang w:val="en-US" w:eastAsia="zh-CN"/>
                              </w:rPr>
                            </w:pPr>
                            <w:r>
                              <w:rPr>
                                <w:rFonts w:hint="eastAsia"/>
                                <w:color w:val="FF0000"/>
                                <w:sz w:val="21"/>
                                <w:szCs w:val="21"/>
                                <w:lang w:val="en-US" w:eastAsia="zh-CN"/>
                              </w:rPr>
                              <w:t>地下水流方向</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2623820</wp:posOffset>
                      </wp:positionH>
                      <wp:positionV relativeFrom="paragraph">
                        <wp:posOffset>123825</wp:posOffset>
                      </wp:positionV>
                      <wp:extent cx="28575" cy="2667000"/>
                      <wp:effectExtent l="48260" t="0" r="29845" b="0"/>
                      <wp:wrapNone/>
                      <wp:docPr id="24" name="直接箭头连接符 24"/>
                      <wp:cNvGraphicFramePr/>
                      <a:graphic xmlns:a="http://schemas.openxmlformats.org/drawingml/2006/main">
                        <a:graphicData uri="http://schemas.microsoft.com/office/word/2010/wordprocessingShape">
                          <wps:wsp>
                            <wps:cNvCnPr/>
                            <wps:spPr>
                              <a:xfrm flipH="1" flipV="1">
                                <a:off x="3592195" y="3533775"/>
                                <a:ext cx="28575" cy="2667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06.6pt;margin-top:9.75pt;height:210pt;width:2.25pt;z-index:251692032;mso-width-relative:page;mso-height-relative:page;" filled="f" stroked="t" coordsize="21600,21600" o:gfxdata="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XTAktoAAAAKAQAADwAAAAAAAAABACAAAAAiAAAAZHJzL2Rvd25y&#10;ZXYueG1sUEsBAhQAFAAAAAgAh07iQIt7Dsj8AQAAnwMAAA4AAAAAAAAAAQAgAAAAKQEAAGRycy9l&#10;Mm9Eb2MueG1sUEsFBgAAAAAGAAYAWQEAAJcFAAAAAA==&#10;">
                      <v:fill on="f" focussize="0,0"/>
                      <v:stroke color="#FF0000 [3204]" joinstyle="round" endarrow="open"/>
                      <v:imagedata o:title=""/>
                      <o:lock v:ext="edit" aspectratio="f"/>
                    </v:shape>
                  </w:pict>
                </mc:Fallback>
              </mc:AlternateContent>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5643880" cy="2903220"/>
                  <wp:effectExtent l="0" t="0" r="10160" b="7620"/>
                  <wp:docPr id="3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6"/>
                          <pic:cNvPicPr>
                            <a:picLocks noChangeAspect="1"/>
                          </pic:cNvPicPr>
                        </pic:nvPicPr>
                        <pic:blipFill>
                          <a:blip r:embed="rId21"/>
                          <a:stretch>
                            <a:fillRect/>
                          </a:stretch>
                        </pic:blipFill>
                        <pic:spPr>
                          <a:xfrm>
                            <a:off x="0" y="0"/>
                            <a:ext cx="5643880" cy="2903220"/>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snapToGrid w:val="0"/>
              <w:spacing w:line="520" w:lineRule="exact"/>
              <w:ind w:firstLine="480"/>
              <w:jc w:val="center"/>
              <w:textAlignment w:val="auto"/>
              <w:rPr>
                <w:rFonts w:hint="eastAsia" w:eastAsia="宋体"/>
                <w:b/>
                <w:bCs w:val="0"/>
                <w:snapToGrid w:val="0"/>
                <w:color w:val="000000" w:themeColor="text1"/>
                <w:kern w:val="0"/>
                <w:sz w:val="21"/>
                <w:szCs w:val="21"/>
                <w:lang w:val="en-US" w:eastAsia="zh-CN"/>
                <w14:textFill>
                  <w14:solidFill>
                    <w14:schemeClr w14:val="tx1"/>
                  </w14:solidFill>
                </w14:textFill>
              </w:rPr>
            </w:pPr>
            <w:r>
              <w:rPr>
                <w:rFonts w:hint="eastAsia" w:eastAsia="宋体"/>
                <w:b/>
                <w:bCs w:val="0"/>
                <w:snapToGrid w:val="0"/>
                <w:color w:val="000000" w:themeColor="text1"/>
                <w:kern w:val="0"/>
                <w:sz w:val="21"/>
                <w:szCs w:val="21"/>
                <w:lang w:val="en-US" w:eastAsia="zh-CN"/>
                <w14:textFill>
                  <w14:solidFill>
                    <w14:schemeClr w14:val="tx1"/>
                  </w14:solidFill>
                </w14:textFill>
              </w:rPr>
              <w:t>图14  现状地下水监测井点位图</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按照《生活垃圾填埋场污染控制标准》（</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GB16899-2008</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）规定，在填埋场内设置渗滤液监测井，以检测渗滤液深度，确保运行期内防渗衬层上的渗滤液深度不能大于</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30cm</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；同时结合场址处地下水流向，在垃圾填埋区周边最少设五座污染监测井，随时监测填埋场对地下水的影响。</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现有</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6座污染监测井分别为：</w:t>
            </w:r>
          </w:p>
          <w:p>
            <w:pPr>
              <w:pageBreakBefore w:val="0"/>
              <w:widowControl w:val="0"/>
              <w:numPr>
                <w:ilvl w:val="0"/>
                <w:numId w:val="0"/>
              </w:numPr>
              <w:kinsoku/>
              <w:wordWrap/>
              <w:overflowPunct/>
              <w:topLinePunct w:val="0"/>
              <w:bidi w:val="0"/>
              <w:spacing w:line="520" w:lineRule="exact"/>
              <w:ind w:firstLine="480" w:firstLine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本底井</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 xml:space="preserve">1 </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眼（填埋场南侧下兰村饮水井），</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位于地下水流的上游，</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用于监测地下水流上游的背景值，监测层位为孔隙裂隙含水层。污染扩散井1眼（北侧度假村院内2#井），垂直地下水走向的（填埋场北侧）10</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 xml:space="preserve">0m </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处，井深</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30-50m</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，用以监测污水的扩散情况，监测层位为孔隙裂隙含水层。监视井4眼（东侧和西侧、东南侧、西北侧的农灌井3#-6#井），分别设在填埋场</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地下水流的</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下游1000-1500m</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处，井深</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30-50m</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，用于监测场区下游地下水的污染情况；并在其地下水受到污染时，大量抽取地下水控制地下水流场、排出污水、截流污染物以减轻对地下水水质的影响。</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综上，1#井为本底井，2#井为污染扩散井，3#-6#四眼井为监视井，</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地下水监测点位监测数据</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具有</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代表性。</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②</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本项目监测井设置</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为及时发现地下水水质变化，应加强对场址地下水动态的监测，按照《生活垃圾填埋污染控制标准》（GB16889-2008）中的有关要求，地下水不应少于6个监测井，其中包括本底井1个，排水井1个，污染扩散井2个、污染监视井2个。本底井监测点1个：设在填埋场地下水流向上游30-50m；排水井监测点1个：设在填埋场地下水主管出口处；污染扩散井监测点2个：分别设在垂直填埋场地下水走向的两侧各30-50m；污染监视井监测点2个：分别设在填埋场地下水流向下游30m处和50m处。监测井深不小于</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25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井深</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30-50m</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因为附近相对较易污染的是浅层地下水，以第四系潜水为主要监测对象，监测层位为孔隙裂隙含水层。</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按照《生活垃圾填埋污染控制标准》（GB16889-2008）中的有关要求定期对下游水井进行水样的抽检，确保建设项目运行期间不对地下水造成影响。如发现有渗漏现象，可采取如下补救措施：截污坝部分由于止水板及水泥帷幕灌浆位于坝前，可进行补救灌浆；截渗墙部分由截渗墙顶钻孔进行补救灌浆。</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（4）</w:t>
            </w:r>
            <w:r>
              <w:rPr>
                <w:rFonts w:eastAsia="宋体"/>
                <w:bCs/>
                <w:color w:val="000000" w:themeColor="text1"/>
                <w:sz w:val="24"/>
                <w:szCs w:val="24"/>
                <w14:textFill>
                  <w14:solidFill>
                    <w14:schemeClr w14:val="tx1"/>
                  </w14:solidFill>
                </w14:textFill>
              </w:rPr>
              <w:t>应急治理措施</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在突发地下水污染事故情况下，建议采取以下应急管理措施，以保护地下水环境：</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fldChar w:fldCharType="begin"/>
            </w:r>
            <w:r>
              <w:rPr>
                <w:rFonts w:eastAsia="宋体"/>
                <w:color w:val="000000" w:themeColor="text1"/>
                <w:sz w:val="24"/>
                <w:szCs w:val="24"/>
                <w14:textFill>
                  <w14:solidFill>
                    <w14:schemeClr w14:val="tx1"/>
                  </w14:solidFill>
                </w14:textFill>
              </w:rPr>
              <w:instrText xml:space="preserve"> </w:instrText>
            </w:r>
            <w:r>
              <w:rPr>
                <w:rFonts w:hint="eastAsia" w:eastAsia="宋体"/>
                <w:color w:val="000000" w:themeColor="text1"/>
                <w:sz w:val="24"/>
                <w:szCs w:val="24"/>
                <w14:textFill>
                  <w14:solidFill>
                    <w14:schemeClr w14:val="tx1"/>
                  </w14:solidFill>
                </w14:textFill>
              </w:rPr>
              <w:instrText xml:space="preserve">= 1 \* GB3</w:instrText>
            </w:r>
            <w:r>
              <w:rPr>
                <w:rFonts w:eastAsia="宋体"/>
                <w:color w:val="000000" w:themeColor="text1"/>
                <w:sz w:val="24"/>
                <w:szCs w:val="24"/>
                <w14:textFill>
                  <w14:solidFill>
                    <w14:schemeClr w14:val="tx1"/>
                  </w14:solidFill>
                </w14:textFill>
              </w:rPr>
              <w:instrText xml:space="preserve"> </w:instrText>
            </w:r>
            <w:r>
              <w:rPr>
                <w:rFonts w:eastAsia="宋体"/>
                <w:color w:val="000000" w:themeColor="text1"/>
                <w:sz w:val="24"/>
                <w:szCs w:val="24"/>
                <w14:textFill>
                  <w14:solidFill>
                    <w14:schemeClr w14:val="tx1"/>
                  </w14:solidFill>
                </w14:textFill>
              </w:rPr>
              <w:fldChar w:fldCharType="separate"/>
            </w:r>
            <w:r>
              <w:rPr>
                <w:rFonts w:hint="eastAsia" w:eastAsia="宋体"/>
                <w:color w:val="000000" w:themeColor="text1"/>
                <w:sz w:val="24"/>
                <w:szCs w:val="24"/>
                <w14:textFill>
                  <w14:solidFill>
                    <w14:schemeClr w14:val="tx1"/>
                  </w14:solidFill>
                </w14:textFill>
              </w:rPr>
              <w:t>①</w:t>
            </w:r>
            <w:r>
              <w:rPr>
                <w:rFonts w:eastAsia="宋体"/>
                <w:color w:val="000000" w:themeColor="text1"/>
                <w:sz w:val="24"/>
                <w:szCs w:val="24"/>
                <w14:textFill>
                  <w14:solidFill>
                    <w14:schemeClr w14:val="tx1"/>
                  </w14:solidFill>
                </w14:textFill>
              </w:rPr>
              <w:fldChar w:fldCharType="end"/>
            </w:r>
            <w:r>
              <w:rPr>
                <w:rFonts w:eastAsia="宋体"/>
                <w:color w:val="000000" w:themeColor="text1"/>
                <w:sz w:val="24"/>
                <w:szCs w:val="24"/>
                <w14:textFill>
                  <w14:solidFill>
                    <w14:schemeClr w14:val="tx1"/>
                  </w14:solidFill>
                </w14:textFill>
              </w:rPr>
              <w:t>立即启动应急预案；</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fldChar w:fldCharType="begin"/>
            </w:r>
            <w:r>
              <w:rPr>
                <w:rFonts w:eastAsia="宋体"/>
                <w:color w:val="000000" w:themeColor="text1"/>
                <w:sz w:val="24"/>
                <w:szCs w:val="24"/>
                <w14:textFill>
                  <w14:solidFill>
                    <w14:schemeClr w14:val="tx1"/>
                  </w14:solidFill>
                </w14:textFill>
              </w:rPr>
              <w:instrText xml:space="preserve"> </w:instrText>
            </w:r>
            <w:r>
              <w:rPr>
                <w:rFonts w:hint="eastAsia" w:eastAsia="宋体"/>
                <w:color w:val="000000" w:themeColor="text1"/>
                <w:sz w:val="24"/>
                <w:szCs w:val="24"/>
                <w14:textFill>
                  <w14:solidFill>
                    <w14:schemeClr w14:val="tx1"/>
                  </w14:solidFill>
                </w14:textFill>
              </w:rPr>
              <w:instrText xml:space="preserve">= 2 \* GB3</w:instrText>
            </w:r>
            <w:r>
              <w:rPr>
                <w:rFonts w:eastAsia="宋体"/>
                <w:color w:val="000000" w:themeColor="text1"/>
                <w:sz w:val="24"/>
                <w:szCs w:val="24"/>
                <w14:textFill>
                  <w14:solidFill>
                    <w14:schemeClr w14:val="tx1"/>
                  </w14:solidFill>
                </w14:textFill>
              </w:rPr>
              <w:instrText xml:space="preserve"> </w:instrText>
            </w:r>
            <w:r>
              <w:rPr>
                <w:rFonts w:eastAsia="宋体"/>
                <w:color w:val="000000" w:themeColor="text1"/>
                <w:sz w:val="24"/>
                <w:szCs w:val="24"/>
                <w14:textFill>
                  <w14:solidFill>
                    <w14:schemeClr w14:val="tx1"/>
                  </w14:solidFill>
                </w14:textFill>
              </w:rPr>
              <w:fldChar w:fldCharType="separate"/>
            </w:r>
            <w:r>
              <w:rPr>
                <w:rFonts w:hint="eastAsia" w:eastAsia="宋体"/>
                <w:color w:val="000000" w:themeColor="text1"/>
                <w:sz w:val="24"/>
                <w:szCs w:val="24"/>
                <w14:textFill>
                  <w14:solidFill>
                    <w14:schemeClr w14:val="tx1"/>
                  </w14:solidFill>
                </w14:textFill>
              </w:rPr>
              <w:t>②</w:t>
            </w:r>
            <w:r>
              <w:rPr>
                <w:rFonts w:eastAsia="宋体"/>
                <w:color w:val="000000" w:themeColor="text1"/>
                <w:sz w:val="24"/>
                <w:szCs w:val="24"/>
                <w14:textFill>
                  <w14:solidFill>
                    <w14:schemeClr w14:val="tx1"/>
                  </w14:solidFill>
                </w14:textFill>
              </w:rPr>
              <w:fldChar w:fldCharType="end"/>
            </w:r>
            <w:r>
              <w:rPr>
                <w:rFonts w:eastAsia="宋体"/>
                <w:color w:val="000000" w:themeColor="text1"/>
                <w:sz w:val="24"/>
                <w:szCs w:val="24"/>
                <w14:textFill>
                  <w14:solidFill>
                    <w14:schemeClr w14:val="tx1"/>
                  </w14:solidFill>
                </w14:textFill>
              </w:rPr>
              <w:t>查明并切断污染源；</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fldChar w:fldCharType="begin"/>
            </w:r>
            <w:r>
              <w:rPr>
                <w:rFonts w:eastAsia="宋体"/>
                <w:color w:val="000000" w:themeColor="text1"/>
                <w:sz w:val="24"/>
                <w:szCs w:val="24"/>
                <w14:textFill>
                  <w14:solidFill>
                    <w14:schemeClr w14:val="tx1"/>
                  </w14:solidFill>
                </w14:textFill>
              </w:rPr>
              <w:instrText xml:space="preserve"> </w:instrText>
            </w:r>
            <w:r>
              <w:rPr>
                <w:rFonts w:hint="eastAsia" w:eastAsia="宋体"/>
                <w:color w:val="000000" w:themeColor="text1"/>
                <w:sz w:val="24"/>
                <w:szCs w:val="24"/>
                <w14:textFill>
                  <w14:solidFill>
                    <w14:schemeClr w14:val="tx1"/>
                  </w14:solidFill>
                </w14:textFill>
              </w:rPr>
              <w:instrText xml:space="preserve">= 3 \* GB3</w:instrText>
            </w:r>
            <w:r>
              <w:rPr>
                <w:rFonts w:eastAsia="宋体"/>
                <w:color w:val="000000" w:themeColor="text1"/>
                <w:sz w:val="24"/>
                <w:szCs w:val="24"/>
                <w14:textFill>
                  <w14:solidFill>
                    <w14:schemeClr w14:val="tx1"/>
                  </w14:solidFill>
                </w14:textFill>
              </w:rPr>
              <w:instrText xml:space="preserve"> </w:instrText>
            </w:r>
            <w:r>
              <w:rPr>
                <w:rFonts w:eastAsia="宋体"/>
                <w:color w:val="000000" w:themeColor="text1"/>
                <w:sz w:val="24"/>
                <w:szCs w:val="24"/>
                <w14:textFill>
                  <w14:solidFill>
                    <w14:schemeClr w14:val="tx1"/>
                  </w14:solidFill>
                </w14:textFill>
              </w:rPr>
              <w:fldChar w:fldCharType="separate"/>
            </w:r>
            <w:r>
              <w:rPr>
                <w:rFonts w:hint="eastAsia" w:eastAsia="宋体"/>
                <w:color w:val="000000" w:themeColor="text1"/>
                <w:sz w:val="24"/>
                <w:szCs w:val="24"/>
                <w14:textFill>
                  <w14:solidFill>
                    <w14:schemeClr w14:val="tx1"/>
                  </w14:solidFill>
                </w14:textFill>
              </w:rPr>
              <w:t>③</w:t>
            </w:r>
            <w:r>
              <w:rPr>
                <w:rFonts w:eastAsia="宋体"/>
                <w:color w:val="000000" w:themeColor="text1"/>
                <w:sz w:val="24"/>
                <w:szCs w:val="24"/>
                <w14:textFill>
                  <w14:solidFill>
                    <w14:schemeClr w14:val="tx1"/>
                  </w14:solidFill>
                </w14:textFill>
              </w:rPr>
              <w:fldChar w:fldCharType="end"/>
            </w:r>
            <w:r>
              <w:rPr>
                <w:rFonts w:eastAsia="宋体"/>
                <w:color w:val="000000" w:themeColor="text1"/>
                <w:sz w:val="24"/>
                <w:szCs w:val="24"/>
                <w14:textFill>
                  <w14:solidFill>
                    <w14:schemeClr w14:val="tx1"/>
                  </w14:solidFill>
                </w14:textFill>
              </w:rPr>
              <w:t>查明地下水污染深度、范围和程度；</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fldChar w:fldCharType="begin"/>
            </w:r>
            <w:r>
              <w:rPr>
                <w:rFonts w:eastAsia="宋体"/>
                <w:color w:val="000000" w:themeColor="text1"/>
                <w:sz w:val="24"/>
                <w:szCs w:val="24"/>
                <w14:textFill>
                  <w14:solidFill>
                    <w14:schemeClr w14:val="tx1"/>
                  </w14:solidFill>
                </w14:textFill>
              </w:rPr>
              <w:instrText xml:space="preserve"> </w:instrText>
            </w:r>
            <w:r>
              <w:rPr>
                <w:rFonts w:hint="eastAsia" w:eastAsia="宋体"/>
                <w:color w:val="000000" w:themeColor="text1"/>
                <w:sz w:val="24"/>
                <w:szCs w:val="24"/>
                <w14:textFill>
                  <w14:solidFill>
                    <w14:schemeClr w14:val="tx1"/>
                  </w14:solidFill>
                </w14:textFill>
              </w:rPr>
              <w:instrText xml:space="preserve">= 4 \* GB3</w:instrText>
            </w:r>
            <w:r>
              <w:rPr>
                <w:rFonts w:eastAsia="宋体"/>
                <w:color w:val="000000" w:themeColor="text1"/>
                <w:sz w:val="24"/>
                <w:szCs w:val="24"/>
                <w14:textFill>
                  <w14:solidFill>
                    <w14:schemeClr w14:val="tx1"/>
                  </w14:solidFill>
                </w14:textFill>
              </w:rPr>
              <w:instrText xml:space="preserve"> </w:instrText>
            </w:r>
            <w:r>
              <w:rPr>
                <w:rFonts w:eastAsia="宋体"/>
                <w:color w:val="000000" w:themeColor="text1"/>
                <w:sz w:val="24"/>
                <w:szCs w:val="24"/>
                <w14:textFill>
                  <w14:solidFill>
                    <w14:schemeClr w14:val="tx1"/>
                  </w14:solidFill>
                </w14:textFill>
              </w:rPr>
              <w:fldChar w:fldCharType="separate"/>
            </w:r>
            <w:r>
              <w:rPr>
                <w:rFonts w:hint="eastAsia" w:eastAsia="宋体"/>
                <w:color w:val="000000" w:themeColor="text1"/>
                <w:sz w:val="24"/>
                <w:szCs w:val="24"/>
                <w14:textFill>
                  <w14:solidFill>
                    <w14:schemeClr w14:val="tx1"/>
                  </w14:solidFill>
                </w14:textFill>
              </w:rPr>
              <w:t>④</w:t>
            </w:r>
            <w:r>
              <w:rPr>
                <w:rFonts w:eastAsia="宋体"/>
                <w:color w:val="000000" w:themeColor="text1"/>
                <w:sz w:val="24"/>
                <w:szCs w:val="24"/>
                <w14:textFill>
                  <w14:solidFill>
                    <w14:schemeClr w14:val="tx1"/>
                  </w14:solidFill>
                </w14:textFill>
              </w:rPr>
              <w:fldChar w:fldCharType="end"/>
            </w:r>
            <w:r>
              <w:rPr>
                <w:rFonts w:eastAsia="宋体"/>
                <w:color w:val="000000" w:themeColor="text1"/>
                <w:sz w:val="24"/>
                <w:szCs w:val="24"/>
                <w14:textFill>
                  <w14:solidFill>
                    <w14:schemeClr w14:val="tx1"/>
                  </w14:solidFill>
                </w14:textFill>
              </w:rPr>
              <w:t>依据查明的地下水污染情况，合理布置井，并进行试抽水工作；</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fldChar w:fldCharType="begin"/>
            </w:r>
            <w:r>
              <w:rPr>
                <w:rFonts w:eastAsia="宋体"/>
                <w:color w:val="000000" w:themeColor="text1"/>
                <w:sz w:val="24"/>
                <w:szCs w:val="24"/>
                <w14:textFill>
                  <w14:solidFill>
                    <w14:schemeClr w14:val="tx1"/>
                  </w14:solidFill>
                </w14:textFill>
              </w:rPr>
              <w:instrText xml:space="preserve"> </w:instrText>
            </w:r>
            <w:r>
              <w:rPr>
                <w:rFonts w:hint="eastAsia" w:eastAsia="宋体"/>
                <w:color w:val="000000" w:themeColor="text1"/>
                <w:sz w:val="24"/>
                <w:szCs w:val="24"/>
                <w14:textFill>
                  <w14:solidFill>
                    <w14:schemeClr w14:val="tx1"/>
                  </w14:solidFill>
                </w14:textFill>
              </w:rPr>
              <w:instrText xml:space="preserve">= 5 \* GB3</w:instrText>
            </w:r>
            <w:r>
              <w:rPr>
                <w:rFonts w:eastAsia="宋体"/>
                <w:color w:val="000000" w:themeColor="text1"/>
                <w:sz w:val="24"/>
                <w:szCs w:val="24"/>
                <w14:textFill>
                  <w14:solidFill>
                    <w14:schemeClr w14:val="tx1"/>
                  </w14:solidFill>
                </w14:textFill>
              </w:rPr>
              <w:instrText xml:space="preserve"> </w:instrText>
            </w:r>
            <w:r>
              <w:rPr>
                <w:rFonts w:eastAsia="宋体"/>
                <w:color w:val="000000" w:themeColor="text1"/>
                <w:sz w:val="24"/>
                <w:szCs w:val="24"/>
                <w14:textFill>
                  <w14:solidFill>
                    <w14:schemeClr w14:val="tx1"/>
                  </w14:solidFill>
                </w14:textFill>
              </w:rPr>
              <w:fldChar w:fldCharType="separate"/>
            </w:r>
            <w:r>
              <w:rPr>
                <w:rFonts w:hint="eastAsia" w:eastAsia="宋体"/>
                <w:color w:val="000000" w:themeColor="text1"/>
                <w:sz w:val="24"/>
                <w:szCs w:val="24"/>
                <w14:textFill>
                  <w14:solidFill>
                    <w14:schemeClr w14:val="tx1"/>
                  </w14:solidFill>
                </w14:textFill>
              </w:rPr>
              <w:t>⑤</w:t>
            </w:r>
            <w:r>
              <w:rPr>
                <w:rFonts w:eastAsia="宋体"/>
                <w:color w:val="000000" w:themeColor="text1"/>
                <w:sz w:val="24"/>
                <w:szCs w:val="24"/>
                <w14:textFill>
                  <w14:solidFill>
                    <w14:schemeClr w14:val="tx1"/>
                  </w14:solidFill>
                </w14:textFill>
              </w:rPr>
              <w:fldChar w:fldCharType="end"/>
            </w:r>
            <w:r>
              <w:rPr>
                <w:rFonts w:eastAsia="宋体"/>
                <w:color w:val="000000" w:themeColor="text1"/>
                <w:sz w:val="24"/>
                <w:szCs w:val="24"/>
                <w14:textFill>
                  <w14:solidFill>
                    <w14:schemeClr w14:val="tx1"/>
                  </w14:solidFill>
                </w14:textFill>
              </w:rPr>
              <w:t>依据抽水设计方案进行施工，抽出被污染的地下水体；</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fldChar w:fldCharType="begin"/>
            </w:r>
            <w:r>
              <w:rPr>
                <w:rFonts w:eastAsia="宋体"/>
                <w:color w:val="000000" w:themeColor="text1"/>
                <w:sz w:val="24"/>
                <w:szCs w:val="24"/>
                <w14:textFill>
                  <w14:solidFill>
                    <w14:schemeClr w14:val="tx1"/>
                  </w14:solidFill>
                </w14:textFill>
              </w:rPr>
              <w:instrText xml:space="preserve"> </w:instrText>
            </w:r>
            <w:r>
              <w:rPr>
                <w:rFonts w:hint="eastAsia" w:eastAsia="宋体"/>
                <w:color w:val="000000" w:themeColor="text1"/>
                <w:sz w:val="24"/>
                <w:szCs w:val="24"/>
                <w14:textFill>
                  <w14:solidFill>
                    <w14:schemeClr w14:val="tx1"/>
                  </w14:solidFill>
                </w14:textFill>
              </w:rPr>
              <w:instrText xml:space="preserve">= 6 \* GB3</w:instrText>
            </w:r>
            <w:r>
              <w:rPr>
                <w:rFonts w:eastAsia="宋体"/>
                <w:color w:val="000000" w:themeColor="text1"/>
                <w:sz w:val="24"/>
                <w:szCs w:val="24"/>
                <w14:textFill>
                  <w14:solidFill>
                    <w14:schemeClr w14:val="tx1"/>
                  </w14:solidFill>
                </w14:textFill>
              </w:rPr>
              <w:instrText xml:space="preserve"> </w:instrText>
            </w:r>
            <w:r>
              <w:rPr>
                <w:rFonts w:eastAsia="宋体"/>
                <w:color w:val="000000" w:themeColor="text1"/>
                <w:sz w:val="24"/>
                <w:szCs w:val="24"/>
                <w14:textFill>
                  <w14:solidFill>
                    <w14:schemeClr w14:val="tx1"/>
                  </w14:solidFill>
                </w14:textFill>
              </w:rPr>
              <w:fldChar w:fldCharType="separate"/>
            </w:r>
            <w:r>
              <w:rPr>
                <w:rFonts w:hint="eastAsia" w:eastAsia="宋体"/>
                <w:color w:val="000000" w:themeColor="text1"/>
                <w:sz w:val="24"/>
                <w:szCs w:val="24"/>
                <w14:textFill>
                  <w14:solidFill>
                    <w14:schemeClr w14:val="tx1"/>
                  </w14:solidFill>
                </w14:textFill>
              </w:rPr>
              <w:t>⑥</w:t>
            </w:r>
            <w:r>
              <w:rPr>
                <w:rFonts w:eastAsia="宋体"/>
                <w:color w:val="000000" w:themeColor="text1"/>
                <w:sz w:val="24"/>
                <w:szCs w:val="24"/>
                <w14:textFill>
                  <w14:solidFill>
                    <w14:schemeClr w14:val="tx1"/>
                  </w14:solidFill>
                </w14:textFill>
              </w:rPr>
              <w:fldChar w:fldCharType="end"/>
            </w:r>
            <w:r>
              <w:rPr>
                <w:rFonts w:eastAsia="宋体"/>
                <w:color w:val="000000" w:themeColor="text1"/>
                <w:sz w:val="24"/>
                <w:szCs w:val="24"/>
                <w14:textFill>
                  <w14:solidFill>
                    <w14:schemeClr w14:val="tx1"/>
                  </w14:solidFill>
                </w14:textFill>
              </w:rPr>
              <w:t>将抽出的地下水进行集中收集处理，并送实验室进行化验分析；</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lang w:val="zh-CN"/>
                <w14:textFill>
                  <w14:solidFill>
                    <w14:schemeClr w14:val="tx1"/>
                  </w14:solidFill>
                </w14:textFill>
              </w:rPr>
            </w:pPr>
            <w:r>
              <w:rPr>
                <w:rFonts w:eastAsia="宋体"/>
                <w:color w:val="000000" w:themeColor="text1"/>
                <w:sz w:val="24"/>
                <w:szCs w:val="24"/>
                <w14:textFill>
                  <w14:solidFill>
                    <w14:schemeClr w14:val="tx1"/>
                  </w14:solidFill>
                </w14:textFill>
              </w:rPr>
              <w:fldChar w:fldCharType="begin"/>
            </w:r>
            <w:r>
              <w:rPr>
                <w:rFonts w:eastAsia="宋体"/>
                <w:color w:val="000000" w:themeColor="text1"/>
                <w:sz w:val="24"/>
                <w:szCs w:val="24"/>
                <w14:textFill>
                  <w14:solidFill>
                    <w14:schemeClr w14:val="tx1"/>
                  </w14:solidFill>
                </w14:textFill>
              </w:rPr>
              <w:instrText xml:space="preserve"> </w:instrText>
            </w:r>
            <w:r>
              <w:rPr>
                <w:rFonts w:hint="eastAsia" w:eastAsia="宋体"/>
                <w:color w:val="000000" w:themeColor="text1"/>
                <w:sz w:val="24"/>
                <w:szCs w:val="24"/>
                <w14:textFill>
                  <w14:solidFill>
                    <w14:schemeClr w14:val="tx1"/>
                  </w14:solidFill>
                </w14:textFill>
              </w:rPr>
              <w:instrText xml:space="preserve">= 7 \* GB3</w:instrText>
            </w:r>
            <w:r>
              <w:rPr>
                <w:rFonts w:eastAsia="宋体"/>
                <w:color w:val="000000" w:themeColor="text1"/>
                <w:sz w:val="24"/>
                <w:szCs w:val="24"/>
                <w14:textFill>
                  <w14:solidFill>
                    <w14:schemeClr w14:val="tx1"/>
                  </w14:solidFill>
                </w14:textFill>
              </w:rPr>
              <w:instrText xml:space="preserve"> </w:instrText>
            </w:r>
            <w:r>
              <w:rPr>
                <w:rFonts w:eastAsia="宋体"/>
                <w:color w:val="000000" w:themeColor="text1"/>
                <w:sz w:val="24"/>
                <w:szCs w:val="24"/>
                <w14:textFill>
                  <w14:solidFill>
                    <w14:schemeClr w14:val="tx1"/>
                  </w14:solidFill>
                </w14:textFill>
              </w:rPr>
              <w:fldChar w:fldCharType="separate"/>
            </w:r>
            <w:r>
              <w:rPr>
                <w:rFonts w:hint="eastAsia" w:eastAsia="宋体"/>
                <w:color w:val="000000" w:themeColor="text1"/>
                <w:sz w:val="24"/>
                <w:szCs w:val="24"/>
                <w14:textFill>
                  <w14:solidFill>
                    <w14:schemeClr w14:val="tx1"/>
                  </w14:solidFill>
                </w14:textFill>
              </w:rPr>
              <w:t>⑦</w:t>
            </w:r>
            <w:r>
              <w:rPr>
                <w:rFonts w:eastAsia="宋体"/>
                <w:color w:val="000000" w:themeColor="text1"/>
                <w:sz w:val="24"/>
                <w:szCs w:val="24"/>
                <w14:textFill>
                  <w14:solidFill>
                    <w14:schemeClr w14:val="tx1"/>
                  </w14:solidFill>
                </w14:textFill>
              </w:rPr>
              <w:fldChar w:fldCharType="end"/>
            </w:r>
            <w:r>
              <w:rPr>
                <w:rFonts w:eastAsia="宋体"/>
                <w:color w:val="000000" w:themeColor="text1"/>
                <w:sz w:val="24"/>
                <w:szCs w:val="24"/>
                <w14:textFill>
                  <w14:solidFill>
                    <w14:schemeClr w14:val="tx1"/>
                  </w14:solidFill>
                </w14:textFill>
              </w:rPr>
              <w:t>监测孔中的特征污染物浓度满足《地下水质量标准》相关级别标准后，逐步停止抽水，并进行修复治理工作。</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lang w:val="zh-CN"/>
                <w14:textFill>
                  <w14:solidFill>
                    <w14:schemeClr w14:val="tx1"/>
                  </w14:solidFill>
                </w14:textFill>
              </w:rPr>
            </w:pPr>
            <w:r>
              <w:rPr>
                <w:rFonts w:eastAsia="宋体"/>
                <w:color w:val="000000" w:themeColor="text1"/>
                <w:sz w:val="24"/>
                <w:szCs w:val="24"/>
                <w:lang w:val="zh-CN"/>
                <w14:textFill>
                  <w14:solidFill>
                    <w14:schemeClr w14:val="tx1"/>
                  </w14:solidFill>
                </w14:textFill>
              </w:rPr>
              <w:t>通过采取上述地下水保护与跟踪监测措施，本项目营运期可有效控制非正常状况下污染物渗漏至地下对地下水环境的影响，定期对监控井地下水水质进行监测，可及时发现地下水水质变化，地下水水质指标一旦发生超标，也可立即采取对场区构筑物及设备进行检修，切断污染源，杜绝非正常状况污染物污染地下水。</w:t>
            </w:r>
          </w:p>
          <w:p>
            <w:pPr>
              <w:keepNext w:val="0"/>
              <w:keepLines w:val="0"/>
              <w:pageBreakBefore w:val="0"/>
              <w:widowControl w:val="0"/>
              <w:kinsoku/>
              <w:wordWrap/>
              <w:overflowPunct/>
              <w:topLinePunct w:val="0"/>
              <w:autoSpaceDE/>
              <w:autoSpaceDN/>
              <w:bidi w:val="0"/>
              <w:adjustRightInd w:val="0"/>
              <w:snapToGrid w:val="0"/>
              <w:spacing w:line="520" w:lineRule="exact"/>
              <w:ind w:left="140" w:leftChars="50" w:right="140" w:rightChars="50" w:firstLine="482" w:firstLineChars="200"/>
              <w:textAlignment w:val="auto"/>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四、固</w:t>
            </w:r>
            <w:r>
              <w:rPr>
                <w:rFonts w:eastAsia="宋体"/>
                <w:b/>
                <w:color w:val="000000" w:themeColor="text1"/>
                <w:sz w:val="24"/>
                <w:szCs w:val="24"/>
                <w14:textFill>
                  <w14:solidFill>
                    <w14:schemeClr w14:val="tx1"/>
                  </w14:solidFill>
                </w14:textFill>
              </w:rPr>
              <w:t>体废物环境影响分析</w:t>
            </w:r>
            <w:r>
              <w:rPr>
                <w:rFonts w:hint="eastAsia" w:eastAsia="宋体"/>
                <w:b/>
                <w:color w:val="000000" w:themeColor="text1"/>
                <w:sz w:val="24"/>
                <w:szCs w:val="24"/>
                <w14:textFill>
                  <w14:solidFill>
                    <w14:schemeClr w14:val="tx1"/>
                  </w14:solidFill>
                </w14:textFill>
              </w:rPr>
              <w:t>及防治措施</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本项目运营期</w:t>
            </w:r>
            <w:r>
              <w:rPr>
                <w:rFonts w:eastAsia="宋体"/>
                <w:color w:val="000000" w:themeColor="text1"/>
                <w:sz w:val="24"/>
                <w:szCs w:val="24"/>
                <w14:textFill>
                  <w14:solidFill>
                    <w14:schemeClr w14:val="tx1"/>
                  </w14:solidFill>
                </w14:textFill>
              </w:rPr>
              <w:t>剩余污泥产生量为</w:t>
            </w:r>
            <w:r>
              <w:rPr>
                <w:rFonts w:hint="eastAsia" w:eastAsia="宋体"/>
                <w:color w:val="000000" w:themeColor="text1"/>
                <w:sz w:val="24"/>
                <w:szCs w:val="24"/>
                <w14:textFill>
                  <w14:solidFill>
                    <w14:schemeClr w14:val="tx1"/>
                  </w14:solidFill>
                </w14:textFill>
              </w:rPr>
              <w:t>10.50</w:t>
            </w:r>
            <w:r>
              <w:rPr>
                <w:rFonts w:eastAsia="宋体"/>
                <w:color w:val="000000" w:themeColor="text1"/>
                <w:sz w:val="24"/>
                <w:szCs w:val="24"/>
                <w14:textFill>
                  <w14:solidFill>
                    <w14:schemeClr w14:val="tx1"/>
                  </w14:solidFill>
                </w14:textFill>
              </w:rPr>
              <w:t>t/</w:t>
            </w:r>
            <w:r>
              <w:rPr>
                <w:rFonts w:hint="eastAsia" w:eastAsia="宋体"/>
                <w:color w:val="000000" w:themeColor="text1"/>
                <w:sz w:val="24"/>
                <w:szCs w:val="24"/>
                <w14:textFill>
                  <w14:solidFill>
                    <w14:schemeClr w14:val="tx1"/>
                  </w14:solidFill>
                </w14:textFill>
              </w:rPr>
              <w:t>a，脱水至</w:t>
            </w:r>
            <w:r>
              <w:rPr>
                <w:rFonts w:eastAsia="宋体"/>
                <w:color w:val="000000" w:themeColor="text1"/>
                <w:sz w:val="24"/>
                <w:szCs w:val="24"/>
                <w14:textFill>
                  <w14:solidFill>
                    <w14:schemeClr w14:val="tx1"/>
                  </w14:solidFill>
                </w14:textFill>
              </w:rPr>
              <w:t>含水率小于</w:t>
            </w:r>
            <w:r>
              <w:rPr>
                <w:rFonts w:hint="eastAsia" w:eastAsia="宋体"/>
                <w:color w:val="000000" w:themeColor="text1"/>
                <w:sz w:val="24"/>
                <w:szCs w:val="24"/>
                <w14:textFill>
                  <w14:solidFill>
                    <w14:schemeClr w14:val="tx1"/>
                  </w14:solidFill>
                </w14:textFill>
              </w:rPr>
              <w:t>6</w:t>
            </w:r>
            <w:r>
              <w:rPr>
                <w:rFonts w:eastAsia="宋体"/>
                <w:color w:val="000000" w:themeColor="text1"/>
                <w:sz w:val="24"/>
                <w:szCs w:val="24"/>
                <w14:textFill>
                  <w14:solidFill>
                    <w14:schemeClr w14:val="tx1"/>
                  </w14:solidFill>
                </w14:textFill>
              </w:rPr>
              <w:t>0%，</w:t>
            </w:r>
            <w:r>
              <w:rPr>
                <w:rFonts w:hint="eastAsia" w:eastAsia="宋体"/>
                <w:color w:val="000000" w:themeColor="text1"/>
                <w:sz w:val="24"/>
                <w:szCs w:val="24"/>
                <w14:textFill>
                  <w14:solidFill>
                    <w14:schemeClr w14:val="tx1"/>
                  </w14:solidFill>
                </w14:textFill>
              </w:rPr>
              <w:t>由污泥螺杆泵排至填埋场填埋处理。处置方式符合</w:t>
            </w:r>
            <w:r>
              <w:rPr>
                <w:rFonts w:eastAsia="宋体"/>
                <w:color w:val="000000" w:themeColor="text1"/>
                <w:sz w:val="24"/>
                <w:szCs w:val="24"/>
                <w14:textFill>
                  <w14:solidFill>
                    <w14:schemeClr w14:val="tx1"/>
                  </w14:solidFill>
                </w14:textFill>
              </w:rPr>
              <w:t>《生活垃圾填埋场污染控制标准》（GB16889-2008）和《生活垃圾填埋场渗滤液处理工程技术规范 试行》（HJ564-2010）</w:t>
            </w:r>
            <w:r>
              <w:rPr>
                <w:rFonts w:hint="eastAsia" w:eastAsia="宋体"/>
                <w:color w:val="000000" w:themeColor="text1"/>
                <w:sz w:val="24"/>
                <w:szCs w:val="24"/>
                <w14:textFill>
                  <w14:solidFill>
                    <w14:schemeClr w14:val="tx1"/>
                  </w14:solidFill>
                </w14:textFill>
              </w:rPr>
              <w:t>中相关要求，</w:t>
            </w:r>
            <w:r>
              <w:rPr>
                <w:rFonts w:eastAsia="宋体"/>
                <w:color w:val="000000" w:themeColor="text1"/>
                <w:sz w:val="24"/>
                <w:szCs w:val="24"/>
                <w14:textFill>
                  <w14:solidFill>
                    <w14:schemeClr w14:val="tx1"/>
                  </w14:solidFill>
                </w14:textFill>
              </w:rPr>
              <w:t>不含有毒有害物质，经脱水后其含水率</w:t>
            </w:r>
            <w:r>
              <w:rPr>
                <w:rFonts w:hint="eastAsia" w:eastAsia="宋体"/>
                <w:color w:val="000000" w:themeColor="text1"/>
                <w:sz w:val="24"/>
                <w:szCs w:val="24"/>
                <w14:textFill>
                  <w14:solidFill>
                    <w14:schemeClr w14:val="tx1"/>
                  </w14:solidFill>
                </w14:textFill>
              </w:rPr>
              <w:t>大大降低，</w:t>
            </w:r>
            <w:r>
              <w:rPr>
                <w:rFonts w:eastAsia="宋体"/>
                <w:color w:val="000000" w:themeColor="text1"/>
                <w:sz w:val="24"/>
                <w:szCs w:val="24"/>
                <w14:textFill>
                  <w14:solidFill>
                    <w14:schemeClr w14:val="tx1"/>
                  </w14:solidFill>
                </w14:textFill>
              </w:rPr>
              <w:t>可以进入垃圾填埋场</w:t>
            </w:r>
            <w:r>
              <w:rPr>
                <w:rFonts w:hint="eastAsia" w:eastAsia="宋体"/>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对环境影响很小。</w:t>
            </w:r>
            <w:r>
              <w:rPr>
                <w:rFonts w:hint="eastAsia" w:eastAsia="宋体"/>
                <w:color w:val="000000" w:themeColor="text1"/>
                <w:sz w:val="24"/>
                <w:szCs w:val="24"/>
                <w14:textFill>
                  <w14:solidFill>
                    <w14:schemeClr w14:val="tx1"/>
                  </w14:solidFill>
                </w14:textFill>
              </w:rPr>
              <w:t>根据查阅《国家危险废物名录》（2016版）可知，本项目污泥不属于国家规定的危险废物，属于一般固废，在垃圾填埋场填埋处理较为可行。但环评要求建设单位定期对污泥进行检测，防止重金属等危险废物混入，禁止危险废物直接在填埋场进行填埋。</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另外，栅渣产生量0.5t/a，废渗透膜产生量0.3t/a，</w:t>
            </w:r>
            <w:r>
              <w:rPr>
                <w:rFonts w:eastAsia="宋体"/>
                <w:color w:val="000000" w:themeColor="text1"/>
                <w:sz w:val="24"/>
                <w:szCs w:val="24"/>
                <w14:textFill>
                  <w14:solidFill>
                    <w14:schemeClr w14:val="tx1"/>
                  </w14:solidFill>
                </w14:textFill>
              </w:rPr>
              <w:t>生活垃圾</w:t>
            </w:r>
            <w:r>
              <w:rPr>
                <w:rFonts w:hint="eastAsia" w:eastAsia="宋体"/>
                <w:color w:val="000000" w:themeColor="text1"/>
                <w:sz w:val="24"/>
                <w:szCs w:val="24"/>
                <w14:textFill>
                  <w14:solidFill>
                    <w14:schemeClr w14:val="tx1"/>
                  </w14:solidFill>
                </w14:textFill>
              </w:rPr>
              <w:t>产生量0.37t/a，均属于一般固体废物，集中收集后在填埋场进行填埋处理，对环境影响较小。</w:t>
            </w:r>
          </w:p>
          <w:p>
            <w:pPr>
              <w:pStyle w:val="15"/>
              <w:keepNext w:val="0"/>
              <w:keepLines w:val="0"/>
              <w:pageBreakBefore w:val="0"/>
              <w:widowControl w:val="0"/>
              <w:kinsoku/>
              <w:wordWrap/>
              <w:overflowPunct/>
              <w:topLinePunct w:val="0"/>
              <w:autoSpaceDE/>
              <w:autoSpaceDN/>
              <w:bidi w:val="0"/>
              <w:spacing w:line="520" w:lineRule="exact"/>
              <w:ind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采取上述措施后，项目营运期产生的固体废物对环境影响较小。</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五</w:t>
            </w:r>
            <w:r>
              <w:rPr>
                <w:rFonts w:eastAsia="宋体"/>
                <w:b/>
                <w:color w:val="000000" w:themeColor="text1"/>
                <w:sz w:val="24"/>
                <w:szCs w:val="24"/>
                <w14:textFill>
                  <w14:solidFill>
                    <w14:schemeClr w14:val="tx1"/>
                  </w14:solidFill>
                </w14:textFill>
              </w:rPr>
              <w:t>、噪声环境影响分析</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本项目的噪声来源于机械设备工作时发出的噪声，主要有各泵类</w:t>
            </w:r>
            <w:r>
              <w:rPr>
                <w:rFonts w:hint="eastAsia" w:eastAsia="宋体"/>
                <w:color w:val="000000" w:themeColor="text1"/>
                <w:sz w:val="24"/>
                <w:szCs w:val="24"/>
                <w14:textFill>
                  <w14:solidFill>
                    <w14:schemeClr w14:val="tx1"/>
                  </w14:solidFill>
                </w14:textFill>
              </w:rPr>
              <w:t>和</w:t>
            </w:r>
            <w:r>
              <w:rPr>
                <w:rFonts w:eastAsia="宋体"/>
                <w:color w:val="000000" w:themeColor="text1"/>
                <w:sz w:val="24"/>
                <w:szCs w:val="24"/>
                <w14:textFill>
                  <w14:solidFill>
                    <w14:schemeClr w14:val="tx1"/>
                  </w14:solidFill>
                </w14:textFill>
              </w:rPr>
              <w:t>鼓风机等</w:t>
            </w:r>
            <w:r>
              <w:rPr>
                <w:rFonts w:hint="eastAsia" w:eastAsia="宋体"/>
                <w:color w:val="000000" w:themeColor="text1"/>
                <w:sz w:val="24"/>
                <w:szCs w:val="24"/>
                <w14:textFill>
                  <w14:solidFill>
                    <w14:schemeClr w14:val="tx1"/>
                  </w14:solidFill>
                </w14:textFill>
              </w:rPr>
              <w:t>，源强范围为80~90dB（A），通过隔声、减震降噪措施减少15~20dB（A）噪声影响。本次以消声减震衰减量为15</w:t>
            </w:r>
            <w:r>
              <w:rPr>
                <w:rFonts w:eastAsia="宋体"/>
                <w:color w:val="000000" w:themeColor="text1"/>
                <w:sz w:val="24"/>
                <w:szCs w:val="24"/>
                <w14:textFill>
                  <w14:solidFill>
                    <w14:schemeClr w14:val="tx1"/>
                  </w14:solidFill>
                </w14:textFill>
              </w:rPr>
              <w:t>dB（A）</w:t>
            </w:r>
            <w:r>
              <w:rPr>
                <w:rFonts w:hint="eastAsia" w:eastAsia="宋体"/>
                <w:color w:val="000000" w:themeColor="text1"/>
                <w:sz w:val="24"/>
                <w:szCs w:val="24"/>
                <w14:textFill>
                  <w14:solidFill>
                    <w14:schemeClr w14:val="tx1"/>
                  </w14:solidFill>
                </w14:textFill>
              </w:rPr>
              <w:t>进行噪声预测。</w:t>
            </w:r>
          </w:p>
          <w:p>
            <w:pPr>
              <w:pStyle w:val="13"/>
              <w:keepNext w:val="0"/>
              <w:keepLines w:val="0"/>
              <w:pageBreakBefore w:val="0"/>
              <w:widowControl w:val="0"/>
              <w:kinsoku/>
              <w:wordWrap/>
              <w:overflowPunct/>
              <w:topLinePunct w:val="0"/>
              <w:autoSpaceDE/>
              <w:autoSpaceDN/>
              <w:bidi w:val="0"/>
              <w:spacing w:line="520" w:lineRule="exact"/>
              <w:ind w:firstLine="480" w:firstLineChars="200"/>
              <w:textAlignment w:val="auto"/>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drawing>
                <wp:anchor distT="0" distB="0" distL="114300" distR="114300" simplePos="0" relativeHeight="251661312" behindDoc="0" locked="0" layoutInCell="1" allowOverlap="1">
                  <wp:simplePos x="0" y="0"/>
                  <wp:positionH relativeFrom="column">
                    <wp:posOffset>1263650</wp:posOffset>
                  </wp:positionH>
                  <wp:positionV relativeFrom="paragraph">
                    <wp:posOffset>452755</wp:posOffset>
                  </wp:positionV>
                  <wp:extent cx="2033270" cy="478155"/>
                  <wp:effectExtent l="0" t="0" r="0" b="17145"/>
                  <wp:wrapTopAndBottom/>
                  <wp:docPr id="23"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4"/>
                          <pic:cNvPicPr>
                            <a:picLocks noChangeAspect="1"/>
                          </pic:cNvPicPr>
                        </pic:nvPicPr>
                        <pic:blipFill>
                          <a:blip r:embed="rId22"/>
                          <a:stretch>
                            <a:fillRect/>
                          </a:stretch>
                        </pic:blipFill>
                        <pic:spPr>
                          <a:xfrm>
                            <a:off x="0" y="0"/>
                            <a:ext cx="2033270" cy="478155"/>
                          </a:xfrm>
                          <a:prstGeom prst="rect">
                            <a:avLst/>
                          </a:prstGeom>
                          <a:noFill/>
                          <a:ln>
                            <a:noFill/>
                          </a:ln>
                        </pic:spPr>
                      </pic:pic>
                    </a:graphicData>
                  </a:graphic>
                </wp:anchor>
              </w:drawing>
            </w:r>
            <w:r>
              <w:rPr>
                <w:rFonts w:eastAsia="宋体"/>
                <w:color w:val="000000" w:themeColor="text1"/>
                <w:sz w:val="24"/>
                <w:szCs w:val="24"/>
                <w14:textFill>
                  <w14:solidFill>
                    <w14:schemeClr w14:val="tx1"/>
                  </w14:solidFill>
                </w14:textFill>
              </w:rPr>
              <w:t>噪声叠加公式如下：</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式中：L——总声压级，dB(A)；</w:t>
            </w:r>
          </w:p>
          <w:p>
            <w:pPr>
              <w:autoSpaceDE w:val="0"/>
              <w:autoSpaceDN w:val="0"/>
              <w:spacing w:line="560" w:lineRule="exact"/>
              <w:ind w:firstLine="1200" w:firstLineChars="5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n——噪声源数</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根据《环境影响评价技术导则  声环境》（HJ2.4-2009）中无指向性点声源几何衰减的基本公式：</w:t>
            </w:r>
          </w:p>
          <w:p>
            <w:pPr>
              <w:spacing w:line="560" w:lineRule="exact"/>
              <w:ind w:firstLine="480" w:firstLineChars="200"/>
              <w:jc w:val="center"/>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L</w:t>
            </w:r>
            <w:r>
              <w:rPr>
                <w:rFonts w:eastAsia="宋体"/>
                <w:color w:val="000000" w:themeColor="text1"/>
                <w:sz w:val="24"/>
                <w:szCs w:val="24"/>
                <w:vertAlign w:val="subscript"/>
                <w14:textFill>
                  <w14:solidFill>
                    <w14:schemeClr w14:val="tx1"/>
                  </w14:solidFill>
                </w14:textFill>
              </w:rPr>
              <w:t>P</w:t>
            </w:r>
            <w:r>
              <w:rPr>
                <w:rFonts w:eastAsia="宋体"/>
                <w:color w:val="000000" w:themeColor="text1"/>
                <w:sz w:val="24"/>
                <w:szCs w:val="24"/>
                <w14:textFill>
                  <w14:solidFill>
                    <w14:schemeClr w14:val="tx1"/>
                  </w14:solidFill>
                </w14:textFill>
              </w:rPr>
              <w:t>(r)=LA(r</w:t>
            </w:r>
            <w:r>
              <w:rPr>
                <w:rFonts w:eastAsia="宋体"/>
                <w:color w:val="000000" w:themeColor="text1"/>
                <w:sz w:val="24"/>
                <w:szCs w:val="24"/>
                <w:vertAlign w:val="subscript"/>
                <w14:textFill>
                  <w14:solidFill>
                    <w14:schemeClr w14:val="tx1"/>
                  </w14:solidFill>
                </w14:textFill>
              </w:rPr>
              <w:t>0</w:t>
            </w:r>
            <w:r>
              <w:rPr>
                <w:rFonts w:eastAsia="宋体"/>
                <w:color w:val="000000" w:themeColor="text1"/>
                <w:sz w:val="24"/>
                <w:szCs w:val="24"/>
                <w14:textFill>
                  <w14:solidFill>
                    <w14:schemeClr w14:val="tx1"/>
                  </w14:solidFill>
                </w14:textFill>
              </w:rPr>
              <w:t>)-20lg(r/r</w:t>
            </w:r>
            <w:r>
              <w:rPr>
                <w:rFonts w:eastAsia="宋体"/>
                <w:color w:val="000000" w:themeColor="text1"/>
                <w:sz w:val="24"/>
                <w:szCs w:val="24"/>
                <w:vertAlign w:val="subscript"/>
                <w14:textFill>
                  <w14:solidFill>
                    <w14:schemeClr w14:val="tx1"/>
                  </w14:solidFill>
                </w14:textFill>
              </w:rPr>
              <w:t>0</w:t>
            </w:r>
            <w:r>
              <w:rPr>
                <w:rFonts w:eastAsia="宋体"/>
                <w:color w:val="000000" w:themeColor="text1"/>
                <w:sz w:val="24"/>
                <w:szCs w:val="24"/>
                <w14:textFill>
                  <w14:solidFill>
                    <w14:schemeClr w14:val="tx1"/>
                  </w14:solidFill>
                </w14:textFill>
              </w:rPr>
              <w:t>)</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式中：LA(r)—预测点声压级，dB(A)；</w:t>
            </w:r>
          </w:p>
          <w:p>
            <w:pPr>
              <w:spacing w:line="560" w:lineRule="exact"/>
              <w:ind w:firstLine="1200" w:firstLineChars="5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LA(r</w:t>
            </w:r>
            <w:r>
              <w:rPr>
                <w:rFonts w:eastAsia="宋体"/>
                <w:color w:val="000000" w:themeColor="text1"/>
                <w:sz w:val="24"/>
                <w:szCs w:val="24"/>
                <w:vertAlign w:val="subscript"/>
                <w14:textFill>
                  <w14:solidFill>
                    <w14:schemeClr w14:val="tx1"/>
                  </w14:solidFill>
                </w14:textFill>
              </w:rPr>
              <w:t>0</w:t>
            </w:r>
            <w:r>
              <w:rPr>
                <w:rFonts w:eastAsia="宋体"/>
                <w:color w:val="000000" w:themeColor="text1"/>
                <w:sz w:val="24"/>
                <w:szCs w:val="24"/>
                <w14:textFill>
                  <w14:solidFill>
                    <w14:schemeClr w14:val="tx1"/>
                  </w14:solidFill>
                </w14:textFill>
              </w:rPr>
              <w:t xml:space="preserve">)—噪声源声压级，dB(A)  </w:t>
            </w:r>
          </w:p>
          <w:p>
            <w:pPr>
              <w:spacing w:line="560" w:lineRule="exact"/>
              <w:ind w:firstLine="1200" w:firstLineChars="5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r—预测点离噪声源的距离，m；</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本次评价</w:t>
            </w:r>
            <w:r>
              <w:rPr>
                <w:rFonts w:hint="eastAsia" w:eastAsia="宋体"/>
                <w:color w:val="000000" w:themeColor="text1"/>
                <w:sz w:val="24"/>
                <w:szCs w:val="24"/>
                <w14:textFill>
                  <w14:solidFill>
                    <w14:schemeClr w14:val="tx1"/>
                  </w14:solidFill>
                </w14:textFill>
              </w:rPr>
              <w:t>对噪声源渗滤液场厂界的噪声进行预测，同时对距离最近为10m处的西厂界噪声进行叠加</w:t>
            </w:r>
            <w:r>
              <w:rPr>
                <w:rFonts w:eastAsia="宋体"/>
                <w:color w:val="000000" w:themeColor="text1"/>
                <w:sz w:val="24"/>
                <w:szCs w:val="24"/>
                <w14:textFill>
                  <w14:solidFill>
                    <w14:schemeClr w14:val="tx1"/>
                  </w14:solidFill>
                </w14:textFill>
              </w:rPr>
              <w:t>预测</w:t>
            </w:r>
            <w:r>
              <w:rPr>
                <w:rFonts w:hint="eastAsia" w:eastAsia="宋体"/>
                <w:color w:val="000000" w:themeColor="text1"/>
                <w:sz w:val="24"/>
                <w:szCs w:val="24"/>
                <w14:textFill>
                  <w14:solidFill>
                    <w14:schemeClr w14:val="tx1"/>
                  </w14:solidFill>
                </w14:textFill>
              </w:rPr>
              <w:t>，其结果详见下表</w:t>
            </w:r>
            <w:r>
              <w:rPr>
                <w:rFonts w:eastAsia="宋体"/>
                <w:color w:val="000000" w:themeColor="text1"/>
                <w:sz w:val="24"/>
                <w:szCs w:val="24"/>
                <w14:textFill>
                  <w14:solidFill>
                    <w14:schemeClr w14:val="tx1"/>
                  </w14:solidFill>
                </w14:textFill>
              </w:rPr>
              <w:t>。</w:t>
            </w:r>
          </w:p>
          <w:p>
            <w:pPr>
              <w:spacing w:line="560" w:lineRule="exact"/>
              <w:ind w:firstLine="422" w:firstLineChars="200"/>
              <w:jc w:val="center"/>
              <w:textAlignment w:val="baseline"/>
              <w:rPr>
                <w:rFonts w:eastAsia="宋体"/>
                <w:b/>
                <w:color w:val="000000" w:themeColor="text1"/>
                <w:sz w:val="21"/>
                <w:szCs w:val="24"/>
                <w14:textFill>
                  <w14:solidFill>
                    <w14:schemeClr w14:val="tx1"/>
                  </w14:solidFill>
                </w14:textFill>
              </w:rPr>
            </w:pPr>
            <w:r>
              <w:rPr>
                <w:rFonts w:eastAsia="宋体"/>
                <w:b/>
                <w:color w:val="000000" w:themeColor="text1"/>
                <w:sz w:val="21"/>
                <w:szCs w:val="24"/>
                <w14:textFill>
                  <w14:solidFill>
                    <w14:schemeClr w14:val="tx1"/>
                  </w14:solidFill>
                </w14:textFill>
              </w:rPr>
              <w:t>表</w:t>
            </w:r>
            <w:r>
              <w:rPr>
                <w:rFonts w:hint="eastAsia" w:eastAsia="宋体"/>
                <w:b/>
                <w:color w:val="000000" w:themeColor="text1"/>
                <w:sz w:val="21"/>
                <w:szCs w:val="24"/>
                <w14:textFill>
                  <w14:solidFill>
                    <w14:schemeClr w14:val="tx1"/>
                  </w14:solidFill>
                </w14:textFill>
              </w:rPr>
              <w:t>2</w:t>
            </w:r>
            <w:r>
              <w:rPr>
                <w:rFonts w:hint="eastAsia" w:eastAsia="宋体"/>
                <w:b/>
                <w:color w:val="000000" w:themeColor="text1"/>
                <w:sz w:val="21"/>
                <w:szCs w:val="24"/>
                <w:lang w:val="en-US" w:eastAsia="zh-CN"/>
                <w14:textFill>
                  <w14:solidFill>
                    <w14:schemeClr w14:val="tx1"/>
                  </w14:solidFill>
                </w14:textFill>
              </w:rPr>
              <w:t>9</w:t>
            </w:r>
            <w:r>
              <w:rPr>
                <w:rFonts w:hint="eastAsia" w:eastAsia="宋体"/>
                <w:b/>
                <w:color w:val="000000" w:themeColor="text1"/>
                <w:sz w:val="21"/>
                <w:szCs w:val="24"/>
                <w14:textFill>
                  <w14:solidFill>
                    <w14:schemeClr w14:val="tx1"/>
                  </w14:solidFill>
                </w14:textFill>
              </w:rPr>
              <w:t xml:space="preserve">   </w:t>
            </w:r>
            <w:r>
              <w:rPr>
                <w:rFonts w:hint="eastAsia" w:eastAsia="宋体"/>
                <w:b/>
                <w:bCs/>
                <w:color w:val="000000" w:themeColor="text1"/>
                <w:sz w:val="21"/>
                <w:szCs w:val="24"/>
                <w14:textFill>
                  <w14:solidFill>
                    <w14:schemeClr w14:val="tx1"/>
                  </w14:solidFill>
                </w14:textFill>
              </w:rPr>
              <w:t>噪声预测一览表</w:t>
            </w:r>
            <w:r>
              <w:rPr>
                <w:rFonts w:eastAsia="宋体"/>
                <w:b/>
                <w:color w:val="000000" w:themeColor="text1"/>
                <w:sz w:val="21"/>
                <w:szCs w:val="24"/>
                <w14:textFill>
                  <w14:solidFill>
                    <w14:schemeClr w14:val="tx1"/>
                  </w14:solidFill>
                </w14:textFill>
              </w:rPr>
              <w:t xml:space="preserve">  单位：dB（A）</w:t>
            </w:r>
          </w:p>
          <w:tbl>
            <w:tblPr>
              <w:tblStyle w:val="32"/>
              <w:tblW w:w="89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798"/>
              <w:gridCol w:w="864"/>
              <w:gridCol w:w="1081"/>
              <w:gridCol w:w="1081"/>
              <w:gridCol w:w="873"/>
              <w:gridCol w:w="999"/>
              <w:gridCol w:w="1049"/>
              <w:gridCol w:w="1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7"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声源名称</w:t>
                  </w:r>
                </w:p>
              </w:tc>
              <w:tc>
                <w:tcPr>
                  <w:tcW w:w="798"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噪声值</w:t>
                  </w:r>
                </w:p>
              </w:tc>
              <w:tc>
                <w:tcPr>
                  <w:tcW w:w="864"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削减后</w:t>
                  </w:r>
                </w:p>
              </w:tc>
              <w:tc>
                <w:tcPr>
                  <w:tcW w:w="1081"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背景值</w:t>
                  </w:r>
                </w:p>
              </w:tc>
              <w:tc>
                <w:tcPr>
                  <w:tcW w:w="1081"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10m</w:t>
                  </w:r>
                </w:p>
              </w:tc>
              <w:tc>
                <w:tcPr>
                  <w:tcW w:w="873"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20m</w:t>
                  </w:r>
                </w:p>
              </w:tc>
              <w:tc>
                <w:tcPr>
                  <w:tcW w:w="999"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30m</w:t>
                  </w:r>
                </w:p>
              </w:tc>
              <w:tc>
                <w:tcPr>
                  <w:tcW w:w="1049"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40m</w:t>
                  </w:r>
                </w:p>
              </w:tc>
              <w:tc>
                <w:tcPr>
                  <w:tcW w:w="1192"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西厂界叠加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7"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泵类</w:t>
                  </w:r>
                </w:p>
              </w:tc>
              <w:tc>
                <w:tcPr>
                  <w:tcW w:w="798"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90</w:t>
                  </w:r>
                </w:p>
              </w:tc>
              <w:tc>
                <w:tcPr>
                  <w:tcW w:w="864"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75</w:t>
                  </w:r>
                </w:p>
              </w:tc>
              <w:tc>
                <w:tcPr>
                  <w:tcW w:w="1081" w:type="dxa"/>
                  <w:vMerge w:val="restart"/>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39.7</w:t>
                  </w:r>
                </w:p>
              </w:tc>
              <w:tc>
                <w:tcPr>
                  <w:tcW w:w="1081" w:type="dxa"/>
                  <w:vAlign w:val="center"/>
                </w:tcPr>
                <w:p>
                  <w:pPr>
                    <w:jc w:val="center"/>
                    <w:rPr>
                      <w:rFonts w:eastAsia="宋体" w:cs="宋体"/>
                      <w:color w:val="000000" w:themeColor="text1"/>
                      <w:sz w:val="22"/>
                      <w:szCs w:val="22"/>
                      <w14:textFill>
                        <w14:solidFill>
                          <w14:schemeClr w14:val="tx1"/>
                        </w14:solidFill>
                      </w14:textFill>
                    </w:rPr>
                  </w:pPr>
                  <w:r>
                    <w:rPr>
                      <w:rFonts w:hint="eastAsia" w:eastAsia="宋体"/>
                      <w:color w:val="000000" w:themeColor="text1"/>
                      <w:sz w:val="22"/>
                      <w:szCs w:val="22"/>
                      <w14:textFill>
                        <w14:solidFill>
                          <w14:schemeClr w14:val="tx1"/>
                        </w14:solidFill>
                      </w14:textFill>
                    </w:rPr>
                    <w:t>58.71</w:t>
                  </w:r>
                </w:p>
              </w:tc>
              <w:tc>
                <w:tcPr>
                  <w:tcW w:w="873" w:type="dxa"/>
                  <w:vAlign w:val="center"/>
                </w:tcPr>
                <w:p>
                  <w:pPr>
                    <w:jc w:val="center"/>
                    <w:rPr>
                      <w:rFonts w:eastAsia="宋体" w:cs="宋体"/>
                      <w:color w:val="000000" w:themeColor="text1"/>
                      <w:sz w:val="22"/>
                      <w:szCs w:val="22"/>
                      <w14:textFill>
                        <w14:solidFill>
                          <w14:schemeClr w14:val="tx1"/>
                        </w14:solidFill>
                      </w14:textFill>
                    </w:rPr>
                  </w:pPr>
                  <w:r>
                    <w:rPr>
                      <w:rFonts w:hint="eastAsia" w:eastAsia="宋体"/>
                      <w:color w:val="000000" w:themeColor="text1"/>
                      <w:sz w:val="22"/>
                      <w:szCs w:val="22"/>
                      <w14:textFill>
                        <w14:solidFill>
                          <w14:schemeClr w14:val="tx1"/>
                        </w14:solidFill>
                      </w14:textFill>
                    </w:rPr>
                    <w:t>52.75</w:t>
                  </w:r>
                </w:p>
              </w:tc>
              <w:tc>
                <w:tcPr>
                  <w:tcW w:w="999" w:type="dxa"/>
                  <w:vAlign w:val="center"/>
                </w:tcPr>
                <w:p>
                  <w:pPr>
                    <w:jc w:val="center"/>
                    <w:rPr>
                      <w:rFonts w:eastAsia="宋体" w:cs="宋体"/>
                      <w:color w:val="000000" w:themeColor="text1"/>
                      <w:sz w:val="22"/>
                      <w:szCs w:val="22"/>
                      <w14:textFill>
                        <w14:solidFill>
                          <w14:schemeClr w14:val="tx1"/>
                        </w14:solidFill>
                      </w14:textFill>
                    </w:rPr>
                  </w:pPr>
                  <w:r>
                    <w:rPr>
                      <w:rFonts w:hint="eastAsia" w:eastAsia="宋体"/>
                      <w:color w:val="000000" w:themeColor="text1"/>
                      <w:sz w:val="22"/>
                      <w:szCs w:val="22"/>
                      <w14:textFill>
                        <w14:solidFill>
                          <w14:schemeClr w14:val="tx1"/>
                        </w14:solidFill>
                      </w14:textFill>
                    </w:rPr>
                    <w:t>49.23</w:t>
                  </w:r>
                </w:p>
              </w:tc>
              <w:tc>
                <w:tcPr>
                  <w:tcW w:w="1049" w:type="dxa"/>
                  <w:vAlign w:val="center"/>
                </w:tcPr>
                <w:p>
                  <w:pPr>
                    <w:jc w:val="center"/>
                    <w:rPr>
                      <w:rFonts w:eastAsia="宋体" w:cs="宋体"/>
                      <w:color w:val="000000" w:themeColor="text1"/>
                      <w:sz w:val="22"/>
                      <w:szCs w:val="22"/>
                      <w14:textFill>
                        <w14:solidFill>
                          <w14:schemeClr w14:val="tx1"/>
                        </w14:solidFill>
                      </w14:textFill>
                    </w:rPr>
                  </w:pPr>
                  <w:r>
                    <w:rPr>
                      <w:rFonts w:hint="eastAsia" w:eastAsia="宋体"/>
                      <w:color w:val="000000" w:themeColor="text1"/>
                      <w:sz w:val="22"/>
                      <w:szCs w:val="22"/>
                      <w14:textFill>
                        <w14:solidFill>
                          <w14:schemeClr w14:val="tx1"/>
                        </w14:solidFill>
                      </w14:textFill>
                    </w:rPr>
                    <w:t>46.72</w:t>
                  </w:r>
                </w:p>
              </w:tc>
              <w:tc>
                <w:tcPr>
                  <w:tcW w:w="1192" w:type="dxa"/>
                  <w:vMerge w:val="restart"/>
                  <w:vAlign w:val="center"/>
                </w:tcPr>
                <w:p>
                  <w:pPr>
                    <w:jc w:val="center"/>
                    <w:rPr>
                      <w:rFonts w:eastAsia="宋体" w:cs="宋体"/>
                      <w:color w:val="000000" w:themeColor="text1"/>
                      <w:sz w:val="22"/>
                      <w:szCs w:val="22"/>
                      <w14:textFill>
                        <w14:solidFill>
                          <w14:schemeClr w14:val="tx1"/>
                        </w14:solidFill>
                      </w14:textFill>
                    </w:rPr>
                  </w:pPr>
                  <w:r>
                    <w:rPr>
                      <w:rFonts w:hint="eastAsia" w:eastAsia="宋体" w:cs="宋体"/>
                      <w:color w:val="000000" w:themeColor="text1"/>
                      <w:sz w:val="22"/>
                      <w:szCs w:val="22"/>
                      <w14:textFill>
                        <w14:solidFill>
                          <w14:schemeClr w14:val="tx1"/>
                        </w14:solidFill>
                      </w14:textFill>
                    </w:rPr>
                    <w:t>55.14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7"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鼓风机</w:t>
                  </w:r>
                </w:p>
              </w:tc>
              <w:tc>
                <w:tcPr>
                  <w:tcW w:w="798" w:type="dxa"/>
                  <w:vAlign w:val="center"/>
                </w:tcPr>
                <w:p>
                  <w:pPr>
                    <w:pStyle w:val="15"/>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85</w:t>
                  </w:r>
                </w:p>
              </w:tc>
              <w:tc>
                <w:tcPr>
                  <w:tcW w:w="864"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70</w:t>
                  </w:r>
                </w:p>
              </w:tc>
              <w:tc>
                <w:tcPr>
                  <w:tcW w:w="1081" w:type="dxa"/>
                  <w:vMerge w:val="continue"/>
                </w:tcPr>
                <w:p>
                  <w:pPr>
                    <w:jc w:val="center"/>
                    <w:rPr>
                      <w:rFonts w:eastAsia="宋体"/>
                      <w:color w:val="000000" w:themeColor="text1"/>
                      <w:sz w:val="22"/>
                      <w:szCs w:val="22"/>
                      <w14:textFill>
                        <w14:solidFill>
                          <w14:schemeClr w14:val="tx1"/>
                        </w14:solidFill>
                      </w14:textFill>
                    </w:rPr>
                  </w:pPr>
                </w:p>
              </w:tc>
              <w:tc>
                <w:tcPr>
                  <w:tcW w:w="1081" w:type="dxa"/>
                  <w:vAlign w:val="center"/>
                </w:tcPr>
                <w:p>
                  <w:pPr>
                    <w:jc w:val="center"/>
                    <w:rPr>
                      <w:rFonts w:eastAsia="宋体" w:cs="宋体"/>
                      <w:color w:val="000000" w:themeColor="text1"/>
                      <w:sz w:val="22"/>
                      <w:szCs w:val="22"/>
                      <w14:textFill>
                        <w14:solidFill>
                          <w14:schemeClr w14:val="tx1"/>
                        </w14:solidFill>
                      </w14:textFill>
                    </w:rPr>
                  </w:pPr>
                  <w:r>
                    <w:rPr>
                      <w:rFonts w:hint="eastAsia" w:eastAsia="宋体"/>
                      <w:color w:val="000000" w:themeColor="text1"/>
                      <w:sz w:val="22"/>
                      <w:szCs w:val="22"/>
                      <w14:textFill>
                        <w14:solidFill>
                          <w14:schemeClr w14:val="tx1"/>
                        </w14:solidFill>
                      </w14:textFill>
                    </w:rPr>
                    <w:t>53.71</w:t>
                  </w:r>
                </w:p>
              </w:tc>
              <w:tc>
                <w:tcPr>
                  <w:tcW w:w="873" w:type="dxa"/>
                  <w:vAlign w:val="center"/>
                </w:tcPr>
                <w:p>
                  <w:pPr>
                    <w:jc w:val="center"/>
                    <w:rPr>
                      <w:rFonts w:eastAsia="宋体" w:cs="宋体"/>
                      <w:color w:val="000000" w:themeColor="text1"/>
                      <w:sz w:val="22"/>
                      <w:szCs w:val="22"/>
                      <w14:textFill>
                        <w14:solidFill>
                          <w14:schemeClr w14:val="tx1"/>
                        </w14:solidFill>
                      </w14:textFill>
                    </w:rPr>
                  </w:pPr>
                  <w:r>
                    <w:rPr>
                      <w:rFonts w:hint="eastAsia" w:eastAsia="宋体"/>
                      <w:color w:val="000000" w:themeColor="text1"/>
                      <w:sz w:val="22"/>
                      <w:szCs w:val="22"/>
                      <w14:textFill>
                        <w14:solidFill>
                          <w14:schemeClr w14:val="tx1"/>
                        </w14:solidFill>
                      </w14:textFill>
                    </w:rPr>
                    <w:t>47.75</w:t>
                  </w:r>
                </w:p>
              </w:tc>
              <w:tc>
                <w:tcPr>
                  <w:tcW w:w="999" w:type="dxa"/>
                  <w:vAlign w:val="center"/>
                </w:tcPr>
                <w:p>
                  <w:pPr>
                    <w:jc w:val="center"/>
                    <w:rPr>
                      <w:rFonts w:eastAsia="宋体" w:cs="宋体"/>
                      <w:color w:val="000000" w:themeColor="text1"/>
                      <w:sz w:val="22"/>
                      <w:szCs w:val="22"/>
                      <w14:textFill>
                        <w14:solidFill>
                          <w14:schemeClr w14:val="tx1"/>
                        </w14:solidFill>
                      </w14:textFill>
                    </w:rPr>
                  </w:pPr>
                  <w:r>
                    <w:rPr>
                      <w:rFonts w:hint="eastAsia" w:eastAsia="宋体"/>
                      <w:color w:val="000000" w:themeColor="text1"/>
                      <w:sz w:val="22"/>
                      <w:szCs w:val="22"/>
                      <w14:textFill>
                        <w14:solidFill>
                          <w14:schemeClr w14:val="tx1"/>
                        </w14:solidFill>
                      </w14:textFill>
                    </w:rPr>
                    <w:t>44.23</w:t>
                  </w:r>
                </w:p>
              </w:tc>
              <w:tc>
                <w:tcPr>
                  <w:tcW w:w="1049" w:type="dxa"/>
                  <w:vAlign w:val="center"/>
                </w:tcPr>
                <w:p>
                  <w:pPr>
                    <w:jc w:val="center"/>
                    <w:rPr>
                      <w:rFonts w:eastAsia="宋体" w:cs="宋体"/>
                      <w:color w:val="000000" w:themeColor="text1"/>
                      <w:sz w:val="22"/>
                      <w:szCs w:val="22"/>
                      <w14:textFill>
                        <w14:solidFill>
                          <w14:schemeClr w14:val="tx1"/>
                        </w14:solidFill>
                      </w14:textFill>
                    </w:rPr>
                  </w:pPr>
                  <w:r>
                    <w:rPr>
                      <w:rFonts w:hint="eastAsia" w:eastAsia="宋体"/>
                      <w:color w:val="000000" w:themeColor="text1"/>
                      <w:sz w:val="22"/>
                      <w:szCs w:val="22"/>
                      <w14:textFill>
                        <w14:solidFill>
                          <w14:schemeClr w14:val="tx1"/>
                        </w14:solidFill>
                      </w14:textFill>
                    </w:rPr>
                    <w:t>41.72</w:t>
                  </w:r>
                </w:p>
              </w:tc>
              <w:tc>
                <w:tcPr>
                  <w:tcW w:w="1192" w:type="dxa"/>
                  <w:vMerge w:val="continue"/>
                  <w:vAlign w:val="center"/>
                </w:tcPr>
                <w:p>
                  <w:pPr>
                    <w:jc w:val="center"/>
                    <w:rPr>
                      <w:rFonts w:eastAsia="宋体" w:cs="宋体"/>
                      <w:color w:val="000000" w:themeColor="text1"/>
                      <w:sz w:val="22"/>
                      <w:szCs w:val="22"/>
                      <w14:textFill>
                        <w14:solidFill>
                          <w14:schemeClr w14:val="tx1"/>
                        </w14:solidFill>
                      </w14:textFill>
                    </w:rPr>
                  </w:pPr>
                </w:p>
              </w:tc>
            </w:tr>
          </w:tbl>
          <w:p>
            <w:pPr>
              <w:spacing w:line="560" w:lineRule="exact"/>
              <w:ind w:firstLine="480" w:firstLineChars="200"/>
              <w:textAlignment w:val="baseline"/>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由</w:t>
            </w:r>
            <w:r>
              <w:rPr>
                <w:rFonts w:hint="eastAsia" w:eastAsia="宋体"/>
                <w:color w:val="000000" w:themeColor="text1"/>
                <w:sz w:val="24"/>
                <w:szCs w:val="24"/>
                <w14:textFill>
                  <w14:solidFill>
                    <w14:schemeClr w14:val="tx1"/>
                  </w14:solidFill>
                </w14:textFill>
              </w:rPr>
              <w:t>上表</w:t>
            </w:r>
            <w:r>
              <w:rPr>
                <w:rFonts w:eastAsia="宋体"/>
                <w:color w:val="000000" w:themeColor="text1"/>
                <w:sz w:val="24"/>
                <w:szCs w:val="24"/>
                <w14:textFill>
                  <w14:solidFill>
                    <w14:schemeClr w14:val="tx1"/>
                  </w14:solidFill>
                </w14:textFill>
              </w:rPr>
              <w:t>可知，本项目营运期设备噪声经采取消声降噪措施及距离衰减后能够满足《工业企业厂界环境噪声排放标准》（GB12348-2008）中2类标准，对周围声环境质量影响较小。</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eastAsia="宋体"/>
                <w:color w:val="000000" w:themeColor="text1"/>
                <w:sz w:val="24"/>
                <w:szCs w:val="24"/>
                <w:lang w:val="en-US"/>
                <w14:textFill>
                  <w14:solidFill>
                    <w14:schemeClr w14:val="tx1"/>
                  </w14:solidFill>
                </w14:textFill>
              </w:rPr>
              <w:t>本项目应采取以下防治措施以降低不利影响：</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eastAsia="宋体"/>
                <w:color w:val="000000" w:themeColor="text1"/>
                <w:sz w:val="24"/>
                <w:szCs w:val="24"/>
                <w:lang w:val="en-US"/>
                <w14:textFill>
                  <w14:solidFill>
                    <w14:schemeClr w14:val="tx1"/>
                  </w14:solidFill>
                </w14:textFill>
              </w:rPr>
              <w:t>（1）各种产噪设备需选用环保低噪设备，并安装变频装置，同时加强设备维护工作，使之保持良好的运行状态；</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eastAsia="宋体"/>
                <w:color w:val="000000" w:themeColor="text1"/>
                <w:sz w:val="24"/>
                <w:szCs w:val="24"/>
                <w:lang w:val="en-US"/>
                <w14:textFill>
                  <w14:solidFill>
                    <w14:schemeClr w14:val="tx1"/>
                  </w14:solidFill>
                </w14:textFill>
              </w:rPr>
              <w:t>（2）对泵类等噪声值较大设备安装减振装置；</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eastAsia="宋体"/>
                <w:color w:val="000000" w:themeColor="text1"/>
                <w:sz w:val="24"/>
                <w:szCs w:val="24"/>
                <w:lang w:val="en-US"/>
                <w14:textFill>
                  <w14:solidFill>
                    <w14:schemeClr w14:val="tx1"/>
                  </w14:solidFill>
                </w14:textFill>
              </w:rPr>
              <w:t>（3）产噪设备房间墙体及门窗采用隔音吸声材料，运行过程中不允许开窗；</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（4）</w:t>
            </w:r>
            <w:r>
              <w:rPr>
                <w:rFonts w:eastAsia="宋体"/>
                <w:color w:val="000000" w:themeColor="text1"/>
                <w:sz w:val="24"/>
                <w:szCs w:val="24"/>
                <w:lang w:val="en-US"/>
                <w14:textFill>
                  <w14:solidFill>
                    <w14:schemeClr w14:val="tx1"/>
                  </w14:solidFill>
                </w14:textFill>
              </w:rPr>
              <w:t>在产噪设备房间四周种植树木，建立绿化带，达到美化环境、消音降噪的作用。</w:t>
            </w:r>
          </w:p>
          <w:p>
            <w:pPr>
              <w:adjustRightInd w:val="0"/>
              <w:snapToGrid w:val="0"/>
              <w:spacing w:line="560" w:lineRule="exact"/>
              <w:ind w:right="140" w:rightChars="50" w:firstLine="472" w:firstLineChars="196"/>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六、生态环境影响分析</w:t>
            </w:r>
          </w:p>
          <w:p>
            <w:pPr>
              <w:spacing w:line="560" w:lineRule="exact"/>
              <w:ind w:firstLine="480" w:firstLineChars="200"/>
              <w:textAlignment w:val="baseline"/>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本项目运营期对生态环境的影响主要是占地影响，影响范围为项目所在区域。</w:t>
            </w:r>
            <w:r>
              <w:rPr>
                <w:rFonts w:eastAsia="宋体"/>
                <w:color w:val="000000" w:themeColor="text1"/>
                <w:sz w:val="24"/>
                <w14:textFill>
                  <w14:solidFill>
                    <w14:schemeClr w14:val="tx1"/>
                  </w14:solidFill>
                </w14:textFill>
              </w:rPr>
              <w:t>在主体工程施工完毕后，尽早对工程内外、裸露面、空隙用地进行绿化，加强绿化管理与植被养护，通过营造绿地</w:t>
            </w:r>
            <w:r>
              <w:rPr>
                <w:rFonts w:hint="eastAsia" w:eastAsia="宋体"/>
                <w:color w:val="000000" w:themeColor="text1"/>
                <w:sz w:val="24"/>
                <w14:textFill>
                  <w14:solidFill>
                    <w14:schemeClr w14:val="tx1"/>
                  </w14:solidFill>
                </w14:textFill>
              </w:rPr>
              <w:t>达到</w:t>
            </w:r>
            <w:r>
              <w:rPr>
                <w:rFonts w:eastAsia="宋体"/>
                <w:color w:val="000000" w:themeColor="text1"/>
                <w:sz w:val="24"/>
                <w14:textFill>
                  <w14:solidFill>
                    <w14:schemeClr w14:val="tx1"/>
                  </w14:solidFill>
                </w14:textFill>
              </w:rPr>
              <w:t>恢复植被、保持水土、净化空气、改善生态、美化环境、保护景观</w:t>
            </w:r>
            <w:r>
              <w:rPr>
                <w:rFonts w:hint="eastAsia" w:eastAsia="宋体"/>
                <w:color w:val="000000" w:themeColor="text1"/>
                <w:sz w:val="24"/>
                <w14:textFill>
                  <w14:solidFill>
                    <w14:schemeClr w14:val="tx1"/>
                  </w14:solidFill>
                </w14:textFill>
              </w:rPr>
              <w:t>的目的，</w:t>
            </w:r>
            <w:r>
              <w:rPr>
                <w:rFonts w:eastAsia="宋体"/>
                <w:color w:val="000000" w:themeColor="text1"/>
                <w:sz w:val="24"/>
                <w:szCs w:val="24"/>
                <w14:textFill>
                  <w14:solidFill>
                    <w14:schemeClr w14:val="tx1"/>
                  </w14:solidFill>
                </w14:textFill>
              </w:rPr>
              <w:t>生态环境将逐渐好转</w:t>
            </w:r>
            <w:r>
              <w:rPr>
                <w:rFonts w:hint="eastAsia" w:eastAsia="宋体"/>
                <w:color w:val="000000" w:themeColor="text1"/>
                <w:sz w:val="24"/>
                <w:szCs w:val="24"/>
                <w14:textFill>
                  <w14:solidFill>
                    <w14:schemeClr w14:val="tx1"/>
                  </w14:solidFill>
                </w14:textFill>
              </w:rPr>
              <w:t>，影响较小</w:t>
            </w:r>
            <w:r>
              <w:rPr>
                <w:rFonts w:eastAsia="宋体"/>
                <w:color w:val="000000" w:themeColor="text1"/>
                <w:sz w:val="24"/>
                <w:szCs w:val="24"/>
                <w14:textFill>
                  <w14:solidFill>
                    <w14:schemeClr w14:val="tx1"/>
                  </w14:solidFill>
                </w14:textFill>
              </w:rPr>
              <w:t>。</w:t>
            </w:r>
          </w:p>
          <w:p>
            <w:pPr>
              <w:adjustRightInd w:val="0"/>
              <w:snapToGrid w:val="0"/>
              <w:spacing w:line="560" w:lineRule="exact"/>
              <w:ind w:right="140" w:rightChars="50" w:firstLine="472" w:firstLineChars="196"/>
              <w:rPr>
                <w:rFonts w:eastAsia="宋体"/>
                <w:b/>
                <w:color w:val="000000" w:themeColor="text1"/>
                <w:sz w:val="24"/>
                <w:szCs w:val="24"/>
                <w14:textFill>
                  <w14:solidFill>
                    <w14:schemeClr w14:val="tx1"/>
                  </w14:solidFill>
                </w14:textFill>
              </w:rPr>
            </w:pPr>
            <w:r>
              <w:rPr>
                <w:rFonts w:hint="eastAsia" w:eastAsia="宋体"/>
                <w:b/>
                <w:color w:val="000000" w:themeColor="text1"/>
                <w:sz w:val="24"/>
                <w:szCs w:val="24"/>
                <w14:textFill>
                  <w14:solidFill>
                    <w14:schemeClr w14:val="tx1"/>
                  </w14:solidFill>
                </w14:textFill>
              </w:rPr>
              <w:t>七、环境风险分析</w:t>
            </w:r>
          </w:p>
          <w:p>
            <w:pPr>
              <w:pStyle w:val="2"/>
              <w:spacing w:line="560" w:lineRule="exact"/>
              <w:ind w:left="48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7.1风险调查</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7.1.1风险源</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本项目可能发生的风险为渗滤液处理设备事故风险和次氯酸钠化学药品泄漏风险。</w:t>
            </w:r>
          </w:p>
          <w:p>
            <w:pPr>
              <w:pStyle w:val="2"/>
              <w:spacing w:line="560" w:lineRule="exact"/>
              <w:ind w:firstLine="480" w:firstLineChars="200"/>
              <w:jc w:val="both"/>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本项目渗滤液在处理之前由收集池（720m</w:t>
            </w:r>
            <w:r>
              <w:rPr>
                <w:rFonts w:hint="eastAsia" w:eastAsia="宋体"/>
                <w:color w:val="000000" w:themeColor="text1"/>
                <w:sz w:val="24"/>
                <w:szCs w:val="24"/>
                <w:vertAlign w:val="superscript"/>
                <w14:textFill>
                  <w14:solidFill>
                    <w14:schemeClr w14:val="tx1"/>
                  </w14:solidFill>
                </w14:textFill>
              </w:rPr>
              <w:t>3</w:t>
            </w:r>
            <w:r>
              <w:rPr>
                <w:rFonts w:hint="eastAsia" w:eastAsia="宋体"/>
                <w:color w:val="000000" w:themeColor="text1"/>
                <w:sz w:val="24"/>
                <w:szCs w:val="24"/>
                <w14:textFill>
                  <w14:solidFill>
                    <w14:schemeClr w14:val="tx1"/>
                  </w14:solidFill>
                </w14:textFill>
              </w:rPr>
              <w:t>）收集，调节池（537.9m</w:t>
            </w:r>
            <w:r>
              <w:rPr>
                <w:rFonts w:hint="eastAsia" w:eastAsia="宋体"/>
                <w:color w:val="000000" w:themeColor="text1"/>
                <w:sz w:val="24"/>
                <w:szCs w:val="24"/>
                <w:vertAlign w:val="superscript"/>
                <w14:textFill>
                  <w14:solidFill>
                    <w14:schemeClr w14:val="tx1"/>
                  </w14:solidFill>
                </w14:textFill>
              </w:rPr>
              <w:t>3</w:t>
            </w:r>
            <w:r>
              <w:rPr>
                <w:rFonts w:hint="eastAsia" w:eastAsia="宋体"/>
                <w:color w:val="000000" w:themeColor="text1"/>
                <w:sz w:val="24"/>
                <w:szCs w:val="24"/>
                <w14:textFill>
                  <w14:solidFill>
                    <w14:schemeClr w14:val="tx1"/>
                  </w14:solidFill>
                </w14:textFill>
              </w:rPr>
              <w:t>）缓冲调节，且是通过水泵抽水进行处理，处理中环节也是由各个独立池体组成。即使设备出现故障，不能正常运行，且工作人员未能及时关闭抽水阀门，有收集池、调节池协同储水能够避免渗滤液未经处理排放。只要加强运行设备及人员管理，定期监测出水水质及检修设备，减少事故发生。在严格落实以上项措施后，该项事故风险较小。</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本项目主要风险为危险化学药品，</w:t>
            </w:r>
            <w:r>
              <w:rPr>
                <w:rFonts w:eastAsia="宋体"/>
                <w:color w:val="000000" w:themeColor="text1"/>
                <w:sz w:val="24"/>
                <w:szCs w:val="24"/>
                <w14:textFill>
                  <w14:solidFill>
                    <w14:schemeClr w14:val="tx1"/>
                  </w14:solidFill>
                </w14:textFill>
              </w:rPr>
              <w:t>在MBR</w:t>
            </w:r>
            <w:r>
              <w:rPr>
                <w:rFonts w:hint="eastAsia" w:eastAsia="宋体"/>
                <w:color w:val="000000" w:themeColor="text1"/>
                <w:sz w:val="24"/>
                <w:szCs w:val="24"/>
                <w14:textFill>
                  <w14:solidFill>
                    <w14:schemeClr w14:val="tx1"/>
                  </w14:solidFill>
                </w14:textFill>
              </w:rPr>
              <w:t>膜清洗过程中会</w:t>
            </w:r>
            <w:r>
              <w:rPr>
                <w:rFonts w:eastAsia="宋体"/>
                <w:color w:val="000000" w:themeColor="text1"/>
                <w:sz w:val="24"/>
                <w:szCs w:val="24"/>
                <w14:textFill>
                  <w14:solidFill>
                    <w14:schemeClr w14:val="tx1"/>
                  </w14:solidFill>
                </w14:textFill>
              </w:rPr>
              <w:t>采用的化学品主要为</w:t>
            </w:r>
            <w:r>
              <w:rPr>
                <w:rFonts w:hint="eastAsia" w:eastAsia="宋体"/>
                <w:color w:val="000000" w:themeColor="text1"/>
                <w:sz w:val="24"/>
                <w:szCs w:val="24"/>
                <w14:textFill>
                  <w14:solidFill>
                    <w14:schemeClr w14:val="tx1"/>
                  </w14:solidFill>
                </w14:textFill>
              </w:rPr>
              <w:t>次氯酸钠，最大储量为0.3t</w:t>
            </w:r>
            <w:r>
              <w:rPr>
                <w:rFonts w:eastAsia="宋体"/>
                <w:color w:val="000000" w:themeColor="text1"/>
                <w:sz w:val="24"/>
                <w:szCs w:val="24"/>
                <w14:textFill>
                  <w14:solidFill>
                    <w14:schemeClr w14:val="tx1"/>
                  </w14:solidFill>
                </w14:textFill>
              </w:rPr>
              <w:t>。</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7.1.2环境敏感目标</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bCs/>
                <w:color w:val="000000" w:themeColor="text1"/>
                <w:sz w:val="24"/>
                <w:szCs w:val="24"/>
                <w14:textFill>
                  <w14:solidFill>
                    <w14:schemeClr w14:val="tx1"/>
                  </w14:solidFill>
                </w14:textFill>
              </w:rPr>
              <w:t>本项目位于玛纳斯县兰州湾镇东北方向，生活垃圾填埋场东北侧预留空地内，周边主要为农田和林地环绕</w:t>
            </w:r>
            <w:r>
              <w:rPr>
                <w:rFonts w:hint="eastAsia" w:eastAsia="宋体"/>
                <w:bCs/>
                <w:color w:val="000000" w:themeColor="text1"/>
                <w:sz w:val="24"/>
                <w:szCs w:val="24"/>
                <w14:textFill>
                  <w14:solidFill>
                    <w14:schemeClr w14:val="tx1"/>
                  </w14:solidFill>
                </w14:textFill>
              </w:rPr>
              <w:t>。</w:t>
            </w:r>
            <w:r>
              <w:rPr>
                <w:rStyle w:val="98"/>
                <w:rFonts w:hint="default" w:ascii="Times New Roman" w:hAnsi="Times New Roman"/>
                <w:color w:val="000000" w:themeColor="text1"/>
                <w14:textFill>
                  <w14:solidFill>
                    <w14:schemeClr w14:val="tx1"/>
                  </w14:solidFill>
                </w14:textFill>
              </w:rPr>
              <w:t>项目周围无风景名胜区、生活饮用水源地和其他需要特别保护的敏感目标分布。距离本项目最近的敏感目标位于项目区</w:t>
            </w:r>
            <w:r>
              <w:rPr>
                <w:rFonts w:hint="eastAsia" w:eastAsia="宋体"/>
                <w:color w:val="000000" w:themeColor="text1"/>
                <w:sz w:val="24"/>
                <w:szCs w:val="24"/>
                <w14:textFill>
                  <w14:solidFill>
                    <w14:schemeClr w14:val="tx1"/>
                  </w14:solidFill>
                </w14:textFill>
              </w:rPr>
              <w:t>西侧500m的</w:t>
            </w:r>
            <w:r>
              <w:rPr>
                <w:rFonts w:hint="eastAsia" w:eastAsia="宋体"/>
                <w:color w:val="000000" w:themeColor="text1"/>
                <w:sz w:val="24"/>
                <w14:textFill>
                  <w14:solidFill>
                    <w14:schemeClr w14:val="tx1"/>
                  </w14:solidFill>
                </w14:textFill>
              </w:rPr>
              <w:t>兰州湾镇（属于项目区上风向）</w:t>
            </w:r>
            <w:r>
              <w:rPr>
                <w:rStyle w:val="98"/>
                <w:rFonts w:hint="default" w:ascii="Times New Roman" w:hAnsi="Times New Roman"/>
                <w:color w:val="000000" w:themeColor="text1"/>
                <w14:textFill>
                  <w14:solidFill>
                    <w14:schemeClr w14:val="tx1"/>
                  </w14:solidFill>
                </w14:textFill>
              </w:rPr>
              <w:t>。</w:t>
            </w:r>
          </w:p>
          <w:p>
            <w:pPr>
              <w:pStyle w:val="2"/>
              <w:spacing w:line="560" w:lineRule="exact"/>
              <w:ind w:left="48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7.2环境风险潜势初判</w:t>
            </w:r>
          </w:p>
          <w:p>
            <w:pPr>
              <w:pStyle w:val="2"/>
              <w:spacing w:line="560" w:lineRule="exact"/>
              <w:ind w:left="48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7.2.1环境风险潜势划分</w:t>
            </w:r>
          </w:p>
          <w:p>
            <w:pPr>
              <w:pStyle w:val="2"/>
              <w:spacing w:line="560" w:lineRule="exact"/>
              <w:ind w:firstLine="480" w:firstLineChars="200"/>
              <w:jc w:val="both"/>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建设项目环境风险潜势划分为Ⅰ、Ⅱ、Ⅲ、Ⅳ/Ⅳ</w:t>
            </w:r>
            <w:r>
              <w:rPr>
                <w:rFonts w:hint="eastAsia" w:eastAsia="宋体"/>
                <w:color w:val="000000" w:themeColor="text1"/>
                <w:sz w:val="24"/>
                <w:vertAlign w:val="superscript"/>
                <w:lang w:val="en-US"/>
                <w14:textFill>
                  <w14:solidFill>
                    <w14:schemeClr w14:val="tx1"/>
                  </w14:solidFill>
                </w14:textFill>
              </w:rPr>
              <w:t>+</w:t>
            </w:r>
            <w:r>
              <w:rPr>
                <w:rFonts w:hint="eastAsia" w:eastAsia="宋体"/>
                <w:color w:val="000000" w:themeColor="text1"/>
                <w:sz w:val="24"/>
                <w:lang w:val="en-US"/>
                <w14:textFill>
                  <w14:solidFill>
                    <w14:schemeClr w14:val="tx1"/>
                  </w14:solidFill>
                </w14:textFill>
              </w:rPr>
              <w:t>级。根据建设项目涉及的物质和工艺系统的危险性及其所在地的环境敏感程度，结合事故情形下环境影响途径，对建设项目潜在环境危险程度进行概化分析，按照下表确定环境风险潜势。</w:t>
            </w:r>
          </w:p>
          <w:p>
            <w:pPr>
              <w:pStyle w:val="2"/>
              <w:rPr>
                <w:rFonts w:eastAsia="宋体"/>
                <w:b/>
                <w:color w:val="000000" w:themeColor="text1"/>
                <w:lang w:val="en-US"/>
                <w14:textFill>
                  <w14:solidFill>
                    <w14:schemeClr w14:val="tx1"/>
                  </w14:solidFill>
                </w14:textFill>
              </w:rPr>
            </w:pPr>
            <w:r>
              <w:rPr>
                <w:rFonts w:hint="eastAsia" w:eastAsia="宋体"/>
                <w:b/>
                <w:color w:val="000000" w:themeColor="text1"/>
                <w:lang w:val="en-US"/>
                <w14:textFill>
                  <w14:solidFill>
                    <w14:schemeClr w14:val="tx1"/>
                  </w14:solidFill>
                </w14:textFill>
              </w:rPr>
              <w:t>表</w:t>
            </w:r>
            <w:r>
              <w:rPr>
                <w:rFonts w:hint="eastAsia" w:eastAsia="宋体"/>
                <w:b/>
                <w:color w:val="000000" w:themeColor="text1"/>
                <w:lang w:val="en-US" w:eastAsia="zh-CN"/>
                <w14:textFill>
                  <w14:solidFill>
                    <w14:schemeClr w14:val="tx1"/>
                  </w14:solidFill>
                </w14:textFill>
              </w:rPr>
              <w:t>30</w:t>
            </w:r>
            <w:r>
              <w:rPr>
                <w:rFonts w:hint="eastAsia" w:eastAsia="宋体"/>
                <w:b/>
                <w:color w:val="000000" w:themeColor="text1"/>
                <w:lang w:val="en-US"/>
                <w14:textFill>
                  <w14:solidFill>
                    <w14:schemeClr w14:val="tx1"/>
                  </w14:solidFill>
                </w14:textFill>
              </w:rPr>
              <w:t xml:space="preserve">  建设项目环境风险潜势划分</w:t>
            </w:r>
          </w:p>
          <w:p>
            <w:pPr>
              <w:pStyle w:val="2"/>
              <w:spacing w:line="240" w:lineRule="auto"/>
              <w:jc w:val="left"/>
              <w:rPr>
                <w:rFonts w:eastAsia="宋体"/>
                <w:color w:val="000000" w:themeColor="text1"/>
                <w:lang w:val="en-US"/>
                <w14:textFill>
                  <w14:solidFill>
                    <w14:schemeClr w14:val="tx1"/>
                  </w14:solidFill>
                </w14:textFill>
              </w:rPr>
            </w:pPr>
            <w:r>
              <w:rPr>
                <w:rFonts w:eastAsia="宋体"/>
                <w:color w:val="000000" w:themeColor="text1"/>
                <w:lang w:val="en-US"/>
                <w14:textFill>
                  <w14:solidFill>
                    <w14:schemeClr w14:val="tx1"/>
                  </w14:solidFill>
                </w14:textFill>
              </w:rPr>
              <w:drawing>
                <wp:inline distT="0" distB="0" distL="0" distR="0">
                  <wp:extent cx="5759450" cy="13081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760000" cy="1308667"/>
                          </a:xfrm>
                          <a:prstGeom prst="rect">
                            <a:avLst/>
                          </a:prstGeom>
                        </pic:spPr>
                      </pic:pic>
                    </a:graphicData>
                  </a:graphic>
                </wp:inline>
              </w:drawing>
            </w:r>
          </w:p>
          <w:p>
            <w:pPr>
              <w:pStyle w:val="2"/>
              <w:spacing w:line="560" w:lineRule="exact"/>
              <w:ind w:left="48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7.2.2危险性（P）</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根据</w:t>
            </w:r>
            <w:r>
              <w:rPr>
                <w:rFonts w:hint="eastAsia" w:eastAsia="宋体"/>
                <w:color w:val="000000" w:themeColor="text1"/>
                <w:sz w:val="24"/>
                <w:szCs w:val="24"/>
                <w14:textFill>
                  <w14:solidFill>
                    <w14:schemeClr w14:val="tx1"/>
                  </w14:solidFill>
                </w14:textFill>
              </w:rPr>
              <w:t>《建设项目环境风险评价技术导则》（HJ169-2018）</w:t>
            </w:r>
            <w:r>
              <w:rPr>
                <w:rFonts w:eastAsia="宋体"/>
                <w:color w:val="000000" w:themeColor="text1"/>
                <w:sz w:val="24"/>
                <w:szCs w:val="24"/>
                <w14:textFill>
                  <w14:solidFill>
                    <w14:schemeClr w14:val="tx1"/>
                  </w14:solidFill>
                </w14:textFill>
              </w:rPr>
              <w:t>中</w:t>
            </w:r>
            <w:r>
              <w:rPr>
                <w:rFonts w:hint="eastAsia" w:eastAsia="宋体"/>
                <w:color w:val="000000" w:themeColor="text1"/>
                <w:sz w:val="24"/>
                <w:szCs w:val="24"/>
                <w14:textFill>
                  <w14:solidFill>
                    <w14:schemeClr w14:val="tx1"/>
                  </w14:solidFill>
                </w14:textFill>
              </w:rPr>
              <w:t>附录B重点关注的危险物质及临界值，以及附录C危险物质及工艺系统危险性（P）的分级</w:t>
            </w: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本项目危险物质数量与临界量的比值Q</w:t>
            </w:r>
            <w:r>
              <w:rPr>
                <w:rFonts w:eastAsia="宋体"/>
                <w:color w:val="000000" w:themeColor="text1"/>
                <w:sz w:val="24"/>
                <w:szCs w:val="24"/>
                <w14:textFill>
                  <w14:solidFill>
                    <w14:schemeClr w14:val="tx1"/>
                  </w14:solidFill>
                </w14:textFill>
              </w:rPr>
              <w:t>见</w:t>
            </w:r>
            <w:r>
              <w:rPr>
                <w:rFonts w:hint="eastAsia" w:eastAsia="宋体"/>
                <w:color w:val="000000" w:themeColor="text1"/>
                <w:sz w:val="24"/>
                <w:szCs w:val="24"/>
                <w14:textFill>
                  <w14:solidFill>
                    <w14:schemeClr w14:val="tx1"/>
                  </w14:solidFill>
                </w14:textFill>
              </w:rPr>
              <w:t>下表</w:t>
            </w:r>
            <w:r>
              <w:rPr>
                <w:rFonts w:eastAsia="宋体"/>
                <w:color w:val="000000" w:themeColor="text1"/>
                <w:sz w:val="24"/>
                <w:szCs w:val="24"/>
                <w14:textFill>
                  <w14:solidFill>
                    <w14:schemeClr w14:val="tx1"/>
                  </w14:solidFill>
                </w14:textFill>
              </w:rPr>
              <w:t>。</w:t>
            </w:r>
          </w:p>
          <w:p>
            <w:pPr>
              <w:spacing w:line="560" w:lineRule="exact"/>
              <w:jc w:val="center"/>
              <w:textAlignment w:val="baseline"/>
              <w:rPr>
                <w:rFonts w:eastAsia="宋体"/>
                <w:b/>
                <w:color w:val="000000" w:themeColor="text1"/>
                <w:sz w:val="21"/>
                <w:szCs w:val="24"/>
                <w14:textFill>
                  <w14:solidFill>
                    <w14:schemeClr w14:val="tx1"/>
                  </w14:solidFill>
                </w14:textFill>
              </w:rPr>
            </w:pPr>
            <w:r>
              <w:rPr>
                <w:rFonts w:eastAsia="宋体"/>
                <w:b/>
                <w:color w:val="000000" w:themeColor="text1"/>
                <w:sz w:val="21"/>
                <w:szCs w:val="24"/>
                <w14:textFill>
                  <w14:solidFill>
                    <w14:schemeClr w14:val="tx1"/>
                  </w14:solidFill>
                </w14:textFill>
              </w:rPr>
              <w:t>表</w:t>
            </w:r>
            <w:r>
              <w:rPr>
                <w:rFonts w:hint="eastAsia" w:eastAsia="宋体"/>
                <w:b/>
                <w:color w:val="000000" w:themeColor="text1"/>
                <w:sz w:val="21"/>
                <w:szCs w:val="24"/>
                <w:lang w:val="en-US" w:eastAsia="zh-CN"/>
                <w14:textFill>
                  <w14:solidFill>
                    <w14:schemeClr w14:val="tx1"/>
                  </w14:solidFill>
                </w14:textFill>
              </w:rPr>
              <w:t>31</w:t>
            </w:r>
            <w:r>
              <w:rPr>
                <w:rFonts w:eastAsia="宋体"/>
                <w:b/>
                <w:color w:val="000000" w:themeColor="text1"/>
                <w:sz w:val="21"/>
                <w:szCs w:val="24"/>
                <w14:textFill>
                  <w14:solidFill>
                    <w14:schemeClr w14:val="tx1"/>
                  </w14:solidFill>
                </w14:textFill>
              </w:rPr>
              <w:t xml:space="preserve"> </w:t>
            </w:r>
            <w:r>
              <w:rPr>
                <w:rFonts w:hint="eastAsia" w:eastAsia="宋体"/>
                <w:b/>
                <w:color w:val="000000" w:themeColor="text1"/>
                <w:sz w:val="21"/>
                <w:szCs w:val="24"/>
                <w14:textFill>
                  <w14:solidFill>
                    <w14:schemeClr w14:val="tx1"/>
                  </w14:solidFill>
                </w14:textFill>
              </w:rPr>
              <w:t xml:space="preserve"> </w:t>
            </w:r>
            <w:r>
              <w:rPr>
                <w:rFonts w:eastAsia="宋体"/>
                <w:b/>
                <w:color w:val="000000" w:themeColor="text1"/>
                <w:sz w:val="21"/>
                <w:szCs w:val="24"/>
                <w14:textFill>
                  <w14:solidFill>
                    <w14:schemeClr w14:val="tx1"/>
                  </w14:solidFill>
                </w14:textFill>
              </w:rPr>
              <w:t>危险物质临界量</w:t>
            </w:r>
            <w:r>
              <w:rPr>
                <w:rFonts w:hint="eastAsia" w:eastAsia="宋体"/>
                <w:b/>
                <w:color w:val="000000" w:themeColor="text1"/>
                <w:sz w:val="21"/>
                <w:szCs w:val="24"/>
                <w14:textFill>
                  <w14:solidFill>
                    <w14:schemeClr w14:val="tx1"/>
                  </w14:solidFill>
                </w14:textFill>
              </w:rPr>
              <w:t>与</w:t>
            </w:r>
            <w:r>
              <w:rPr>
                <w:rFonts w:eastAsia="宋体"/>
                <w:b/>
                <w:color w:val="000000" w:themeColor="text1"/>
                <w:sz w:val="21"/>
                <w:szCs w:val="24"/>
                <w14:textFill>
                  <w14:solidFill>
                    <w14:schemeClr w14:val="tx1"/>
                  </w14:solidFill>
                </w14:textFill>
              </w:rPr>
              <w:t>储存量</w:t>
            </w:r>
          </w:p>
          <w:tbl>
            <w:tblPr>
              <w:tblStyle w:val="32"/>
              <w:tblW w:w="89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2369"/>
              <w:gridCol w:w="3493"/>
              <w:gridCol w:w="16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492"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名称</w:t>
                  </w:r>
                </w:p>
              </w:tc>
              <w:tc>
                <w:tcPr>
                  <w:tcW w:w="2369"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最大储存量</w:t>
                  </w:r>
                </w:p>
              </w:tc>
              <w:tc>
                <w:tcPr>
                  <w:tcW w:w="3493"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临界量</w:t>
                  </w:r>
                </w:p>
              </w:tc>
              <w:tc>
                <w:tcPr>
                  <w:tcW w:w="1610"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492" w:type="dxa"/>
                  <w:vAlign w:val="center"/>
                </w:tcPr>
                <w:p>
                  <w:pPr>
                    <w:jc w:val="center"/>
                    <w:rPr>
                      <w:rFonts w:eastAsia="宋体"/>
                      <w:color w:val="000000" w:themeColor="text1"/>
                      <w:spacing w:val="-4"/>
                      <w:sz w:val="21"/>
                      <w:szCs w:val="21"/>
                      <w14:textFill>
                        <w14:solidFill>
                          <w14:schemeClr w14:val="tx1"/>
                        </w14:solidFill>
                      </w14:textFill>
                    </w:rPr>
                  </w:pPr>
                  <w:r>
                    <w:rPr>
                      <w:rFonts w:hint="eastAsia" w:eastAsia="宋体"/>
                      <w:color w:val="000000" w:themeColor="text1"/>
                      <w:spacing w:val="-4"/>
                      <w:sz w:val="21"/>
                      <w:szCs w:val="21"/>
                      <w14:textFill>
                        <w14:solidFill>
                          <w14:schemeClr w14:val="tx1"/>
                        </w14:solidFill>
                      </w14:textFill>
                    </w:rPr>
                    <w:t>次氯酸钠</w:t>
                  </w:r>
                </w:p>
              </w:tc>
              <w:tc>
                <w:tcPr>
                  <w:tcW w:w="2369"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0.3t</w:t>
                  </w:r>
                </w:p>
              </w:tc>
              <w:tc>
                <w:tcPr>
                  <w:tcW w:w="3493"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t</w:t>
                  </w:r>
                </w:p>
              </w:tc>
              <w:tc>
                <w:tcPr>
                  <w:tcW w:w="1610"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r>
                    <w:rPr>
                      <w:rFonts w:hint="eastAsia" w:eastAsia="宋体"/>
                      <w:color w:val="000000" w:themeColor="text1"/>
                      <w:sz w:val="21"/>
                      <w:szCs w:val="21"/>
                      <w14:textFill>
                        <w14:solidFill>
                          <w14:schemeClr w14:val="tx1"/>
                        </w14:solidFill>
                      </w14:textFill>
                    </w:rPr>
                    <w:t>06</w:t>
                  </w:r>
                </w:p>
              </w:tc>
            </w:tr>
          </w:tbl>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由上表可以看出，</w:t>
            </w:r>
            <w:r>
              <w:rPr>
                <w:rFonts w:hint="eastAsia" w:eastAsia="宋体"/>
                <w:color w:val="000000" w:themeColor="text1"/>
                <w:sz w:val="24"/>
                <w:szCs w:val="24"/>
                <w14:textFill>
                  <w14:solidFill>
                    <w14:schemeClr w14:val="tx1"/>
                  </w14:solidFill>
                </w14:textFill>
              </w:rPr>
              <w:t>Q=0.06&lt;1，因此本项目环境风险潜势为Ⅰ</w:t>
            </w:r>
            <w:r>
              <w:rPr>
                <w:rFonts w:eastAsia="宋体"/>
                <w:color w:val="000000" w:themeColor="text1"/>
                <w:sz w:val="24"/>
                <w:szCs w:val="24"/>
                <w14:textFill>
                  <w14:solidFill>
                    <w14:schemeClr w14:val="tx1"/>
                  </w14:solidFill>
                </w14:textFill>
              </w:rPr>
              <w:t>。</w:t>
            </w:r>
          </w:p>
          <w:p>
            <w:pPr>
              <w:pStyle w:val="2"/>
              <w:spacing w:line="560" w:lineRule="exact"/>
              <w:ind w:left="48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7.2.3环境敏感性（E）</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eastAsia="宋体"/>
                <w:color w:val="000000" w:themeColor="text1"/>
                <w:sz w:val="24"/>
                <w:szCs w:val="24"/>
                <w14:textFill>
                  <w14:solidFill>
                    <w14:schemeClr w14:val="tx1"/>
                  </w14:solidFill>
                </w14:textFill>
              </w:rPr>
              <w:t>根据</w:t>
            </w:r>
            <w:r>
              <w:rPr>
                <w:rFonts w:hint="eastAsia" w:eastAsia="宋体"/>
                <w:color w:val="000000" w:themeColor="text1"/>
                <w:sz w:val="24"/>
                <w:szCs w:val="24"/>
                <w14:textFill>
                  <w14:solidFill>
                    <w14:schemeClr w14:val="tx1"/>
                  </w14:solidFill>
                </w14:textFill>
              </w:rPr>
              <w:t>《建设项目环境风险评价技术导则》（HJ169-2018）</w:t>
            </w:r>
            <w:r>
              <w:rPr>
                <w:rFonts w:eastAsia="宋体"/>
                <w:color w:val="000000" w:themeColor="text1"/>
                <w:sz w:val="24"/>
                <w:szCs w:val="24"/>
                <w14:textFill>
                  <w14:solidFill>
                    <w14:schemeClr w14:val="tx1"/>
                  </w14:solidFill>
                </w14:textFill>
              </w:rPr>
              <w:t>中</w:t>
            </w:r>
            <w:r>
              <w:rPr>
                <w:rFonts w:hint="eastAsia" w:eastAsia="宋体"/>
                <w:color w:val="000000" w:themeColor="text1"/>
                <w:sz w:val="24"/>
                <w:szCs w:val="24"/>
                <w14:textFill>
                  <w14:solidFill>
                    <w14:schemeClr w14:val="tx1"/>
                  </w14:solidFill>
                </w14:textFill>
              </w:rPr>
              <w:t>附录D环境敏感程度（E）的分级。本项目最近敏感点为西侧500m处的兰州湾镇，约20000人，大气敏感程度为E2；项目区北侧有六浮渠分布，但本项目尾水不排放，地表水敏感程度为E2；项目区不涉及地下水敏感区，防渗性能良好（</w:t>
            </w:r>
            <w:r>
              <w:rPr>
                <w:rFonts w:eastAsia="宋体"/>
                <w:color w:val="000000" w:themeColor="text1"/>
                <w:sz w:val="24"/>
                <w:szCs w:val="24"/>
                <w:lang w:val="en-GB"/>
                <w14:textFill>
                  <w14:solidFill>
                    <w14:schemeClr w14:val="tx1"/>
                  </w14:solidFill>
                </w14:textFill>
              </w:rPr>
              <w:t>防渗层要求不低于</w:t>
            </w:r>
            <w:r>
              <w:rPr>
                <w:rFonts w:eastAsia="宋体"/>
                <w:color w:val="000000" w:themeColor="text1"/>
                <w:sz w:val="24"/>
                <w:szCs w:val="24"/>
                <w14:textFill>
                  <w14:solidFill>
                    <w14:schemeClr w14:val="tx1"/>
                  </w14:solidFill>
                </w14:textFill>
              </w:rPr>
              <w:t>1.5m厚渗透系数1×10</w:t>
            </w:r>
            <w:r>
              <w:rPr>
                <w:rFonts w:eastAsia="宋体"/>
                <w:color w:val="000000" w:themeColor="text1"/>
                <w:sz w:val="24"/>
                <w:szCs w:val="24"/>
                <w:vertAlign w:val="superscript"/>
                <w14:textFill>
                  <w14:solidFill>
                    <w14:schemeClr w14:val="tx1"/>
                  </w14:solidFill>
                </w14:textFill>
              </w:rPr>
              <w:t>-7</w:t>
            </w:r>
            <w:r>
              <w:rPr>
                <w:rFonts w:eastAsia="宋体"/>
                <w:color w:val="000000" w:themeColor="text1"/>
                <w:sz w:val="24"/>
                <w:szCs w:val="24"/>
                <w14:textFill>
                  <w14:solidFill>
                    <w14:schemeClr w14:val="tx1"/>
                  </w14:solidFill>
                </w14:textFill>
              </w:rPr>
              <w:t>cm/s的等效黏土层</w:t>
            </w:r>
            <w:r>
              <w:rPr>
                <w:rFonts w:hint="eastAsia" w:eastAsia="宋体"/>
                <w:color w:val="000000" w:themeColor="text1"/>
                <w:sz w:val="24"/>
                <w:szCs w:val="24"/>
                <w14:textFill>
                  <w14:solidFill>
                    <w14:schemeClr w14:val="tx1"/>
                  </w14:solidFill>
                </w14:textFill>
              </w:rPr>
              <w:t>），地下水敏感程度为E3。故本项目为环境中度敏感区（E2）。</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综上，根据《建设项目环境风险评价技术导则》（HJ169-2018）中评价工作等级划分，本项目环境风险潜势为Ⅰ，评价等级为简单分析。</w:t>
            </w:r>
          </w:p>
          <w:p>
            <w:pPr>
              <w:spacing w:line="560" w:lineRule="exact"/>
              <w:jc w:val="center"/>
              <w:textAlignment w:val="baseline"/>
              <w:rPr>
                <w:rFonts w:eastAsia="宋体"/>
                <w:b/>
                <w:color w:val="000000" w:themeColor="text1"/>
                <w:sz w:val="21"/>
                <w:szCs w:val="24"/>
                <w14:textFill>
                  <w14:solidFill>
                    <w14:schemeClr w14:val="tx1"/>
                  </w14:solidFill>
                </w14:textFill>
              </w:rPr>
            </w:pPr>
            <w:r>
              <w:rPr>
                <w:rFonts w:eastAsia="宋体"/>
                <w:b/>
                <w:color w:val="000000" w:themeColor="text1"/>
                <w:sz w:val="21"/>
                <w:szCs w:val="24"/>
                <w14:textFill>
                  <w14:solidFill>
                    <w14:schemeClr w14:val="tx1"/>
                  </w14:solidFill>
                </w14:textFill>
              </w:rPr>
              <w:t>表</w:t>
            </w:r>
            <w:r>
              <w:rPr>
                <w:rFonts w:hint="eastAsia" w:eastAsia="宋体"/>
                <w:b/>
                <w:color w:val="000000" w:themeColor="text1"/>
                <w:sz w:val="21"/>
                <w:szCs w:val="24"/>
                <w14:textFill>
                  <w14:solidFill>
                    <w14:schemeClr w14:val="tx1"/>
                  </w14:solidFill>
                </w14:textFill>
              </w:rPr>
              <w:t>3</w:t>
            </w:r>
            <w:r>
              <w:rPr>
                <w:rFonts w:hint="eastAsia" w:eastAsia="宋体"/>
                <w:b/>
                <w:color w:val="000000" w:themeColor="text1"/>
                <w:sz w:val="21"/>
                <w:szCs w:val="24"/>
                <w:lang w:val="en-US" w:eastAsia="zh-CN"/>
                <w14:textFill>
                  <w14:solidFill>
                    <w14:schemeClr w14:val="tx1"/>
                  </w14:solidFill>
                </w14:textFill>
              </w:rPr>
              <w:t>2</w:t>
            </w:r>
            <w:r>
              <w:rPr>
                <w:rFonts w:eastAsia="宋体"/>
                <w:b/>
                <w:color w:val="000000" w:themeColor="text1"/>
                <w:sz w:val="21"/>
                <w:szCs w:val="24"/>
                <w14:textFill>
                  <w14:solidFill>
                    <w14:schemeClr w14:val="tx1"/>
                  </w14:solidFill>
                </w14:textFill>
              </w:rPr>
              <w:t xml:space="preserve"> </w:t>
            </w:r>
            <w:r>
              <w:rPr>
                <w:rFonts w:hint="eastAsia" w:eastAsia="宋体"/>
                <w:b/>
                <w:color w:val="000000" w:themeColor="text1"/>
                <w:sz w:val="21"/>
                <w:szCs w:val="24"/>
                <w14:textFill>
                  <w14:solidFill>
                    <w14:schemeClr w14:val="tx1"/>
                  </w14:solidFill>
                </w14:textFill>
              </w:rPr>
              <w:t xml:space="preserve"> 评价工作等级划分</w:t>
            </w:r>
          </w:p>
          <w:p>
            <w:pPr>
              <w:pStyle w:val="2"/>
              <w:spacing w:line="240" w:lineRule="auto"/>
              <w:rPr>
                <w:rFonts w:eastAsia="宋体"/>
                <w:color w:val="000000" w:themeColor="text1"/>
                <w:lang w:val="en-US"/>
                <w14:textFill>
                  <w14:solidFill>
                    <w14:schemeClr w14:val="tx1"/>
                  </w14:solidFill>
                </w14:textFill>
              </w:rPr>
            </w:pPr>
            <w:r>
              <w:rPr>
                <w:rFonts w:eastAsia="宋体"/>
                <w:color w:val="000000" w:themeColor="text1"/>
                <w:lang w:val="en-US"/>
                <w14:textFill>
                  <w14:solidFill>
                    <w14:schemeClr w14:val="tx1"/>
                  </w14:solidFill>
                </w14:textFill>
              </w:rPr>
              <w:drawing>
                <wp:inline distT="0" distB="0" distL="0" distR="0">
                  <wp:extent cx="5759450" cy="108013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760000" cy="1080667"/>
                          </a:xfrm>
                          <a:prstGeom prst="rect">
                            <a:avLst/>
                          </a:prstGeom>
                        </pic:spPr>
                      </pic:pic>
                    </a:graphicData>
                  </a:graphic>
                </wp:inline>
              </w:drawing>
            </w:r>
          </w:p>
          <w:p>
            <w:pPr>
              <w:pStyle w:val="2"/>
              <w:spacing w:line="560" w:lineRule="exact"/>
              <w:ind w:left="48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7.3风险识别及源项分析</w:t>
            </w:r>
          </w:p>
          <w:p>
            <w:pPr>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本项目</w:t>
            </w:r>
            <w:r>
              <w:rPr>
                <w:rFonts w:hint="eastAsia" w:eastAsia="宋体"/>
                <w:color w:val="000000" w:themeColor="text1"/>
                <w:sz w:val="24"/>
                <w:szCs w:val="24"/>
                <w14:textFill>
                  <w14:solidFill>
                    <w14:schemeClr w14:val="tx1"/>
                  </w14:solidFill>
                </w14:textFill>
              </w:rPr>
              <w:t>次氯酸钠</w:t>
            </w:r>
            <w:r>
              <w:rPr>
                <w:rFonts w:eastAsia="宋体"/>
                <w:color w:val="000000" w:themeColor="text1"/>
                <w:sz w:val="24"/>
                <w:szCs w:val="24"/>
                <w14:textFill>
                  <w14:solidFill>
                    <w14:schemeClr w14:val="tx1"/>
                  </w14:solidFill>
                </w14:textFill>
              </w:rPr>
              <w:t>储存量较小，投加系统为自动装置，相对来说，发生泄漏事故几率较小且危害不大。根据工程分析及物料的有毒有害性质，本次评价泄漏事故预测源为储罐中</w:t>
            </w:r>
            <w:r>
              <w:rPr>
                <w:rFonts w:hint="eastAsia" w:eastAsia="宋体"/>
                <w:color w:val="000000" w:themeColor="text1"/>
                <w:sz w:val="24"/>
                <w:szCs w:val="24"/>
                <w14:textFill>
                  <w14:solidFill>
                    <w14:schemeClr w14:val="tx1"/>
                  </w14:solidFill>
                </w14:textFill>
              </w:rPr>
              <w:t>次氯酸钠</w:t>
            </w:r>
            <w:r>
              <w:rPr>
                <w:rFonts w:eastAsia="宋体"/>
                <w:color w:val="000000" w:themeColor="text1"/>
                <w:sz w:val="24"/>
                <w:szCs w:val="24"/>
                <w14:textFill>
                  <w14:solidFill>
                    <w14:schemeClr w14:val="tx1"/>
                  </w14:solidFill>
                </w14:textFill>
              </w:rPr>
              <w:t>泄漏对周围环境的影响。</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14:textFill>
                  <w14:solidFill>
                    <w14:schemeClr w14:val="tx1"/>
                  </w14:solidFill>
                </w14:textFill>
              </w:rPr>
              <w:t>次氯酸钠储罐</w:t>
            </w:r>
            <w:r>
              <w:rPr>
                <w:rFonts w:eastAsia="宋体"/>
                <w:color w:val="000000" w:themeColor="text1"/>
                <w:sz w:val="24"/>
                <w:szCs w:val="24"/>
                <w:lang w:val="en-US"/>
                <w14:textFill>
                  <w14:solidFill>
                    <w14:schemeClr w14:val="tx1"/>
                  </w14:solidFill>
                </w14:textFill>
              </w:rPr>
              <w:t>一旦发生泄漏，</w:t>
            </w:r>
            <w:r>
              <w:rPr>
                <w:rFonts w:hint="eastAsia" w:eastAsia="宋体"/>
                <w:color w:val="000000" w:themeColor="text1"/>
                <w:sz w:val="24"/>
                <w:szCs w:val="24"/>
                <w:lang w:val="en-US"/>
                <w14:textFill>
                  <w14:solidFill>
                    <w14:schemeClr w14:val="tx1"/>
                  </w14:solidFill>
                </w14:textFill>
              </w:rPr>
              <w:t>因次氯酸钠的不稳定性会分解释放有毒气体，特别是经过高温后会加速分解，高浓度有毒气体会导致人中毒，甚至窒息</w:t>
            </w:r>
            <w:r>
              <w:rPr>
                <w:rFonts w:eastAsia="宋体"/>
                <w:color w:val="000000" w:themeColor="text1"/>
                <w:sz w:val="24"/>
                <w:szCs w:val="24"/>
                <w:lang w:val="en-US"/>
                <w14:textFill>
                  <w14:solidFill>
                    <w14:schemeClr w14:val="tx1"/>
                  </w14:solidFill>
                </w14:textFill>
              </w:rPr>
              <w:t>。因此，项目建设单位必须建立健全风险事故防范措施，坚决杜绝风险事故发生。同时制定全面的风险事故应急预案。</w:t>
            </w:r>
          </w:p>
          <w:p>
            <w:pPr>
              <w:pStyle w:val="2"/>
              <w:spacing w:line="560" w:lineRule="exact"/>
              <w:ind w:left="48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7.4风险防范措施</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1、整个车间设备的排列按生产工艺流程进行，尽可能缩短管线，减少连接点，各类设备和工艺管道从设计、安装、制造严格按照安全规定要求进行，设备、管道动静密封垫采取有效的密封措施，防止物料跑冒滴漏。</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2、应特别注意地面防腐、防渗漏处理，做好地面硬化，以防污染地下水。对于各生产工序均采取相应的防渗措施，厂区地面保持清洁、避免原料泄漏污染地面；对运输车辆进行严格监督管理，并进行定期的检查。</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3、因次氯酸钠高温易分解，故须储存在阴凉、干燥、通风处。特别是注意严防火灾，防止火灾导致氯酸钠高温分解，发生次生灾害。</w:t>
            </w:r>
          </w:p>
          <w:p>
            <w:pPr>
              <w:pStyle w:val="2"/>
              <w:spacing w:line="560" w:lineRule="exact"/>
              <w:ind w:left="48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7.5</w:t>
            </w:r>
            <w:r>
              <w:rPr>
                <w:rFonts w:eastAsia="宋体"/>
                <w:color w:val="000000" w:themeColor="text1"/>
                <w:sz w:val="24"/>
                <w:szCs w:val="24"/>
                <w:lang w:val="en-US"/>
                <w14:textFill>
                  <w14:solidFill>
                    <w14:schemeClr w14:val="tx1"/>
                  </w14:solidFill>
                </w14:textFill>
              </w:rPr>
              <w:t>应急预案</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为减轻事故造成的影响，建设单位应根据实际情况编制应急预案、成立应急小组，一旦发生事故，单位相关人员必须按照事故应急预案规定程序指挥，消除事故的蔓延和发展，将事故损失降低到最低限度。</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紧急事故的处理流程与方式</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w:t>
            </w:r>
            <w:r>
              <w:rPr>
                <w:rFonts w:eastAsia="宋体"/>
                <w:color w:val="000000" w:themeColor="text1"/>
                <w:sz w:val="24"/>
                <w:szCs w:val="24"/>
                <w14:textFill>
                  <w14:solidFill>
                    <w14:schemeClr w14:val="tx1"/>
                  </w14:solidFill>
                </w14:textFill>
              </w:rPr>
              <w:t>发现事故后，当班人员立即向指挥小组组长和副组长汇报，并在事故过程中随时保持与领导小组的联系；</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（2）</w:t>
            </w:r>
            <w:r>
              <w:rPr>
                <w:rFonts w:eastAsia="宋体"/>
                <w:color w:val="000000" w:themeColor="text1"/>
                <w:sz w:val="24"/>
                <w:szCs w:val="24"/>
                <w14:textFill>
                  <w14:solidFill>
                    <w14:schemeClr w14:val="tx1"/>
                  </w14:solidFill>
                </w14:textFill>
              </w:rPr>
              <w:t>指挥小组接到报告后，应及时向公司、水务局和环保部门汇报，并在事故处理工程中随时保持与公司、水务局和环保部门的联系；</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（3）</w:t>
            </w:r>
            <w:r>
              <w:rPr>
                <w:rFonts w:eastAsia="宋体"/>
                <w:color w:val="000000" w:themeColor="text1"/>
                <w:sz w:val="24"/>
                <w:szCs w:val="24"/>
                <w14:textFill>
                  <w14:solidFill>
                    <w14:schemeClr w14:val="tx1"/>
                  </w14:solidFill>
                </w14:textFill>
              </w:rPr>
              <w:t>当班人员排查造成事故的原因，并进行应急处理。</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当发生生产运行异常事故时，应立即向公司及环保部门汇报，停止工程运行，并根据检验数据对相关工艺进行及时调整，确保未经处理或处理不达标排放。发生停电时，立即向公司及当地供电部门反映情况，来电后，按操作规程开启设备，恢复运行。</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由事故应急指挥领导小组宣布应急状态结束，恢复到正常运行状态，开始对事故原因进行调查，进行事故损失评估，组织力量进行污染区的清消、恢复。</w:t>
            </w:r>
          </w:p>
          <w:p>
            <w:pPr>
              <w:pStyle w:val="2"/>
              <w:spacing w:line="560" w:lineRule="exact"/>
              <w:ind w:left="48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7.6环境风险评价结论</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综上，本项目无重大危险源，虽然有次氯酸钠等化学品，但其用量少，在经过安全防范措施后能够基本杜绝风险事故发生，经认真贯彻预案中的应急措施，可将风险降至接受水平内，故本项目的环境风险是可接受的。</w:t>
            </w:r>
          </w:p>
          <w:p>
            <w:pPr>
              <w:adjustRightInd w:val="0"/>
              <w:snapToGrid w:val="0"/>
              <w:spacing w:line="560" w:lineRule="exact"/>
              <w:ind w:firstLine="482" w:firstLineChars="200"/>
              <w:rPr>
                <w:rFonts w:eastAsia="宋体"/>
                <w:b/>
                <w:bCs/>
                <w:color w:val="000000" w:themeColor="text1"/>
                <w:sz w:val="24"/>
                <w:szCs w:val="24"/>
                <w14:textFill>
                  <w14:solidFill>
                    <w14:schemeClr w14:val="tx1"/>
                  </w14:solidFill>
                </w14:textFill>
              </w:rPr>
            </w:pPr>
            <w:r>
              <w:rPr>
                <w:rFonts w:hint="eastAsia" w:eastAsia="宋体"/>
                <w:b/>
                <w:bCs/>
                <w:color w:val="000000" w:themeColor="text1"/>
                <w:sz w:val="24"/>
                <w:szCs w:val="24"/>
                <w14:textFill>
                  <w14:solidFill>
                    <w14:schemeClr w14:val="tx1"/>
                  </w14:solidFill>
                </w14:textFill>
              </w:rPr>
              <w:t>八</w:t>
            </w:r>
            <w:r>
              <w:rPr>
                <w:rFonts w:hint="eastAsia" w:eastAsia="宋体"/>
                <w:b/>
                <w:color w:val="000000" w:themeColor="text1"/>
                <w:sz w:val="24"/>
                <w:szCs w:val="24"/>
                <w14:textFill>
                  <w14:solidFill>
                    <w14:schemeClr w14:val="tx1"/>
                  </w14:solidFill>
                </w14:textFill>
              </w:rPr>
              <w:t>、环境效益</w:t>
            </w:r>
          </w:p>
          <w:p>
            <w:pPr>
              <w:spacing w:line="560" w:lineRule="exact"/>
              <w:ind w:firstLine="480" w:firstLineChars="200"/>
              <w:rPr>
                <w:rFonts w:hint="eastAsia" w:eastAsia="宋体" w:cs="宋体"/>
                <w:color w:val="000000" w:themeColor="text1"/>
                <w:kern w:val="0"/>
                <w:sz w:val="24"/>
                <w:szCs w:val="26"/>
                <w14:textFill>
                  <w14:solidFill>
                    <w14:schemeClr w14:val="tx1"/>
                  </w14:solidFill>
                </w14:textFill>
              </w:rPr>
            </w:pPr>
            <w:r>
              <w:rPr>
                <w:rFonts w:hint="eastAsia" w:eastAsia="宋体" w:cs="宋体"/>
                <w:color w:val="000000" w:themeColor="text1"/>
                <w:kern w:val="0"/>
                <w:sz w:val="24"/>
                <w:szCs w:val="26"/>
                <w14:textFill>
                  <w14:solidFill>
                    <w14:schemeClr w14:val="tx1"/>
                  </w14:solidFill>
                </w14:textFill>
              </w:rPr>
              <w:t>本项目采用“MBR+反渗透的深度处理工艺”对渗滤液进行处理，尾水达到《生活垃圾填埋场污染控制标准》（GB16889-2008）中表2的要求</w:t>
            </w:r>
            <w:r>
              <w:rPr>
                <w:rFonts w:hint="eastAsia" w:eastAsia="宋体" w:cs="宋体"/>
                <w:color w:val="000000" w:themeColor="text1"/>
                <w:kern w:val="0"/>
                <w:sz w:val="24"/>
                <w:szCs w:val="26"/>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 xml:space="preserve">同时，该尾水能够满足《城市污水再生利用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绿地灌溉</w:t>
            </w:r>
            <w:r>
              <w:rPr>
                <w:rFonts w:hint="default" w:ascii="Times New Roman" w:hAnsi="Times New Roman" w:eastAsia="宋体" w:cs="Times New Roman"/>
                <w:color w:val="000000" w:themeColor="text1"/>
                <w:sz w:val="24"/>
                <w:szCs w:val="24"/>
                <w14:textFill>
                  <w14:solidFill>
                    <w14:schemeClr w14:val="tx1"/>
                  </w14:solidFill>
                </w14:textFill>
              </w:rPr>
              <w:t>水质》（GB2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5499</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）中浓度限值，可</w:t>
            </w:r>
            <w:r>
              <w:rPr>
                <w:rFonts w:hint="eastAsia" w:eastAsia="宋体" w:cs="Times New Roman"/>
                <w:color w:val="000000" w:themeColor="text1"/>
                <w:sz w:val="24"/>
                <w:szCs w:val="24"/>
                <w:lang w:eastAsia="zh-CN"/>
                <w14:textFill>
                  <w14:solidFill>
                    <w14:schemeClr w14:val="tx1"/>
                  </w14:solidFill>
                </w14:textFill>
              </w:rPr>
              <w:t>用于生活垃圾填埋场场区绿化</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560" w:lineRule="exact"/>
              <w:ind w:firstLine="480" w:firstLineChars="200"/>
              <w:rPr>
                <w:rFonts w:hint="eastAsia" w:eastAsia="宋体" w:cs="宋体"/>
                <w:color w:val="000000" w:themeColor="text1"/>
                <w:kern w:val="0"/>
                <w:sz w:val="24"/>
                <w:szCs w:val="26"/>
                <w14:textFill>
                  <w14:solidFill>
                    <w14:schemeClr w14:val="tx1"/>
                  </w14:solidFill>
                </w14:textFill>
              </w:rPr>
            </w:pPr>
            <w:r>
              <w:rPr>
                <w:rFonts w:hint="eastAsia" w:eastAsia="宋体" w:cs="宋体"/>
                <w:color w:val="000000" w:themeColor="text1"/>
                <w:kern w:val="0"/>
                <w:sz w:val="24"/>
                <w:szCs w:val="26"/>
                <w:lang w:val="en-US" w:eastAsia="zh-CN"/>
                <w14:textFill>
                  <w14:solidFill>
                    <w14:schemeClr w14:val="tx1"/>
                  </w14:solidFill>
                </w14:textFill>
              </w:rPr>
              <w:t>1、正</w:t>
            </w:r>
            <w:r>
              <w:rPr>
                <w:rFonts w:hint="eastAsia" w:eastAsia="宋体" w:cs="宋体"/>
                <w:color w:val="000000" w:themeColor="text1"/>
                <w:kern w:val="0"/>
                <w:sz w:val="24"/>
                <w:szCs w:val="26"/>
                <w14:textFill>
                  <w14:solidFill>
                    <w14:schemeClr w14:val="tx1"/>
                  </w14:solidFill>
                </w14:textFill>
              </w:rPr>
              <w:t>环境效益分析</w:t>
            </w:r>
          </w:p>
          <w:p>
            <w:pPr>
              <w:spacing w:line="560" w:lineRule="exact"/>
              <w:ind w:firstLine="480" w:firstLineChars="200"/>
              <w:rPr>
                <w:rFonts w:hint="eastAsia" w:eastAsia="宋体" w:cs="宋体"/>
                <w:color w:val="000000" w:themeColor="text1"/>
                <w:kern w:val="0"/>
                <w:sz w:val="24"/>
                <w:szCs w:val="26"/>
                <w14:textFill>
                  <w14:solidFill>
                    <w14:schemeClr w14:val="tx1"/>
                  </w14:solidFill>
                </w14:textFill>
              </w:rPr>
            </w:pPr>
            <w:r>
              <w:rPr>
                <w:rFonts w:hint="eastAsia" w:eastAsia="宋体" w:cs="宋体"/>
                <w:color w:val="000000" w:themeColor="text1"/>
                <w:kern w:val="0"/>
                <w:sz w:val="24"/>
                <w:szCs w:val="26"/>
                <w14:textFill>
                  <w14:solidFill>
                    <w14:schemeClr w14:val="tx1"/>
                  </w14:solidFill>
                </w14:textFill>
              </w:rPr>
              <w:t>垃圾填埋场渗滤液处理工程是改善生活环境，保障人民身体健康，造福社会的环境保护工程，主要工程效益是环境效益。</w:t>
            </w:r>
          </w:p>
          <w:p>
            <w:pPr>
              <w:spacing w:line="560" w:lineRule="exact"/>
              <w:ind w:firstLine="480" w:firstLineChars="200"/>
              <w:rPr>
                <w:rFonts w:hint="eastAsia" w:eastAsia="宋体" w:cs="宋体"/>
                <w:color w:val="000000" w:themeColor="text1"/>
                <w:kern w:val="0"/>
                <w:sz w:val="24"/>
                <w:szCs w:val="26"/>
                <w14:textFill>
                  <w14:solidFill>
                    <w14:schemeClr w14:val="tx1"/>
                  </w14:solidFill>
                </w14:textFill>
              </w:rPr>
            </w:pPr>
            <w:r>
              <w:rPr>
                <w:rFonts w:hint="eastAsia" w:eastAsia="宋体" w:cs="宋体"/>
                <w:color w:val="000000" w:themeColor="text1"/>
                <w:kern w:val="0"/>
                <w:sz w:val="24"/>
                <w:szCs w:val="26"/>
                <w14:textFill>
                  <w14:solidFill>
                    <w14:schemeClr w14:val="tx1"/>
                  </w14:solidFill>
                </w14:textFill>
              </w:rPr>
              <w:t>我国环境保护已成为一项基本国策，受到全社会的关注和重视。垃圾渗滤液处理工程是环境保护的重要措施之一，对国民经济持续稳定发展、改善当地投资环境，吸引外资都是极其重要的。渗滤液处理工程建成运行后，其环境效益如下：</w:t>
            </w:r>
          </w:p>
          <w:p>
            <w:pPr>
              <w:spacing w:line="560" w:lineRule="exact"/>
              <w:ind w:firstLine="480" w:firstLineChars="200"/>
              <w:rPr>
                <w:rFonts w:hint="eastAsia" w:eastAsia="宋体" w:cs="宋体"/>
                <w:color w:val="000000" w:themeColor="text1"/>
                <w:kern w:val="0"/>
                <w:sz w:val="24"/>
                <w:szCs w:val="26"/>
                <w14:textFill>
                  <w14:solidFill>
                    <w14:schemeClr w14:val="tx1"/>
                  </w14:solidFill>
                </w14:textFill>
              </w:rPr>
            </w:pPr>
            <w:r>
              <w:rPr>
                <w:rFonts w:hint="eastAsia" w:eastAsia="宋体" w:cs="宋体"/>
                <w:color w:val="000000" w:themeColor="text1"/>
                <w:kern w:val="0"/>
                <w:sz w:val="24"/>
                <w:szCs w:val="26"/>
                <w14:textFill>
                  <w14:solidFill>
                    <w14:schemeClr w14:val="tx1"/>
                  </w14:solidFill>
                </w14:textFill>
              </w:rPr>
              <w:t>⑴渗滤液处理站工程实施后，使</w:t>
            </w:r>
            <w:r>
              <w:rPr>
                <w:rFonts w:hint="eastAsia" w:eastAsia="宋体" w:cs="宋体"/>
                <w:color w:val="000000" w:themeColor="text1"/>
                <w:kern w:val="0"/>
                <w:sz w:val="24"/>
                <w:szCs w:val="26"/>
                <w:lang w:val="en-US" w:eastAsia="zh-CN"/>
                <w14:textFill>
                  <w14:solidFill>
                    <w14:schemeClr w14:val="tx1"/>
                  </w14:solidFill>
                </w14:textFill>
              </w:rPr>
              <w:t>玛纳斯</w:t>
            </w:r>
            <w:r>
              <w:rPr>
                <w:rFonts w:hint="eastAsia" w:eastAsia="宋体" w:cs="宋体"/>
                <w:color w:val="000000" w:themeColor="text1"/>
                <w:kern w:val="0"/>
                <w:sz w:val="24"/>
                <w:szCs w:val="26"/>
                <w14:textFill>
                  <w14:solidFill>
                    <w14:schemeClr w14:val="tx1"/>
                  </w14:solidFill>
                </w14:textFill>
              </w:rPr>
              <w:t>垃圾填埋场渗滤液得到全面治理，可大大改善周围的环境。</w:t>
            </w:r>
          </w:p>
          <w:p>
            <w:pPr>
              <w:spacing w:line="560" w:lineRule="exact"/>
              <w:ind w:firstLine="480" w:firstLineChars="200"/>
              <w:rPr>
                <w:color w:val="000000" w:themeColor="text1"/>
                <w14:textFill>
                  <w14:solidFill>
                    <w14:schemeClr w14:val="tx1"/>
                  </w14:solidFill>
                </w14:textFill>
              </w:rPr>
            </w:pPr>
            <w:r>
              <w:rPr>
                <w:rFonts w:hint="eastAsia" w:eastAsia="宋体" w:cs="宋体"/>
                <w:color w:val="000000" w:themeColor="text1"/>
                <w:kern w:val="0"/>
                <w:sz w:val="24"/>
                <w:szCs w:val="26"/>
                <w14:textFill>
                  <w14:solidFill>
                    <w14:schemeClr w14:val="tx1"/>
                  </w14:solidFill>
                </w14:textFill>
              </w:rPr>
              <w:t>⑵</w:t>
            </w:r>
            <w:r>
              <w:rPr>
                <w:rFonts w:hint="eastAsia" w:eastAsia="宋体" w:cs="宋体"/>
                <w:color w:val="000000" w:themeColor="text1"/>
                <w:kern w:val="0"/>
                <w:sz w:val="24"/>
                <w:szCs w:val="26"/>
                <w:lang w:val="en-US" w:eastAsia="zh-CN"/>
                <w14:textFill>
                  <w14:solidFill>
                    <w14:schemeClr w14:val="tx1"/>
                  </w14:solidFill>
                </w14:textFill>
              </w:rPr>
              <w:t>玛纳斯</w:t>
            </w:r>
            <w:r>
              <w:rPr>
                <w:rFonts w:hint="eastAsia" w:eastAsia="宋体" w:cs="宋体"/>
                <w:color w:val="000000" w:themeColor="text1"/>
                <w:kern w:val="0"/>
                <w:sz w:val="24"/>
                <w:szCs w:val="26"/>
                <w14:textFill>
                  <w14:solidFill>
                    <w14:schemeClr w14:val="tx1"/>
                  </w14:solidFill>
                </w14:textFill>
              </w:rPr>
              <w:t>垃圾处理场渗滤液处理站工程的建设，是雅安市垃圾处理场的重要组成部分。处理站的建成运行可自行解决该垃圾填埋场产生的渗滤液达到《生活垃圾填埋污染控制标准》(GB16889-2008)表2的标准排放问题。消除其向</w:t>
            </w:r>
            <w:r>
              <w:rPr>
                <w:rFonts w:hint="eastAsia" w:eastAsia="宋体" w:cs="宋体"/>
                <w:color w:val="000000" w:themeColor="text1"/>
                <w:kern w:val="0"/>
                <w:sz w:val="24"/>
                <w:szCs w:val="26"/>
                <w:lang w:val="en-US" w:eastAsia="zh-CN"/>
                <w14:textFill>
                  <w14:solidFill>
                    <w14:schemeClr w14:val="tx1"/>
                  </w14:solidFill>
                </w14:textFill>
              </w:rPr>
              <w:t>玛纳斯</w:t>
            </w:r>
            <w:r>
              <w:rPr>
                <w:rFonts w:hint="eastAsia" w:eastAsia="宋体" w:cs="宋体"/>
                <w:color w:val="000000" w:themeColor="text1"/>
                <w:kern w:val="0"/>
                <w:sz w:val="24"/>
                <w:szCs w:val="26"/>
                <w14:textFill>
                  <w14:solidFill>
                    <w14:schemeClr w14:val="tx1"/>
                  </w14:solidFill>
                </w14:textFill>
              </w:rPr>
              <w:t>污水处理厂污染物排放，免去其对生活污水处理厂的负担，也不会再对生活污水处理厂造成较大负荷冲击。同时，</w:t>
            </w:r>
            <w:r>
              <w:rPr>
                <w:rFonts w:hint="eastAsia" w:eastAsia="宋体" w:cs="宋体"/>
                <w:color w:val="000000" w:themeColor="text1"/>
                <w:kern w:val="0"/>
                <w:sz w:val="24"/>
                <w:szCs w:val="26"/>
                <w:lang w:val="en-US" w:eastAsia="zh-CN"/>
                <w14:textFill>
                  <w14:solidFill>
                    <w14:schemeClr w14:val="tx1"/>
                  </w14:solidFill>
                </w14:textFill>
              </w:rPr>
              <w:t>玛纳斯</w:t>
            </w:r>
            <w:r>
              <w:rPr>
                <w:rFonts w:hint="eastAsia" w:eastAsia="宋体" w:cs="宋体"/>
                <w:color w:val="000000" w:themeColor="text1"/>
                <w:kern w:val="0"/>
                <w:sz w:val="24"/>
                <w:szCs w:val="26"/>
                <w14:textFill>
                  <w14:solidFill>
                    <w14:schemeClr w14:val="tx1"/>
                  </w14:solidFill>
                </w14:textFill>
              </w:rPr>
              <w:t>垃圾处理场渗滤液处理站工程建成后，未经处理的渗滤液不再进行远距离输送，消除其对附近地表水体的污染隐患，起到了良好的环境正效益。</w:t>
            </w:r>
          </w:p>
          <w:p>
            <w:pPr>
              <w:spacing w:line="560" w:lineRule="exact"/>
              <w:ind w:firstLine="480" w:firstLineChars="200"/>
              <w:rPr>
                <w:rFonts w:eastAsia="宋体" w:cs="宋体"/>
                <w:color w:val="000000" w:themeColor="text1"/>
                <w:kern w:val="0"/>
                <w:sz w:val="24"/>
                <w:szCs w:val="26"/>
                <w14:textFill>
                  <w14:solidFill>
                    <w14:schemeClr w14:val="tx1"/>
                  </w14:solidFill>
                </w14:textFill>
              </w:rPr>
            </w:pPr>
            <w:r>
              <w:rPr>
                <w:rFonts w:hint="eastAsia" w:eastAsia="宋体" w:cs="宋体"/>
                <w:color w:val="000000" w:themeColor="text1"/>
                <w:kern w:val="0"/>
                <w:sz w:val="24"/>
                <w:szCs w:val="26"/>
                <w:lang w:val="en-US" w:eastAsia="zh-CN"/>
                <w14:textFill>
                  <w14:solidFill>
                    <w14:schemeClr w14:val="tx1"/>
                  </w14:solidFill>
                </w14:textFill>
              </w:rPr>
              <w:t>2、</w:t>
            </w:r>
            <w:r>
              <w:rPr>
                <w:rFonts w:hint="eastAsia" w:eastAsia="宋体" w:cs="宋体"/>
                <w:color w:val="000000" w:themeColor="text1"/>
                <w:kern w:val="0"/>
                <w:sz w:val="24"/>
                <w:szCs w:val="26"/>
                <w14:textFill>
                  <w14:solidFill>
                    <w14:schemeClr w14:val="tx1"/>
                  </w14:solidFill>
                </w14:textFill>
              </w:rPr>
              <w:t>生态效益</w:t>
            </w:r>
          </w:p>
          <w:p>
            <w:pPr>
              <w:spacing w:line="560" w:lineRule="exact"/>
              <w:ind w:firstLine="480" w:firstLineChars="200"/>
              <w:rPr>
                <w:rFonts w:eastAsia="宋体" w:cs="宋体"/>
                <w:color w:val="000000" w:themeColor="text1"/>
                <w:kern w:val="0"/>
                <w:sz w:val="24"/>
                <w:szCs w:val="26"/>
                <w14:textFill>
                  <w14:solidFill>
                    <w14:schemeClr w14:val="tx1"/>
                  </w14:solidFill>
                </w14:textFill>
              </w:rPr>
            </w:pPr>
            <w:r>
              <w:rPr>
                <w:rFonts w:hint="eastAsia" w:eastAsia="宋体" w:cs="宋体"/>
                <w:color w:val="000000" w:themeColor="text1"/>
                <w:kern w:val="0"/>
                <w:sz w:val="24"/>
                <w:szCs w:val="26"/>
                <w14:textFill>
                  <w14:solidFill>
                    <w14:schemeClr w14:val="tx1"/>
                  </w14:solidFill>
                </w14:textFill>
              </w:rPr>
              <w:t>本次技改后，</w:t>
            </w:r>
            <w:r>
              <w:rPr>
                <w:rFonts w:hint="eastAsia" w:eastAsia="宋体"/>
                <w:color w:val="000000" w:themeColor="text1"/>
                <w:sz w:val="24"/>
                <w:szCs w:val="28"/>
                <w14:textFill>
                  <w14:solidFill>
                    <w14:schemeClr w14:val="tx1"/>
                  </w14:solidFill>
                </w14:textFill>
              </w:rPr>
              <w:t>化学需氧量</w:t>
            </w:r>
            <w:r>
              <w:rPr>
                <w:rFonts w:hint="eastAsia" w:eastAsia="宋体" w:cs="宋体"/>
                <w:color w:val="000000" w:themeColor="text1"/>
                <w:kern w:val="0"/>
                <w:sz w:val="24"/>
                <w:szCs w:val="26"/>
                <w14:textFill>
                  <w14:solidFill>
                    <w14:schemeClr w14:val="tx1"/>
                  </w14:solidFill>
                </w14:textFill>
              </w:rPr>
              <w:t>排放量减少了</w:t>
            </w:r>
            <w:r>
              <w:rPr>
                <w:rFonts w:hint="eastAsia" w:eastAsia="宋体"/>
                <w:color w:val="000000" w:themeColor="text1"/>
                <w:kern w:val="0"/>
                <w:sz w:val="24"/>
                <w:szCs w:val="26"/>
                <w14:textFill>
                  <w14:solidFill>
                    <w14:schemeClr w14:val="tx1"/>
                  </w14:solidFill>
                </w14:textFill>
              </w:rPr>
              <w:t>34.255</w:t>
            </w:r>
            <w:r>
              <w:rPr>
                <w:rFonts w:eastAsia="宋体"/>
                <w:color w:val="000000" w:themeColor="text1"/>
                <w:kern w:val="0"/>
                <w:sz w:val="24"/>
                <w:szCs w:val="26"/>
                <w14:textFill>
                  <w14:solidFill>
                    <w14:schemeClr w14:val="tx1"/>
                  </w14:solidFill>
                </w14:textFill>
              </w:rPr>
              <w:t>t/a</w:t>
            </w:r>
            <w:r>
              <w:rPr>
                <w:rFonts w:hint="eastAsia" w:eastAsia="宋体" w:cs="宋体"/>
                <w:color w:val="000000" w:themeColor="text1"/>
                <w:kern w:val="0"/>
                <w:sz w:val="24"/>
                <w:szCs w:val="26"/>
                <w14:textFill>
                  <w14:solidFill>
                    <w14:schemeClr w14:val="tx1"/>
                  </w14:solidFill>
                </w14:textFill>
              </w:rPr>
              <w:t>、</w:t>
            </w:r>
            <w:r>
              <w:rPr>
                <w:rFonts w:hint="eastAsia" w:eastAsia="宋体"/>
                <w:color w:val="000000" w:themeColor="text1"/>
                <w:sz w:val="24"/>
                <w:szCs w:val="28"/>
                <w14:textFill>
                  <w14:solidFill>
                    <w14:schemeClr w14:val="tx1"/>
                  </w14:solidFill>
                </w14:textFill>
              </w:rPr>
              <w:t>生物需氧量</w:t>
            </w:r>
            <w:r>
              <w:rPr>
                <w:rFonts w:hint="eastAsia" w:eastAsia="宋体" w:cs="宋体"/>
                <w:color w:val="000000" w:themeColor="text1"/>
                <w:kern w:val="0"/>
                <w:sz w:val="24"/>
                <w:szCs w:val="26"/>
                <w14:textFill>
                  <w14:solidFill>
                    <w14:schemeClr w14:val="tx1"/>
                  </w14:solidFill>
                </w14:textFill>
              </w:rPr>
              <w:t>排放量减少了</w:t>
            </w:r>
            <w:r>
              <w:rPr>
                <w:rFonts w:hint="eastAsia" w:eastAsia="宋体"/>
                <w:color w:val="000000" w:themeColor="text1"/>
                <w:kern w:val="0"/>
                <w:sz w:val="24"/>
                <w:szCs w:val="26"/>
                <w14:textFill>
                  <w14:solidFill>
                    <w14:schemeClr w14:val="tx1"/>
                  </w14:solidFill>
                </w14:textFill>
              </w:rPr>
              <w:t>12.</w:t>
            </w:r>
            <w:r>
              <w:rPr>
                <w:rFonts w:hint="eastAsia" w:eastAsia="宋体"/>
                <w:color w:val="000000" w:themeColor="text1"/>
                <w:kern w:val="0"/>
                <w:sz w:val="24"/>
                <w:szCs w:val="26"/>
                <w:lang w:val="en-US" w:eastAsia="zh-CN"/>
                <w14:textFill>
                  <w14:solidFill>
                    <w14:schemeClr w14:val="tx1"/>
                  </w14:solidFill>
                </w14:textFill>
              </w:rPr>
              <w:t>713</w:t>
            </w:r>
            <w:r>
              <w:rPr>
                <w:rFonts w:eastAsia="宋体"/>
                <w:color w:val="000000" w:themeColor="text1"/>
                <w:kern w:val="0"/>
                <w:sz w:val="24"/>
                <w:szCs w:val="26"/>
                <w14:textFill>
                  <w14:solidFill>
                    <w14:schemeClr w14:val="tx1"/>
                  </w14:solidFill>
                </w14:textFill>
              </w:rPr>
              <w:t>t/a</w:t>
            </w:r>
            <w:r>
              <w:rPr>
                <w:rFonts w:hint="eastAsia" w:eastAsia="宋体" w:cs="宋体"/>
                <w:color w:val="000000" w:themeColor="text1"/>
                <w:kern w:val="0"/>
                <w:sz w:val="24"/>
                <w:szCs w:val="26"/>
                <w14:textFill>
                  <w14:solidFill>
                    <w14:schemeClr w14:val="tx1"/>
                  </w14:solidFill>
                </w14:textFill>
              </w:rPr>
              <w:t>、氨氮排放量减少了</w:t>
            </w:r>
            <w:r>
              <w:rPr>
                <w:rFonts w:hint="eastAsia" w:eastAsia="宋体"/>
                <w:color w:val="000000" w:themeColor="text1"/>
                <w:kern w:val="0"/>
                <w:sz w:val="24"/>
                <w:szCs w:val="26"/>
                <w14:textFill>
                  <w14:solidFill>
                    <w14:schemeClr w14:val="tx1"/>
                  </w14:solidFill>
                </w14:textFill>
              </w:rPr>
              <w:t>13.1</w:t>
            </w:r>
            <w:r>
              <w:rPr>
                <w:rFonts w:hint="eastAsia" w:eastAsia="宋体"/>
                <w:color w:val="000000" w:themeColor="text1"/>
                <w:kern w:val="0"/>
                <w:sz w:val="24"/>
                <w:szCs w:val="26"/>
                <w:lang w:val="en-US" w:eastAsia="zh-CN"/>
                <w14:textFill>
                  <w14:solidFill>
                    <w14:schemeClr w14:val="tx1"/>
                  </w14:solidFill>
                </w14:textFill>
              </w:rPr>
              <w:t>73</w:t>
            </w:r>
            <w:r>
              <w:rPr>
                <w:rFonts w:eastAsia="宋体"/>
                <w:color w:val="000000" w:themeColor="text1"/>
                <w:kern w:val="0"/>
                <w:sz w:val="24"/>
                <w:szCs w:val="26"/>
                <w14:textFill>
                  <w14:solidFill>
                    <w14:schemeClr w14:val="tx1"/>
                  </w14:solidFill>
                </w14:textFill>
              </w:rPr>
              <w:t>t/a</w:t>
            </w:r>
            <w:r>
              <w:rPr>
                <w:rFonts w:hint="eastAsia" w:eastAsia="宋体" w:cs="宋体"/>
                <w:color w:val="000000" w:themeColor="text1"/>
                <w:kern w:val="0"/>
                <w:sz w:val="24"/>
                <w:szCs w:val="26"/>
                <w14:textFill>
                  <w14:solidFill>
                    <w14:schemeClr w14:val="tx1"/>
                  </w14:solidFill>
                </w14:textFill>
              </w:rPr>
              <w:t>，有效降低了渗滤液各项浓度，改善了渗滤液水质，缓解了垃圾填埋区环境恶化，如恶臭的减轻，减少蚊蝇吸引和繁殖、防止高浓度污染水质超级菌滋生风险等。</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另外，本项目尾水处理达标后用于道路洒水抑尘和厂区周边绿化</w:t>
            </w:r>
            <w:r>
              <w:rPr>
                <w:rFonts w:hint="eastAsia" w:eastAsia="宋体" w:cs="宋体"/>
                <w:color w:val="000000" w:themeColor="text1"/>
                <w:sz w:val="24"/>
                <w:szCs w:val="26"/>
                <w14:textFill>
                  <w14:solidFill>
                    <w14:schemeClr w14:val="tx1"/>
                  </w14:solidFill>
                </w14:textFill>
              </w:rPr>
              <w:t>，大大提高了尾水的利用效率，有效降低扬尘，实施周边绿化，生态效益显著。</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3、</w:t>
            </w:r>
            <w:r>
              <w:rPr>
                <w:rFonts w:hint="eastAsia" w:eastAsia="宋体"/>
                <w:color w:val="000000" w:themeColor="text1"/>
                <w:sz w:val="24"/>
                <w:szCs w:val="24"/>
                <w:lang w:val="en-US"/>
                <w14:textFill>
                  <w14:solidFill>
                    <w14:schemeClr w14:val="tx1"/>
                  </w14:solidFill>
                </w14:textFill>
              </w:rPr>
              <w:t>社会效益</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本项目对周边过往行人主要直观影响为恶臭和蚊蝇吸引、繁殖。而渗滤液是垃圾填埋场主要恶臭源之一，且渗滤液收集池面积较大，会产生较大的恶臭面源。通过本项目技改后，能够及时对渗滤液进行处理，并对恶臭进行收集处理，能够有效降低渗滤液恶臭的无组织排放（削减NH</w:t>
            </w:r>
            <w:r>
              <w:rPr>
                <w:rFonts w:hint="eastAsia" w:eastAsia="宋体"/>
                <w:color w:val="000000" w:themeColor="text1"/>
                <w:sz w:val="24"/>
                <w:szCs w:val="24"/>
                <w:vertAlign w:val="subscript"/>
                <w:lang w:val="en-US"/>
                <w14:textFill>
                  <w14:solidFill>
                    <w14:schemeClr w14:val="tx1"/>
                  </w14:solidFill>
                </w14:textFill>
              </w:rPr>
              <w:t>3</w:t>
            </w:r>
            <w:r>
              <w:rPr>
                <w:rFonts w:hint="eastAsia" w:eastAsia="宋体"/>
                <w:color w:val="000000" w:themeColor="text1"/>
                <w:sz w:val="24"/>
                <w:szCs w:val="24"/>
                <w:lang w:val="en-US"/>
                <w14:textFill>
                  <w14:solidFill>
                    <w14:schemeClr w14:val="tx1"/>
                  </w14:solidFill>
                </w14:textFill>
              </w:rPr>
              <w:t>排放量</w:t>
            </w:r>
            <w:r>
              <w:rPr>
                <w:rFonts w:eastAsia="宋体"/>
                <w:color w:val="000000" w:themeColor="text1"/>
                <w:sz w:val="24"/>
                <w:szCs w:val="24"/>
                <w:lang w:val="en-US"/>
                <w14:textFill>
                  <w14:solidFill>
                    <w14:schemeClr w14:val="tx1"/>
                  </w14:solidFill>
                </w14:textFill>
              </w:rPr>
              <w:t>0.2035</w:t>
            </w:r>
            <w:r>
              <w:rPr>
                <w:rFonts w:hint="eastAsia" w:eastAsia="宋体"/>
                <w:color w:val="000000" w:themeColor="text1"/>
                <w:sz w:val="24"/>
                <w:szCs w:val="24"/>
                <w:lang w:val="en-US"/>
                <w14:textFill>
                  <w14:solidFill>
                    <w14:schemeClr w14:val="tx1"/>
                  </w14:solidFill>
                </w14:textFill>
              </w:rPr>
              <w:t>t/a，H</w:t>
            </w:r>
            <w:r>
              <w:rPr>
                <w:rFonts w:hint="eastAsia" w:eastAsia="宋体"/>
                <w:color w:val="000000" w:themeColor="text1"/>
                <w:sz w:val="24"/>
                <w:szCs w:val="24"/>
                <w:vertAlign w:val="subscript"/>
                <w:lang w:val="en-US"/>
                <w14:textFill>
                  <w14:solidFill>
                    <w14:schemeClr w14:val="tx1"/>
                  </w14:solidFill>
                </w14:textFill>
              </w:rPr>
              <w:t>2</w:t>
            </w:r>
            <w:r>
              <w:rPr>
                <w:rFonts w:hint="eastAsia" w:eastAsia="宋体"/>
                <w:color w:val="000000" w:themeColor="text1"/>
                <w:sz w:val="24"/>
                <w:szCs w:val="24"/>
                <w:lang w:val="en-US"/>
                <w14:textFill>
                  <w14:solidFill>
                    <w14:schemeClr w14:val="tx1"/>
                  </w14:solidFill>
                </w14:textFill>
              </w:rPr>
              <w:t>S排放量</w:t>
            </w:r>
            <w:r>
              <w:rPr>
                <w:rFonts w:eastAsia="宋体"/>
                <w:color w:val="000000" w:themeColor="text1"/>
                <w:sz w:val="24"/>
                <w:szCs w:val="24"/>
                <w:lang w:val="en-US"/>
                <w14:textFill>
                  <w14:solidFill>
                    <w14:schemeClr w14:val="tx1"/>
                  </w14:solidFill>
                </w14:textFill>
              </w:rPr>
              <w:t>0.3859</w:t>
            </w:r>
            <w:r>
              <w:rPr>
                <w:rFonts w:hint="eastAsia" w:eastAsia="宋体"/>
                <w:color w:val="000000" w:themeColor="text1"/>
                <w:sz w:val="24"/>
                <w:szCs w:val="24"/>
                <w:lang w:val="en-US"/>
                <w14:textFill>
                  <w14:solidFill>
                    <w14:schemeClr w14:val="tx1"/>
                  </w14:solidFill>
                </w14:textFill>
              </w:rPr>
              <w:t>t/a），从而减轻恶臭，并间接减少蚊蝇吸引和繁殖对周边过往行人的影响，具有十分可观的社会效益。</w:t>
            </w:r>
          </w:p>
          <w:p>
            <w:pPr>
              <w:pStyle w:val="2"/>
              <w:spacing w:line="56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综上，本项目建设生态效益和社会效益明显，十分具有建设必要性。</w:t>
            </w:r>
          </w:p>
          <w:p>
            <w:pPr>
              <w:adjustRightInd w:val="0"/>
              <w:snapToGrid w:val="0"/>
              <w:spacing w:line="560" w:lineRule="exact"/>
              <w:ind w:firstLine="482" w:firstLineChars="200"/>
              <w:rPr>
                <w:rFonts w:eastAsia="宋体"/>
                <w:b/>
                <w:bCs/>
                <w:color w:val="000000" w:themeColor="text1"/>
                <w:sz w:val="24"/>
                <w:szCs w:val="24"/>
                <w14:textFill>
                  <w14:solidFill>
                    <w14:schemeClr w14:val="tx1"/>
                  </w14:solidFill>
                </w14:textFill>
              </w:rPr>
            </w:pPr>
            <w:r>
              <w:rPr>
                <w:rFonts w:hint="eastAsia" w:eastAsia="宋体"/>
                <w:b/>
                <w:bCs/>
                <w:color w:val="000000" w:themeColor="text1"/>
                <w:sz w:val="24"/>
                <w:szCs w:val="24"/>
                <w14:textFill>
                  <w14:solidFill>
                    <w14:schemeClr w14:val="tx1"/>
                  </w14:solidFill>
                </w14:textFill>
              </w:rPr>
              <w:t>九</w:t>
            </w:r>
            <w:r>
              <w:rPr>
                <w:rFonts w:hint="eastAsia" w:eastAsia="宋体"/>
                <w:b/>
                <w:color w:val="000000" w:themeColor="text1"/>
                <w:sz w:val="24"/>
                <w:szCs w:val="24"/>
                <w14:textFill>
                  <w14:solidFill>
                    <w14:schemeClr w14:val="tx1"/>
                  </w14:solidFill>
                </w14:textFill>
              </w:rPr>
              <w:t>、产业政策分析</w:t>
            </w:r>
          </w:p>
          <w:p>
            <w:pPr>
              <w:spacing w:line="560" w:lineRule="exact"/>
              <w:ind w:firstLine="480" w:firstLineChars="200"/>
              <w:rPr>
                <w:rFonts w:eastAsia="宋体"/>
                <w:color w:val="000000" w:themeColor="text1"/>
                <w14:textFill>
                  <w14:solidFill>
                    <w14:schemeClr w14:val="tx1"/>
                  </w14:solidFill>
                </w14:textFill>
              </w:rPr>
            </w:pPr>
            <w:r>
              <w:rPr>
                <w:rFonts w:eastAsia="宋体"/>
                <w:color w:val="000000" w:themeColor="text1"/>
                <w:sz w:val="24"/>
                <w:szCs w:val="24"/>
                <w14:textFill>
                  <w14:solidFill>
                    <w14:schemeClr w14:val="tx1"/>
                  </w14:solidFill>
                </w14:textFill>
              </w:rPr>
              <w:t>本项目属于</w:t>
            </w:r>
            <w:r>
              <w:rPr>
                <w:rFonts w:eastAsia="宋体"/>
                <w:color w:val="000000" w:themeColor="text1"/>
                <w:kern w:val="0"/>
                <w:sz w:val="24"/>
                <w:szCs w:val="24"/>
                <w14:textFill>
                  <w14:solidFill>
                    <w14:schemeClr w14:val="tx1"/>
                  </w14:solidFill>
                </w14:textFill>
              </w:rPr>
              <w:t>渗滤液处理工程</w:t>
            </w:r>
            <w:r>
              <w:rPr>
                <w:rFonts w:eastAsia="宋体"/>
                <w:color w:val="000000" w:themeColor="text1"/>
                <w:sz w:val="24"/>
                <w:szCs w:val="24"/>
                <w14:textFill>
                  <w14:solidFill>
                    <w14:schemeClr w14:val="tx1"/>
                  </w14:solidFill>
                </w14:textFill>
              </w:rPr>
              <w:t>，对照国家发改委颁布的《产业结构调整指导目录（2011年本）（2013年修正）》，</w:t>
            </w:r>
            <w:r>
              <w:rPr>
                <w:rFonts w:eastAsia="宋体"/>
                <w:snapToGrid w:val="0"/>
                <w:color w:val="000000" w:themeColor="text1"/>
                <w:spacing w:val="-4"/>
                <w:sz w:val="24"/>
                <w:szCs w:val="24"/>
                <w14:textFill>
                  <w14:solidFill>
                    <w14:schemeClr w14:val="tx1"/>
                  </w14:solidFill>
                </w14:textFill>
              </w:rPr>
              <w:t>拟建工程属于鼓励类中的“ 三废综合利用及治理工程”，</w:t>
            </w:r>
            <w:r>
              <w:rPr>
                <w:rFonts w:eastAsia="宋体"/>
                <w:color w:val="000000" w:themeColor="text1"/>
                <w:sz w:val="24"/>
                <w:szCs w:val="24"/>
                <w14:textFill>
                  <w14:solidFill>
                    <w14:schemeClr w14:val="tx1"/>
                  </w14:solidFill>
                </w14:textFill>
              </w:rPr>
              <w:t>项目的建设符合国家的相关产业政策规定</w:t>
            </w:r>
            <w:r>
              <w:rPr>
                <w:rFonts w:eastAsia="宋体"/>
                <w:color w:val="000000" w:themeColor="text1"/>
                <w14:textFill>
                  <w14:solidFill>
                    <w14:schemeClr w14:val="tx1"/>
                  </w14:solidFill>
                </w14:textFill>
              </w:rPr>
              <w:t>。</w:t>
            </w:r>
          </w:p>
          <w:p>
            <w:pPr>
              <w:adjustRightInd w:val="0"/>
              <w:snapToGrid w:val="0"/>
              <w:spacing w:line="560" w:lineRule="exact"/>
              <w:ind w:firstLine="482" w:firstLineChars="200"/>
              <w:rPr>
                <w:rFonts w:eastAsia="宋体"/>
                <w:b/>
                <w:bCs/>
                <w:color w:val="000000" w:themeColor="text1"/>
                <w:sz w:val="24"/>
                <w:szCs w:val="24"/>
                <w14:textFill>
                  <w14:solidFill>
                    <w14:schemeClr w14:val="tx1"/>
                  </w14:solidFill>
                </w14:textFill>
              </w:rPr>
            </w:pPr>
            <w:r>
              <w:rPr>
                <w:rFonts w:hint="eastAsia" w:eastAsia="宋体"/>
                <w:b/>
                <w:bCs/>
                <w:color w:val="000000" w:themeColor="text1"/>
                <w:sz w:val="24"/>
                <w:szCs w:val="24"/>
                <w14:textFill>
                  <w14:solidFill>
                    <w14:schemeClr w14:val="tx1"/>
                  </w14:solidFill>
                </w14:textFill>
              </w:rPr>
              <w:t>十、</w:t>
            </w:r>
            <w:r>
              <w:rPr>
                <w:rFonts w:eastAsia="宋体"/>
                <w:b/>
                <w:bCs/>
                <w:color w:val="000000" w:themeColor="text1"/>
                <w:sz w:val="24"/>
                <w:szCs w:val="24"/>
                <w14:textFill>
                  <w14:solidFill>
                    <w14:schemeClr w14:val="tx1"/>
                  </w14:solidFill>
                </w14:textFill>
              </w:rPr>
              <w:t>环境管理</w:t>
            </w:r>
          </w:p>
          <w:p>
            <w:pPr>
              <w:spacing w:line="560" w:lineRule="exact"/>
              <w:ind w:firstLine="480" w:firstLineChars="200"/>
              <w:rPr>
                <w:rFonts w:eastAsia="宋体"/>
                <w:bCs/>
                <w:color w:val="000000" w:themeColor="text1"/>
                <w:sz w:val="24"/>
                <w:szCs w:val="24"/>
                <w14:textFill>
                  <w14:solidFill>
                    <w14:schemeClr w14:val="tx1"/>
                  </w14:solidFill>
                </w14:textFill>
              </w:rPr>
            </w:pPr>
            <w:r>
              <w:rPr>
                <w:rFonts w:eastAsia="宋体"/>
                <w:bCs/>
                <w:color w:val="000000" w:themeColor="text1"/>
                <w:sz w:val="24"/>
                <w:szCs w:val="24"/>
                <w14:textFill>
                  <w14:solidFill>
                    <w14:schemeClr w14:val="tx1"/>
                  </w14:solidFill>
                </w14:textFill>
              </w:rPr>
              <w:t>建设单位应加强企业的环境管理，安排专人负责日常环境管理工作，</w:t>
            </w:r>
            <w:r>
              <w:rPr>
                <w:rFonts w:eastAsia="宋体"/>
                <w:color w:val="000000" w:themeColor="text1"/>
                <w:sz w:val="24"/>
                <w:szCs w:val="24"/>
                <w14:textFill>
                  <w14:solidFill>
                    <w14:schemeClr w14:val="tx1"/>
                  </w14:solidFill>
                </w14:textFill>
              </w:rPr>
              <w:t>配合环境保护行政主管部门做好工程设计阶段</w:t>
            </w:r>
            <w:r>
              <w:rPr>
                <w:rFonts w:eastAsia="宋体"/>
                <w:bCs/>
                <w:color w:val="000000" w:themeColor="text1"/>
                <w:sz w:val="24"/>
                <w:szCs w:val="24"/>
                <w14:textFill>
                  <w14:solidFill>
                    <w14:schemeClr w14:val="tx1"/>
                  </w14:solidFill>
                </w14:textFill>
              </w:rPr>
              <w:t>、施工期和营运期的环保工作。其主要职责是：</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bCs/>
                <w:color w:val="000000" w:themeColor="text1"/>
                <w:sz w:val="24"/>
                <w:szCs w:val="24"/>
                <w14:textFill>
                  <w14:solidFill>
                    <w14:schemeClr w14:val="tx1"/>
                  </w14:solidFill>
                </w14:textFill>
              </w:rPr>
              <w:t>（1）贯彻落实建</w:t>
            </w:r>
            <w:r>
              <w:rPr>
                <w:rFonts w:eastAsia="宋体"/>
                <w:color w:val="000000" w:themeColor="text1"/>
                <w:sz w:val="24"/>
                <w:szCs w:val="24"/>
                <w14:textFill>
                  <w14:solidFill>
                    <w14:schemeClr w14:val="tx1"/>
                  </w14:solidFill>
                </w14:textFill>
              </w:rPr>
              <w:t>设项目的</w:t>
            </w:r>
            <w:r>
              <w:rPr>
                <w:rFonts w:hint="eastAsia" w:eastAsia="宋体"/>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三同时</w:t>
            </w:r>
            <w:r>
              <w:rPr>
                <w:rFonts w:hint="eastAsia" w:eastAsia="宋体"/>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，切实按照设计要求予以实施，以确保环保设施的建设，使工程达到预期的效果。</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（2）加强对营运期中废气、废水、噪声、固体废物等管理。</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（3）建立完善的环境保护规章制度（岗位责任制度、操作规程、安全生产制度、绿化、卫生管理规程等）并实施，落实环境监测制度。</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（4）对环境保护设施的运行情况进行监督管理，确保设备正常并高效运行。</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（5）根据污染物监测结果、设备运行指标等，做好统计工作，并建立环境档案库；编制环境保护年度计划和环境保护统计报表。</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（6）</w:t>
            </w:r>
            <w:r>
              <w:rPr>
                <w:rFonts w:eastAsia="宋体"/>
                <w:color w:val="000000" w:themeColor="text1"/>
                <w:sz w:val="24"/>
                <w:szCs w:val="24"/>
                <w14:textFill>
                  <w14:solidFill>
                    <w14:schemeClr w14:val="tx1"/>
                  </w14:solidFill>
                </w14:textFill>
              </w:rPr>
              <w:t>搞好环境保护宣传和职工环保意识教育及技术培训等工作。</w:t>
            </w:r>
          </w:p>
          <w:p>
            <w:pPr>
              <w:pStyle w:val="2"/>
              <w:spacing w:line="560" w:lineRule="exact"/>
              <w:ind w:firstLine="480" w:firstLineChars="200"/>
              <w:jc w:val="left"/>
              <w:rPr>
                <w:rFonts w:eastAsia="宋体"/>
                <w:color w:val="000000" w:themeColor="text1"/>
                <w:sz w:val="24"/>
                <w:lang w:val="en-US"/>
                <w14:textFill>
                  <w14:solidFill>
                    <w14:schemeClr w14:val="tx1"/>
                  </w14:solidFill>
                </w14:textFill>
              </w:rPr>
            </w:pPr>
            <w:r>
              <w:rPr>
                <w:rFonts w:hint="eastAsia" w:eastAsia="宋体"/>
                <w:color w:val="000000" w:themeColor="text1"/>
                <w:sz w:val="24"/>
                <w:lang w:val="en-US"/>
                <w14:textFill>
                  <w14:solidFill>
                    <w14:schemeClr w14:val="tx1"/>
                  </w14:solidFill>
                </w14:textFill>
              </w:rPr>
              <w:t>另外，环评要求建设单位在施工期须委托第三方具有相关资质的机构进行工程监理和环境监理，保证施工质量，确保各构筑物做好防渗措施，防止渗滤液泄漏污染周边地下水环境。</w:t>
            </w:r>
          </w:p>
          <w:p>
            <w:pPr>
              <w:adjustRightInd w:val="0"/>
              <w:snapToGrid w:val="0"/>
              <w:spacing w:line="560" w:lineRule="exact"/>
              <w:ind w:firstLine="482" w:firstLineChars="200"/>
              <w:rPr>
                <w:rFonts w:eastAsia="宋体"/>
                <w:b/>
                <w:bCs/>
                <w:color w:val="000000" w:themeColor="text1"/>
                <w:sz w:val="24"/>
                <w:szCs w:val="24"/>
                <w14:textFill>
                  <w14:solidFill>
                    <w14:schemeClr w14:val="tx1"/>
                  </w14:solidFill>
                </w14:textFill>
              </w:rPr>
            </w:pPr>
            <w:r>
              <w:rPr>
                <w:rFonts w:hint="eastAsia" w:eastAsia="宋体"/>
                <w:b/>
                <w:bCs/>
                <w:color w:val="000000" w:themeColor="text1"/>
                <w:sz w:val="24"/>
                <w:szCs w:val="24"/>
                <w14:textFill>
                  <w14:solidFill>
                    <w14:schemeClr w14:val="tx1"/>
                  </w14:solidFill>
                </w14:textFill>
              </w:rPr>
              <w:t>十一、</w:t>
            </w:r>
            <w:r>
              <w:rPr>
                <w:rFonts w:eastAsia="宋体"/>
                <w:b/>
                <w:bCs/>
                <w:color w:val="000000" w:themeColor="text1"/>
                <w:sz w:val="24"/>
                <w:szCs w:val="24"/>
                <w14:textFill>
                  <w14:solidFill>
                    <w14:schemeClr w14:val="tx1"/>
                  </w14:solidFill>
                </w14:textFill>
              </w:rPr>
              <w:t>环境监测计划</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（1）监测目的</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环保监测是环境管理必不可少的一部分，也是环境管理规范化的主要手段，通过对项目主要污染物进行分析、资料整理、编制报表、建立技术文件档案；为上级环保部门进行环境规划、管理及执行提供依据。</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（2）监测机构</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由建设单位委托有资质的单位承担。</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（3）监测内容及计划</w:t>
            </w:r>
          </w:p>
          <w:p>
            <w:pPr>
              <w:spacing w:line="560" w:lineRule="exact"/>
              <w:ind w:firstLine="480" w:firstLineChars="200"/>
              <w:rPr>
                <w:rFonts w:eastAsia="宋体"/>
                <w:bCs/>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遵照建设项目环境保护管理有关规定，对企业污染源需进行监测，定期报送有关监测数据，建立污染源</w:t>
            </w:r>
            <w:r>
              <w:rPr>
                <w:rFonts w:eastAsia="宋体"/>
                <w:bCs/>
                <w:color w:val="000000" w:themeColor="text1"/>
                <w:sz w:val="24"/>
                <w:szCs w:val="24"/>
                <w14:textFill>
                  <w14:solidFill>
                    <w14:schemeClr w14:val="tx1"/>
                  </w14:solidFill>
                </w14:textFill>
              </w:rPr>
              <w:t>监测档案，监测计划如下：</w:t>
            </w:r>
          </w:p>
          <w:p>
            <w:pPr>
              <w:spacing w:line="560" w:lineRule="exact"/>
              <w:jc w:val="center"/>
              <w:textAlignment w:val="baseline"/>
              <w:rPr>
                <w:rFonts w:eastAsia="宋体"/>
                <w:b/>
                <w:color w:val="000000" w:themeColor="text1"/>
                <w:sz w:val="21"/>
                <w:szCs w:val="24"/>
                <w14:textFill>
                  <w14:solidFill>
                    <w14:schemeClr w14:val="tx1"/>
                  </w14:solidFill>
                </w14:textFill>
              </w:rPr>
            </w:pPr>
            <w:r>
              <w:rPr>
                <w:rFonts w:eastAsia="宋体"/>
                <w:b/>
                <w:color w:val="000000" w:themeColor="text1"/>
                <w:sz w:val="21"/>
                <w:szCs w:val="24"/>
                <w14:textFill>
                  <w14:solidFill>
                    <w14:schemeClr w14:val="tx1"/>
                  </w14:solidFill>
                </w14:textFill>
              </w:rPr>
              <w:t>表</w:t>
            </w:r>
            <w:r>
              <w:rPr>
                <w:rFonts w:hint="eastAsia" w:eastAsia="宋体"/>
                <w:b/>
                <w:color w:val="000000" w:themeColor="text1"/>
                <w:sz w:val="21"/>
                <w:szCs w:val="24"/>
                <w14:textFill>
                  <w14:solidFill>
                    <w14:schemeClr w14:val="tx1"/>
                  </w14:solidFill>
                </w14:textFill>
              </w:rPr>
              <w:t>3</w:t>
            </w:r>
            <w:r>
              <w:rPr>
                <w:rFonts w:hint="eastAsia" w:eastAsia="宋体"/>
                <w:b/>
                <w:color w:val="000000" w:themeColor="text1"/>
                <w:sz w:val="21"/>
                <w:szCs w:val="24"/>
                <w:lang w:val="en-US" w:eastAsia="zh-CN"/>
                <w14:textFill>
                  <w14:solidFill>
                    <w14:schemeClr w14:val="tx1"/>
                  </w14:solidFill>
                </w14:textFill>
              </w:rPr>
              <w:t>3</w:t>
            </w:r>
            <w:r>
              <w:rPr>
                <w:rFonts w:eastAsia="宋体"/>
                <w:b/>
                <w:color w:val="000000" w:themeColor="text1"/>
                <w:sz w:val="21"/>
                <w:szCs w:val="24"/>
                <w14:textFill>
                  <w14:solidFill>
                    <w14:schemeClr w14:val="tx1"/>
                  </w14:solidFill>
                </w14:textFill>
              </w:rPr>
              <w:t xml:space="preserve">  环境监测内容及计划表</w:t>
            </w:r>
          </w:p>
          <w:tbl>
            <w:tblPr>
              <w:tblStyle w:val="32"/>
              <w:tblW w:w="896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83"/>
              <w:gridCol w:w="1899"/>
              <w:gridCol w:w="3014"/>
              <w:gridCol w:w="1588"/>
              <w:gridCol w:w="11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70" w:hRule="atLeast"/>
                <w:jc w:val="center"/>
              </w:trPr>
              <w:tc>
                <w:tcPr>
                  <w:tcW w:w="1283"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监测类别</w:t>
                  </w:r>
                </w:p>
              </w:tc>
              <w:tc>
                <w:tcPr>
                  <w:tcW w:w="1899"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监测点位</w:t>
                  </w:r>
                </w:p>
              </w:tc>
              <w:tc>
                <w:tcPr>
                  <w:tcW w:w="3014"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监测项目</w:t>
                  </w:r>
                </w:p>
              </w:tc>
              <w:tc>
                <w:tcPr>
                  <w:tcW w:w="1588"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监测频率</w:t>
                  </w:r>
                </w:p>
              </w:tc>
              <w:tc>
                <w:tcPr>
                  <w:tcW w:w="1180"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90" w:hRule="atLeast"/>
                <w:jc w:val="center"/>
              </w:trPr>
              <w:tc>
                <w:tcPr>
                  <w:tcW w:w="1283"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渗滤液</w:t>
                  </w:r>
                </w:p>
              </w:tc>
              <w:tc>
                <w:tcPr>
                  <w:tcW w:w="1899"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hint="eastAsia" w:ascii="Times New Roman" w:eastAsia="宋体" w:cs="Times New Roman"/>
                      <w:bCs/>
                      <w:color w:val="000000" w:themeColor="text1"/>
                      <w:sz w:val="21"/>
                      <w:szCs w:val="21"/>
                      <w14:textFill>
                        <w14:solidFill>
                          <w14:schemeClr w14:val="tx1"/>
                        </w14:solidFill>
                      </w14:textFill>
                    </w:rPr>
                    <w:t>污水排放口</w:t>
                  </w:r>
                </w:p>
              </w:tc>
              <w:tc>
                <w:tcPr>
                  <w:tcW w:w="3014" w:type="dxa"/>
                  <w:vAlign w:val="center"/>
                </w:tcPr>
                <w:p>
                  <w:pPr>
                    <w:pStyle w:val="152"/>
                    <w:ind w:left="-52" w:firstLine="42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废水流量、pH、</w:t>
                  </w:r>
                  <w:r>
                    <w:rPr>
                      <w:rFonts w:hint="eastAsia" w:ascii="Times New Roman" w:eastAsia="宋体" w:cs="Times New Roman"/>
                      <w:color w:val="000000" w:themeColor="text1"/>
                      <w:sz w:val="21"/>
                      <w:szCs w:val="21"/>
                      <w:lang w:val="en-US" w:eastAsia="zh-CN"/>
                      <w14:textFill>
                        <w14:solidFill>
                          <w14:schemeClr w14:val="tx1"/>
                        </w14:solidFill>
                      </w14:textFill>
                    </w:rPr>
                    <w:t>色度、</w:t>
                  </w:r>
                  <w:r>
                    <w:rPr>
                      <w:rFonts w:ascii="Times New Roman" w:eastAsia="宋体" w:cs="Times New Roman"/>
                      <w:color w:val="000000" w:themeColor="text1"/>
                      <w:sz w:val="21"/>
                      <w:szCs w:val="21"/>
                      <w14:textFill>
                        <w14:solidFill>
                          <w14:schemeClr w14:val="tx1"/>
                        </w14:solidFill>
                      </w14:textFill>
                    </w:rPr>
                    <w:t>SS、COD、BOD</w:t>
                  </w:r>
                  <w:r>
                    <w:rPr>
                      <w:rFonts w:ascii="Times New Roman" w:eastAsia="宋体" w:cs="Times New Roman"/>
                      <w:color w:val="000000" w:themeColor="text1"/>
                      <w:sz w:val="21"/>
                      <w:szCs w:val="21"/>
                      <w:vertAlign w:val="subscript"/>
                      <w14:textFill>
                        <w14:solidFill>
                          <w14:schemeClr w14:val="tx1"/>
                        </w14:solidFill>
                      </w14:textFill>
                    </w:rPr>
                    <w:t>5</w:t>
                  </w:r>
                  <w:r>
                    <w:rPr>
                      <w:rFonts w:ascii="Times New Roman" w:eastAsia="宋体" w:cs="Times New Roman"/>
                      <w:color w:val="000000" w:themeColor="text1"/>
                      <w:sz w:val="21"/>
                      <w:szCs w:val="21"/>
                      <w14:textFill>
                        <w14:solidFill>
                          <w14:schemeClr w14:val="tx1"/>
                        </w14:solidFill>
                      </w14:textFill>
                    </w:rPr>
                    <w:t>、NH</w:t>
                  </w:r>
                  <w:r>
                    <w:rPr>
                      <w:rFonts w:ascii="Times New Roman" w:eastAsia="宋体" w:cs="Times New Roman"/>
                      <w:color w:val="000000" w:themeColor="text1"/>
                      <w:sz w:val="21"/>
                      <w:szCs w:val="21"/>
                      <w:vertAlign w:val="subscript"/>
                      <w14:textFill>
                        <w14:solidFill>
                          <w14:schemeClr w14:val="tx1"/>
                        </w14:solidFill>
                      </w14:textFill>
                    </w:rPr>
                    <w:t>3</w:t>
                  </w:r>
                  <w:r>
                    <w:rPr>
                      <w:rFonts w:ascii="Times New Roman" w:eastAsia="宋体" w:cs="Times New Roman"/>
                      <w:color w:val="000000" w:themeColor="text1"/>
                      <w:sz w:val="21"/>
                      <w:szCs w:val="21"/>
                      <w14:textFill>
                        <w14:solidFill>
                          <w14:schemeClr w14:val="tx1"/>
                        </w14:solidFill>
                      </w14:textFill>
                    </w:rPr>
                    <w:t>-N、TN、TP、总汞、总砷、总镉、总铅、总铬、六价铬、粪大肠菌群</w:t>
                  </w:r>
                </w:p>
              </w:tc>
              <w:tc>
                <w:tcPr>
                  <w:tcW w:w="1588"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hint="eastAsia" w:ascii="Times New Roman" w:eastAsia="宋体" w:cs="Times New Roman"/>
                      <w:bCs/>
                      <w:color w:val="000000" w:themeColor="text1"/>
                      <w:sz w:val="21"/>
                      <w:szCs w:val="21"/>
                      <w14:textFill>
                        <w14:solidFill>
                          <w14:schemeClr w14:val="tx1"/>
                        </w14:solidFill>
                      </w14:textFill>
                    </w:rPr>
                    <w:t>每</w:t>
                  </w:r>
                  <w:r>
                    <w:rPr>
                      <w:rFonts w:hint="eastAsia" w:ascii="Times New Roman" w:eastAsia="宋体" w:cs="Times New Roman"/>
                      <w:bCs/>
                      <w:color w:val="000000" w:themeColor="text1"/>
                      <w:sz w:val="21"/>
                      <w:szCs w:val="21"/>
                      <w:lang w:val="en-US" w:eastAsia="zh-CN"/>
                      <w14:textFill>
                        <w14:solidFill>
                          <w14:schemeClr w14:val="tx1"/>
                        </w14:solidFill>
                      </w14:textFill>
                    </w:rPr>
                    <w:t>周</w:t>
                  </w:r>
                  <w:r>
                    <w:rPr>
                      <w:rFonts w:hint="eastAsia" w:ascii="Times New Roman" w:eastAsia="宋体" w:cs="Times New Roman"/>
                      <w:bCs/>
                      <w:color w:val="000000" w:themeColor="text1"/>
                      <w:sz w:val="21"/>
                      <w:szCs w:val="21"/>
                      <w14:textFill>
                        <w14:solidFill>
                          <w14:schemeClr w14:val="tx1"/>
                        </w14:solidFill>
                      </w14:textFill>
                    </w:rPr>
                    <w:t>一次</w:t>
                  </w:r>
                </w:p>
              </w:tc>
              <w:tc>
                <w:tcPr>
                  <w:tcW w:w="1180"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hint="eastAsia" w:ascii="Times New Roman" w:eastAsia="宋体"/>
                      <w:bCs/>
                      <w:color w:val="000000" w:themeColor="text1"/>
                      <w:sz w:val="21"/>
                      <w:szCs w:val="21"/>
                      <w:lang w:val="en-US" w:eastAsia="zh-CN"/>
                      <w14:textFill>
                        <w14:solidFill>
                          <w14:schemeClr w14:val="tx1"/>
                        </w14:solidFill>
                      </w14:textFill>
                    </w:rPr>
                    <w:t>生活垃圾填埋场管理机构、</w:t>
                  </w:r>
                  <w:r>
                    <w:rPr>
                      <w:rFonts w:ascii="Times New Roman" w:eastAsia="宋体"/>
                      <w:bCs/>
                      <w:color w:val="000000" w:themeColor="text1"/>
                      <w:sz w:val="21"/>
                      <w:szCs w:val="21"/>
                      <w14:textFill>
                        <w14:solidFill>
                          <w14:schemeClr w14:val="tx1"/>
                        </w14:solidFill>
                      </w14:textFill>
                    </w:rPr>
                    <w:t>委托监测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70" w:hRule="atLeast"/>
                <w:jc w:val="center"/>
              </w:trPr>
              <w:tc>
                <w:tcPr>
                  <w:tcW w:w="1283"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废气</w:t>
                  </w:r>
                </w:p>
              </w:tc>
              <w:tc>
                <w:tcPr>
                  <w:tcW w:w="1899" w:type="dxa"/>
                  <w:vAlign w:val="center"/>
                </w:tcPr>
                <w:p>
                  <w:pPr>
                    <w:pStyle w:val="152"/>
                    <w:ind w:left="-70" w:leftChars="-25"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厂界</w:t>
                  </w:r>
                </w:p>
              </w:tc>
              <w:tc>
                <w:tcPr>
                  <w:tcW w:w="3014"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hint="eastAsia" w:ascii="Times New Roman" w:eastAsia="宋体" w:cs="Times New Roman"/>
                      <w:bCs/>
                      <w:color w:val="000000" w:themeColor="text1"/>
                      <w:sz w:val="21"/>
                      <w:szCs w:val="21"/>
                      <w14:textFill>
                        <w14:solidFill>
                          <w14:schemeClr w14:val="tx1"/>
                        </w14:solidFill>
                      </w14:textFill>
                    </w:rPr>
                    <w:t>臭气浓度</w:t>
                  </w:r>
                  <w:r>
                    <w:rPr>
                      <w:rFonts w:ascii="Times New Roman" w:eastAsia="宋体" w:cs="Times New Roman"/>
                      <w:bCs/>
                      <w:color w:val="000000" w:themeColor="text1"/>
                      <w:sz w:val="21"/>
                      <w:szCs w:val="21"/>
                      <w14:textFill>
                        <w14:solidFill>
                          <w14:schemeClr w14:val="tx1"/>
                        </w14:solidFill>
                      </w14:textFill>
                    </w:rPr>
                    <w:t>、H</w:t>
                  </w:r>
                  <w:r>
                    <w:rPr>
                      <w:rFonts w:ascii="Times New Roman" w:eastAsia="宋体" w:cs="Times New Roman"/>
                      <w:bCs/>
                      <w:color w:val="000000" w:themeColor="text1"/>
                      <w:sz w:val="21"/>
                      <w:szCs w:val="21"/>
                      <w:vertAlign w:val="subscript"/>
                      <w14:textFill>
                        <w14:solidFill>
                          <w14:schemeClr w14:val="tx1"/>
                        </w14:solidFill>
                      </w14:textFill>
                    </w:rPr>
                    <w:t>2</w:t>
                  </w:r>
                  <w:r>
                    <w:rPr>
                      <w:rFonts w:ascii="Times New Roman" w:eastAsia="宋体" w:cs="Times New Roman"/>
                      <w:bCs/>
                      <w:color w:val="000000" w:themeColor="text1"/>
                      <w:sz w:val="21"/>
                      <w:szCs w:val="21"/>
                      <w14:textFill>
                        <w14:solidFill>
                          <w14:schemeClr w14:val="tx1"/>
                        </w14:solidFill>
                      </w14:textFill>
                    </w:rPr>
                    <w:t>S、NH</w:t>
                  </w:r>
                  <w:r>
                    <w:rPr>
                      <w:rFonts w:ascii="Times New Roman" w:eastAsia="宋体" w:cs="Times New Roman"/>
                      <w:bCs/>
                      <w:color w:val="000000" w:themeColor="text1"/>
                      <w:sz w:val="21"/>
                      <w:szCs w:val="21"/>
                      <w:vertAlign w:val="subscript"/>
                      <w14:textFill>
                        <w14:solidFill>
                          <w14:schemeClr w14:val="tx1"/>
                        </w14:solidFill>
                      </w14:textFill>
                    </w:rPr>
                    <w:t>3</w:t>
                  </w:r>
                </w:p>
              </w:tc>
              <w:tc>
                <w:tcPr>
                  <w:tcW w:w="1588"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hint="eastAsia" w:ascii="Times New Roman" w:eastAsia="宋体" w:cs="Times New Roman"/>
                      <w:bCs/>
                      <w:color w:val="000000" w:themeColor="text1"/>
                      <w:sz w:val="21"/>
                      <w:szCs w:val="21"/>
                      <w14:textFill>
                        <w14:solidFill>
                          <w14:schemeClr w14:val="tx1"/>
                        </w14:solidFill>
                      </w14:textFill>
                    </w:rPr>
                    <w:t>每季一次</w:t>
                  </w:r>
                </w:p>
              </w:tc>
              <w:tc>
                <w:tcPr>
                  <w:tcW w:w="1180"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1" w:hRule="atLeast"/>
                <w:jc w:val="center"/>
              </w:trPr>
              <w:tc>
                <w:tcPr>
                  <w:tcW w:w="1283"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噪声</w:t>
                  </w:r>
                </w:p>
              </w:tc>
              <w:tc>
                <w:tcPr>
                  <w:tcW w:w="1899"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厂界外1m</w:t>
                  </w:r>
                </w:p>
              </w:tc>
              <w:tc>
                <w:tcPr>
                  <w:tcW w:w="3014"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昼夜等效声级</w:t>
                  </w:r>
                </w:p>
              </w:tc>
              <w:tc>
                <w:tcPr>
                  <w:tcW w:w="1588"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hint="eastAsia" w:ascii="Times New Roman" w:eastAsia="宋体" w:cs="Times New Roman"/>
                      <w:bCs/>
                      <w:color w:val="000000" w:themeColor="text1"/>
                      <w:sz w:val="21"/>
                      <w:szCs w:val="21"/>
                      <w14:textFill>
                        <w14:solidFill>
                          <w14:schemeClr w14:val="tx1"/>
                        </w14:solidFill>
                      </w14:textFill>
                    </w:rPr>
                    <w:t>每季一次</w:t>
                  </w:r>
                </w:p>
              </w:tc>
              <w:tc>
                <w:tcPr>
                  <w:tcW w:w="1180"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1" w:hRule="atLeast"/>
                <w:jc w:val="center"/>
              </w:trPr>
              <w:tc>
                <w:tcPr>
                  <w:tcW w:w="1283"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地下水</w:t>
                  </w:r>
                </w:p>
              </w:tc>
              <w:tc>
                <w:tcPr>
                  <w:tcW w:w="1899" w:type="dxa"/>
                  <w:vAlign w:val="center"/>
                </w:tcPr>
                <w:p>
                  <w:pPr>
                    <w:pStyle w:val="152"/>
                    <w:ind w:firstLine="0" w:firstLineChars="0"/>
                    <w:jc w:val="center"/>
                    <w:rPr>
                      <w:rFonts w:ascii="Times New Roman" w:eastAsia="宋体" w:cs="Times New Roman"/>
                      <w:bCs/>
                      <w:color w:val="000000" w:themeColor="text1"/>
                      <w:sz w:val="21"/>
                      <w:szCs w:val="21"/>
                      <w14:textFill>
                        <w14:solidFill>
                          <w14:schemeClr w14:val="tx1"/>
                        </w14:solidFill>
                      </w14:textFill>
                    </w:rPr>
                  </w:pPr>
                  <w:r>
                    <w:rPr>
                      <w:rFonts w:ascii="Times New Roman" w:eastAsia="宋体" w:cs="Times New Roman"/>
                      <w:bCs/>
                      <w:color w:val="000000" w:themeColor="text1"/>
                      <w:sz w:val="21"/>
                      <w:szCs w:val="21"/>
                      <w14:textFill>
                        <w14:solidFill>
                          <w14:schemeClr w14:val="tx1"/>
                        </w14:solidFill>
                      </w14:textFill>
                    </w:rPr>
                    <w:t>地下水监控井</w:t>
                  </w:r>
                </w:p>
              </w:tc>
              <w:tc>
                <w:tcPr>
                  <w:tcW w:w="3014" w:type="dxa"/>
                  <w:vAlign w:val="center"/>
                </w:tcPr>
                <w:p>
                  <w:pPr>
                    <w:adjustRightInd w:val="0"/>
                    <w:snapToGrid w:val="0"/>
                    <w:jc w:val="center"/>
                    <w:textAlignment w:val="baseline"/>
                    <w:rPr>
                      <w:rFonts w:eastAsia="宋体"/>
                      <w:bCs/>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pH</w:t>
                  </w:r>
                  <w:r>
                    <w:rPr>
                      <w:rFonts w:hint="eastAsia" w:eastAsia="宋体" w:cs="Times New Roman"/>
                      <w:color w:val="000000" w:themeColor="text1"/>
                      <w:sz w:val="21"/>
                      <w:szCs w:val="21"/>
                      <w:lang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总硬度、高锰酸盐指数、</w:t>
                  </w:r>
                  <w:r>
                    <w:rPr>
                      <w:rFonts w:eastAsia="宋体"/>
                      <w:bCs/>
                      <w:color w:val="000000" w:themeColor="text1"/>
                      <w:sz w:val="21"/>
                      <w:szCs w:val="21"/>
                      <w14:textFill>
                        <w14:solidFill>
                          <w14:schemeClr w14:val="tx1"/>
                        </w14:solidFill>
                      </w14:textFill>
                    </w:rPr>
                    <w:t>化学需氧量、NH</w:t>
                  </w:r>
                  <w:r>
                    <w:rPr>
                      <w:rFonts w:eastAsia="宋体"/>
                      <w:bCs/>
                      <w:color w:val="000000" w:themeColor="text1"/>
                      <w:sz w:val="21"/>
                      <w:szCs w:val="21"/>
                      <w:vertAlign w:val="subscript"/>
                      <w14:textFill>
                        <w14:solidFill>
                          <w14:schemeClr w14:val="tx1"/>
                        </w14:solidFill>
                      </w14:textFill>
                    </w:rPr>
                    <w:t>3</w:t>
                  </w:r>
                  <w:r>
                    <w:rPr>
                      <w:rFonts w:eastAsia="宋体"/>
                      <w:bCs/>
                      <w:color w:val="000000" w:themeColor="text1"/>
                      <w:sz w:val="21"/>
                      <w:szCs w:val="21"/>
                      <w14:textFill>
                        <w14:solidFill>
                          <w14:schemeClr w14:val="tx1"/>
                        </w14:solidFill>
                      </w14:textFill>
                    </w:rPr>
                    <w:t>-N、</w:t>
                  </w:r>
                  <w:r>
                    <w:rPr>
                      <w:rFonts w:hint="eastAsia" w:eastAsia="宋体"/>
                      <w:bCs/>
                      <w:color w:val="000000" w:themeColor="text1"/>
                      <w:sz w:val="21"/>
                      <w:szCs w:val="21"/>
                      <w14:textFill>
                        <w14:solidFill>
                          <w14:schemeClr w14:val="tx1"/>
                        </w14:solidFill>
                      </w14:textFill>
                    </w:rPr>
                    <w:t>溶解性总固体、</w:t>
                  </w:r>
                  <w:r>
                    <w:rPr>
                      <w:rFonts w:hint="eastAsia" w:eastAsia="宋体"/>
                      <w:bCs/>
                      <w:color w:val="000000" w:themeColor="text1"/>
                      <w:sz w:val="21"/>
                      <w:szCs w:val="21"/>
                      <w:lang w:val="en-US" w:eastAsia="zh-CN"/>
                      <w14:textFill>
                        <w14:solidFill>
                          <w14:schemeClr w14:val="tx1"/>
                        </w14:solidFill>
                      </w14:textFill>
                    </w:rPr>
                    <w:t>硝酸盐、亚硝酸盐、硫酸盐、氯化物、挥发性酚类、氰化物、砷、</w:t>
                  </w:r>
                  <w:r>
                    <w:rPr>
                      <w:rFonts w:eastAsia="宋体"/>
                      <w:bCs/>
                      <w:color w:val="000000" w:themeColor="text1"/>
                      <w:sz w:val="21"/>
                      <w:szCs w:val="21"/>
                      <w14:textFill>
                        <w14:solidFill>
                          <w14:schemeClr w14:val="tx1"/>
                        </w14:solidFill>
                      </w14:textFill>
                    </w:rPr>
                    <w:t>汞、</w:t>
                  </w:r>
                  <w:r>
                    <w:rPr>
                      <w:rFonts w:hint="eastAsia" w:eastAsia="宋体"/>
                      <w:bCs/>
                      <w:color w:val="000000" w:themeColor="text1"/>
                      <w:sz w:val="21"/>
                      <w:szCs w:val="21"/>
                      <w:lang w:val="en-US" w:eastAsia="zh-CN"/>
                      <w14:textFill>
                        <w14:solidFill>
                          <w14:schemeClr w14:val="tx1"/>
                        </w14:solidFill>
                      </w14:textFill>
                    </w:rPr>
                    <w:t>六价铬、铅、氟、镉、铁、锰、铜、锌、</w:t>
                  </w:r>
                  <w:r>
                    <w:rPr>
                      <w:rFonts w:eastAsia="宋体"/>
                      <w:bCs/>
                      <w:color w:val="000000" w:themeColor="text1"/>
                      <w:sz w:val="21"/>
                      <w:szCs w:val="21"/>
                      <w14:textFill>
                        <w14:solidFill>
                          <w14:schemeClr w14:val="tx1"/>
                        </w14:solidFill>
                      </w14:textFill>
                    </w:rPr>
                    <w:t>粪大肠菌群</w:t>
                  </w:r>
                </w:p>
              </w:tc>
              <w:tc>
                <w:tcPr>
                  <w:tcW w:w="1588" w:type="dxa"/>
                  <w:vAlign w:val="center"/>
                </w:tcPr>
                <w:p>
                  <w:pPr>
                    <w:adjustRightInd w:val="0"/>
                    <w:snapToGrid w:val="0"/>
                    <w:jc w:val="center"/>
                    <w:textAlignment w:val="baseline"/>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扩散井、污染监视井</w:t>
                  </w:r>
                  <w:r>
                    <w:rPr>
                      <w:rFonts w:eastAsia="宋体"/>
                      <w:bCs/>
                      <w:color w:val="000000" w:themeColor="text1"/>
                      <w:sz w:val="21"/>
                      <w:szCs w:val="21"/>
                      <w14:textFill>
                        <w14:solidFill>
                          <w14:schemeClr w14:val="tx1"/>
                        </w14:solidFill>
                      </w14:textFill>
                    </w:rPr>
                    <w:t>每</w:t>
                  </w:r>
                  <w:r>
                    <w:rPr>
                      <w:rFonts w:hint="eastAsia" w:eastAsia="宋体"/>
                      <w:bCs/>
                      <w:color w:val="000000" w:themeColor="text1"/>
                      <w:sz w:val="21"/>
                      <w:szCs w:val="21"/>
                      <w:lang w:val="en-US" w:eastAsia="zh-CN"/>
                      <w14:textFill>
                        <w14:solidFill>
                          <w14:schemeClr w14:val="tx1"/>
                        </w14:solidFill>
                      </w14:textFill>
                    </w:rPr>
                    <w:t>2周</w:t>
                  </w:r>
                  <w:r>
                    <w:rPr>
                      <w:rFonts w:hint="eastAsia" w:eastAsia="宋体"/>
                      <w:bCs/>
                      <w:color w:val="000000" w:themeColor="text1"/>
                      <w:sz w:val="21"/>
                      <w:szCs w:val="21"/>
                      <w14:textFill>
                        <w14:solidFill>
                          <w14:schemeClr w14:val="tx1"/>
                        </w14:solidFill>
                      </w14:textFill>
                    </w:rPr>
                    <w:t>一</w:t>
                  </w:r>
                  <w:r>
                    <w:rPr>
                      <w:rFonts w:eastAsia="宋体"/>
                      <w:bCs/>
                      <w:color w:val="000000" w:themeColor="text1"/>
                      <w:sz w:val="21"/>
                      <w:szCs w:val="21"/>
                      <w14:textFill>
                        <w14:solidFill>
                          <w14:schemeClr w14:val="tx1"/>
                        </w14:solidFill>
                      </w14:textFill>
                    </w:rPr>
                    <w:t>次</w:t>
                  </w:r>
                  <w:r>
                    <w:rPr>
                      <w:rFonts w:hint="eastAsia" w:eastAsia="宋体"/>
                      <w:bCs/>
                      <w:color w:val="000000" w:themeColor="text1"/>
                      <w:sz w:val="21"/>
                      <w:szCs w:val="21"/>
                      <w:lang w:eastAsia="zh-CN"/>
                      <w14:textFill>
                        <w14:solidFill>
                          <w14:schemeClr w14:val="tx1"/>
                        </w14:solidFill>
                      </w14:textFill>
                    </w:rPr>
                    <w:t>，</w:t>
                  </w:r>
                  <w:r>
                    <w:rPr>
                      <w:rFonts w:hint="eastAsia" w:eastAsia="宋体"/>
                      <w:bCs/>
                      <w:color w:val="000000" w:themeColor="text1"/>
                      <w:sz w:val="21"/>
                      <w:szCs w:val="21"/>
                      <w:lang w:val="en-US" w:eastAsia="zh-CN"/>
                      <w14:textFill>
                        <w14:solidFill>
                          <w14:schemeClr w14:val="tx1"/>
                        </w14:solidFill>
                      </w14:textFill>
                    </w:rPr>
                    <w:t>本底井每月一次</w:t>
                  </w:r>
                </w:p>
              </w:tc>
              <w:tc>
                <w:tcPr>
                  <w:tcW w:w="1180" w:type="dxa"/>
                  <w:vAlign w:val="center"/>
                </w:tcPr>
                <w:p>
                  <w:pPr>
                    <w:adjustRightInd w:val="0"/>
                    <w:snapToGrid w:val="0"/>
                    <w:jc w:val="center"/>
                    <w:textAlignment w:val="baseline"/>
                    <w:rPr>
                      <w:rFonts w:eastAsia="宋体"/>
                      <w:bCs/>
                      <w:color w:val="000000" w:themeColor="text1"/>
                      <w:sz w:val="21"/>
                      <w:szCs w:val="21"/>
                      <w14:textFill>
                        <w14:solidFill>
                          <w14:schemeClr w14:val="tx1"/>
                        </w14:solidFill>
                      </w14:textFill>
                    </w:rPr>
                  </w:pPr>
                  <w:r>
                    <w:rPr>
                      <w:rFonts w:hint="eastAsia" w:ascii="Times New Roman" w:eastAsia="宋体"/>
                      <w:bCs/>
                      <w:color w:val="000000" w:themeColor="text1"/>
                      <w:sz w:val="21"/>
                      <w:szCs w:val="21"/>
                      <w:lang w:val="en-US" w:eastAsia="zh-CN"/>
                      <w14:textFill>
                        <w14:solidFill>
                          <w14:schemeClr w14:val="tx1"/>
                        </w14:solidFill>
                      </w14:textFill>
                    </w:rPr>
                    <w:t>生活垃圾填埋场管理机构、</w:t>
                  </w:r>
                  <w:r>
                    <w:rPr>
                      <w:rFonts w:eastAsia="宋体"/>
                      <w:bCs/>
                      <w:color w:val="000000" w:themeColor="text1"/>
                      <w:sz w:val="21"/>
                      <w:szCs w:val="21"/>
                      <w14:textFill>
                        <w14:solidFill>
                          <w14:schemeClr w14:val="tx1"/>
                        </w14:solidFill>
                      </w14:textFill>
                    </w:rPr>
                    <w:t>委托监测</w:t>
                  </w:r>
                </w:p>
              </w:tc>
            </w:tr>
          </w:tbl>
          <w:p>
            <w:pPr>
              <w:adjustRightInd w:val="0"/>
              <w:snapToGrid w:val="0"/>
              <w:spacing w:line="520" w:lineRule="exact"/>
              <w:ind w:right="140" w:rightChars="50" w:firstLine="480" w:firstLineChars="200"/>
              <w:rPr>
                <w:rFonts w:eastAsia="宋体"/>
                <w:b/>
                <w:bCs/>
                <w:color w:val="000000" w:themeColor="text1"/>
                <w:sz w:val="24"/>
                <w:szCs w:val="24"/>
                <w14:textFill>
                  <w14:solidFill>
                    <w14:schemeClr w14:val="tx1"/>
                  </w14:solidFill>
                </w14:textFill>
              </w:rPr>
            </w:pPr>
            <w:r>
              <w:rPr>
                <w:rFonts w:hint="eastAsia" w:eastAsia="宋体"/>
                <w:color w:val="000000" w:themeColor="text1"/>
                <w:sz w:val="24"/>
                <w14:textFill>
                  <w14:solidFill>
                    <w14:schemeClr w14:val="tx1"/>
                  </w14:solidFill>
                </w14:textFill>
              </w:rPr>
              <w:t>另外，尾水排放口须根据玛纳斯县生态环境主管部门要求安装污染物排放在线监测设备，实时监控出水达标情况。</w:t>
            </w:r>
          </w:p>
          <w:p>
            <w:pPr>
              <w:adjustRightInd w:val="0"/>
              <w:snapToGrid w:val="0"/>
              <w:spacing w:before="156" w:beforeLines="50" w:line="520" w:lineRule="exact"/>
              <w:ind w:left="700" w:leftChars="250" w:right="140" w:rightChars="50"/>
              <w:rPr>
                <w:rFonts w:eastAsia="宋体"/>
                <w:b/>
                <w:bCs/>
                <w:color w:val="000000" w:themeColor="text1"/>
                <w:sz w:val="24"/>
                <w:szCs w:val="24"/>
                <w14:textFill>
                  <w14:solidFill>
                    <w14:schemeClr w14:val="tx1"/>
                  </w14:solidFill>
                </w14:textFill>
              </w:rPr>
            </w:pPr>
            <w:r>
              <w:rPr>
                <w:rFonts w:hint="eastAsia" w:eastAsia="宋体"/>
                <w:b/>
                <w:bCs/>
                <w:color w:val="000000" w:themeColor="text1"/>
                <w:sz w:val="24"/>
                <w:szCs w:val="24"/>
                <w14:textFill>
                  <w14:solidFill>
                    <w14:schemeClr w14:val="tx1"/>
                  </w14:solidFill>
                </w14:textFill>
              </w:rPr>
              <w:t>十二、</w:t>
            </w:r>
            <w:r>
              <w:rPr>
                <w:rFonts w:eastAsia="宋体"/>
                <w:b/>
                <w:bCs/>
                <w:color w:val="000000" w:themeColor="text1"/>
                <w:sz w:val="24"/>
                <w:szCs w:val="24"/>
                <w14:textFill>
                  <w14:solidFill>
                    <w14:schemeClr w14:val="tx1"/>
                  </w14:solidFill>
                </w14:textFill>
              </w:rPr>
              <w:t>排放口设置与规范化管理</w:t>
            </w:r>
          </w:p>
          <w:p>
            <w:pPr>
              <w:pStyle w:val="152"/>
              <w:spacing w:line="560" w:lineRule="exact"/>
              <w:ind w:firstLine="480"/>
              <w:rPr>
                <w:rFonts w:ascii="Times New Roman" w:eastAsia="宋体" w:cs="Times New Roman"/>
                <w:bCs/>
                <w:color w:val="000000" w:themeColor="text1"/>
                <w:sz w:val="24"/>
                <w:szCs w:val="24"/>
                <w14:textFill>
                  <w14:solidFill>
                    <w14:schemeClr w14:val="tx1"/>
                  </w14:solidFill>
                </w14:textFill>
              </w:rPr>
            </w:pPr>
            <w:r>
              <w:rPr>
                <w:rFonts w:ascii="Times New Roman" w:eastAsia="宋体" w:cs="Times New Roman"/>
                <w:bCs/>
                <w:color w:val="000000" w:themeColor="text1"/>
                <w:sz w:val="24"/>
                <w:szCs w:val="24"/>
                <w14:textFill>
                  <w14:solidFill>
                    <w14:schemeClr w14:val="tx1"/>
                  </w14:solidFill>
                </w14:textFill>
              </w:rPr>
              <w:t>根据国家标准《环境保护图形标志－排放口（源）》和国家环保总局《排污口规范化整治要求（试行）》的技术要求，企业所有排放口必须按照</w:t>
            </w:r>
            <w:r>
              <w:rPr>
                <w:rFonts w:hint="eastAsia" w:ascii="Times New Roman" w:eastAsia="宋体" w:cs="Times New Roman"/>
                <w:bCs/>
                <w:color w:val="000000" w:themeColor="text1"/>
                <w:sz w:val="24"/>
                <w:szCs w:val="24"/>
                <w14:textFill>
                  <w14:solidFill>
                    <w14:schemeClr w14:val="tx1"/>
                  </w14:solidFill>
                </w14:textFill>
              </w:rPr>
              <w:t>“</w:t>
            </w:r>
            <w:r>
              <w:rPr>
                <w:rFonts w:ascii="Times New Roman" w:eastAsia="宋体" w:cs="Times New Roman"/>
                <w:bCs/>
                <w:color w:val="000000" w:themeColor="text1"/>
                <w:sz w:val="24"/>
                <w:szCs w:val="24"/>
                <w14:textFill>
                  <w14:solidFill>
                    <w14:schemeClr w14:val="tx1"/>
                  </w14:solidFill>
                </w14:textFill>
              </w:rPr>
              <w:t>便于采样、便于计量监测、便于日常现场监督检查</w:t>
            </w:r>
            <w:r>
              <w:rPr>
                <w:rFonts w:hint="eastAsia" w:ascii="Times New Roman" w:eastAsia="宋体" w:cs="Times New Roman"/>
                <w:bCs/>
                <w:color w:val="000000" w:themeColor="text1"/>
                <w:sz w:val="24"/>
                <w:szCs w:val="24"/>
                <w14:textFill>
                  <w14:solidFill>
                    <w14:schemeClr w14:val="tx1"/>
                  </w14:solidFill>
                </w14:textFill>
              </w:rPr>
              <w:t>”</w:t>
            </w:r>
            <w:r>
              <w:rPr>
                <w:rFonts w:ascii="Times New Roman" w:eastAsia="宋体" w:cs="Times New Roman"/>
                <w:bCs/>
                <w:color w:val="000000" w:themeColor="text1"/>
                <w:sz w:val="24"/>
                <w:szCs w:val="24"/>
                <w14:textFill>
                  <w14:solidFill>
                    <w14:schemeClr w14:val="tx1"/>
                  </w14:solidFill>
                </w14:textFill>
              </w:rPr>
              <w:t>的原则和规范化要求，设置排污口标志牌，绘制企业排污口布置图。</w:t>
            </w:r>
          </w:p>
          <w:p>
            <w:pPr>
              <w:pStyle w:val="152"/>
              <w:spacing w:line="560" w:lineRule="exact"/>
              <w:ind w:firstLine="480"/>
              <w:rPr>
                <w:rFonts w:ascii="Times New Roman" w:eastAsia="宋体" w:cs="Times New Roman"/>
                <w:bCs/>
                <w:color w:val="000000" w:themeColor="text1"/>
                <w:sz w:val="24"/>
                <w:szCs w:val="24"/>
                <w14:textFill>
                  <w14:solidFill>
                    <w14:schemeClr w14:val="tx1"/>
                  </w14:solidFill>
                </w14:textFill>
              </w:rPr>
            </w:pPr>
            <w:r>
              <w:rPr>
                <w:rFonts w:ascii="Times New Roman" w:eastAsia="宋体" w:cs="Times New Roman"/>
                <w:bCs/>
                <w:color w:val="000000" w:themeColor="text1"/>
                <w:sz w:val="24"/>
                <w:szCs w:val="24"/>
                <w14:textFill>
                  <w14:solidFill>
                    <w14:schemeClr w14:val="tx1"/>
                  </w14:solidFill>
                </w14:textFill>
              </w:rPr>
              <w:t>（1）排放口应具备采样和流量测定条件，并按照《污染源监测技术规范》设置采样点；</w:t>
            </w:r>
          </w:p>
          <w:p>
            <w:pPr>
              <w:pStyle w:val="152"/>
              <w:spacing w:line="560" w:lineRule="exact"/>
              <w:ind w:firstLine="480"/>
              <w:rPr>
                <w:rFonts w:ascii="Times New Roman" w:eastAsia="宋体" w:cs="Times New Roman"/>
                <w:bCs/>
                <w:color w:val="000000" w:themeColor="text1"/>
                <w:sz w:val="24"/>
                <w:szCs w:val="24"/>
                <w14:textFill>
                  <w14:solidFill>
                    <w14:schemeClr w14:val="tx1"/>
                  </w14:solidFill>
                </w14:textFill>
              </w:rPr>
            </w:pPr>
            <w:r>
              <w:rPr>
                <w:rFonts w:ascii="Times New Roman" w:eastAsia="宋体" w:cs="Times New Roman"/>
                <w:bCs/>
                <w:color w:val="000000" w:themeColor="text1"/>
                <w:sz w:val="24"/>
                <w:szCs w:val="24"/>
                <w14:textFill>
                  <w14:solidFill>
                    <w14:schemeClr w14:val="tx1"/>
                  </w14:solidFill>
                </w14:textFill>
              </w:rPr>
              <w:t>（2）排污口可以矩形、圆筒型或梯形，保证水深不低于0.1m，流速不小于0.05m/s，流口出水必须进入尾水排放管，并在明渠之前相接。</w:t>
            </w:r>
          </w:p>
          <w:p>
            <w:pPr>
              <w:pStyle w:val="152"/>
              <w:spacing w:line="560" w:lineRule="exact"/>
              <w:ind w:firstLine="480"/>
              <w:rPr>
                <w:rFonts w:ascii="Times New Roman" w:eastAsia="宋体" w:cs="Times New Roman"/>
                <w:bCs/>
                <w:color w:val="000000" w:themeColor="text1"/>
                <w:sz w:val="24"/>
                <w:szCs w:val="24"/>
                <w14:textFill>
                  <w14:solidFill>
                    <w14:schemeClr w14:val="tx1"/>
                  </w14:solidFill>
                </w14:textFill>
              </w:rPr>
            </w:pPr>
            <w:r>
              <w:rPr>
                <w:rFonts w:ascii="Times New Roman" w:eastAsia="宋体" w:cs="Times New Roman"/>
                <w:bCs/>
                <w:color w:val="000000" w:themeColor="text1"/>
                <w:sz w:val="24"/>
                <w:szCs w:val="24"/>
                <w14:textFill>
                  <w14:solidFill>
                    <w14:schemeClr w14:val="tx1"/>
                  </w14:solidFill>
                </w14:textFill>
              </w:rPr>
              <w:t>（3）设置规范的、便于测量流量、流速的测流段。测流段直线长度应是其水面宽度的6倍以上，最小1.5倍以上；</w:t>
            </w:r>
          </w:p>
          <w:p>
            <w:pPr>
              <w:pStyle w:val="152"/>
              <w:spacing w:line="560" w:lineRule="exact"/>
              <w:ind w:firstLine="480"/>
              <w:rPr>
                <w:rFonts w:ascii="Times New Roman" w:eastAsia="宋体" w:cs="Times New Roman"/>
                <w:bCs/>
                <w:color w:val="000000" w:themeColor="text1"/>
                <w:sz w:val="24"/>
                <w:szCs w:val="24"/>
                <w14:textFill>
                  <w14:solidFill>
                    <w14:schemeClr w14:val="tx1"/>
                  </w14:solidFill>
                </w14:textFill>
              </w:rPr>
            </w:pPr>
            <w:r>
              <w:rPr>
                <w:rFonts w:ascii="Times New Roman" w:eastAsia="宋体" w:cs="Times New Roman"/>
                <w:bCs/>
                <w:color w:val="000000" w:themeColor="text1"/>
                <w:sz w:val="24"/>
                <w:szCs w:val="24"/>
                <w14:textFill>
                  <w14:solidFill>
                    <w14:schemeClr w14:val="tx1"/>
                  </w14:solidFill>
                </w14:textFill>
              </w:rPr>
              <w:t>（4）排污口按照国家颁布有关污染物排放标准要求，设置排放口标志牌。</w:t>
            </w:r>
          </w:p>
          <w:p>
            <w:pPr>
              <w:adjustRightInd w:val="0"/>
              <w:snapToGrid w:val="0"/>
              <w:spacing w:before="156" w:beforeLines="50" w:line="520" w:lineRule="exact"/>
              <w:ind w:left="700" w:leftChars="250" w:right="140" w:rightChars="50"/>
              <w:rPr>
                <w:rFonts w:eastAsia="宋体"/>
                <w:b/>
                <w:bCs/>
                <w:color w:val="000000" w:themeColor="text1"/>
                <w:szCs w:val="28"/>
                <w14:textFill>
                  <w14:solidFill>
                    <w14:schemeClr w14:val="tx1"/>
                  </w14:solidFill>
                </w14:textFill>
              </w:rPr>
            </w:pPr>
            <w:r>
              <w:rPr>
                <w:rFonts w:hint="eastAsia" w:eastAsia="宋体"/>
                <w:b/>
                <w:bCs/>
                <w:color w:val="000000" w:themeColor="text1"/>
                <w:sz w:val="24"/>
                <w:szCs w:val="24"/>
                <w14:textFill>
                  <w14:solidFill>
                    <w14:schemeClr w14:val="tx1"/>
                  </w14:solidFill>
                </w14:textFill>
              </w:rPr>
              <w:t>十三、</w:t>
            </w:r>
            <w:r>
              <w:rPr>
                <w:rFonts w:eastAsia="宋体"/>
                <w:b/>
                <w:bCs/>
                <w:color w:val="000000" w:themeColor="text1"/>
                <w:sz w:val="24"/>
                <w:szCs w:val="24"/>
                <w14:textFill>
                  <w14:solidFill>
                    <w14:schemeClr w14:val="tx1"/>
                  </w14:solidFill>
                </w14:textFill>
              </w:rPr>
              <w:t>环保设施竣工验收内容及要求</w:t>
            </w:r>
          </w:p>
          <w:p>
            <w:pPr>
              <w:pStyle w:val="15"/>
              <w:spacing w:line="560" w:lineRule="exact"/>
              <w:ind w:firstLine="480" w:firstLineChars="200"/>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14:textFill>
                  <w14:solidFill>
                    <w14:schemeClr w14:val="tx1"/>
                  </w14:solidFill>
                </w14:textFill>
              </w:rPr>
              <w:t>根据国家及</w:t>
            </w:r>
            <w:r>
              <w:rPr>
                <w:rFonts w:hint="eastAsia" w:ascii="Times New Roman" w:hAnsi="Times New Roman" w:eastAsia="宋体"/>
                <w:bCs/>
                <w:color w:val="000000" w:themeColor="text1"/>
                <w:sz w:val="24"/>
                <w14:textFill>
                  <w14:solidFill>
                    <w14:schemeClr w14:val="tx1"/>
                  </w14:solidFill>
                </w14:textFill>
              </w:rPr>
              <w:t>玛纳斯县</w:t>
            </w:r>
            <w:r>
              <w:rPr>
                <w:rFonts w:ascii="Times New Roman" w:hAnsi="Times New Roman" w:eastAsia="宋体"/>
                <w:bCs/>
                <w:color w:val="000000" w:themeColor="text1"/>
                <w:sz w:val="24"/>
                <w14:textFill>
                  <w14:solidFill>
                    <w14:schemeClr w14:val="tx1"/>
                  </w14:solidFill>
                </w14:textFill>
              </w:rPr>
              <w:t>环保局有关工程竣工验收的有关规定和要求，在项目工程正式运营前，自行验收，并按要求依法进行公开。</w:t>
            </w:r>
          </w:p>
          <w:p>
            <w:pPr>
              <w:pStyle w:val="15"/>
              <w:spacing w:line="560" w:lineRule="exact"/>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项目竣工验收环保管理要求见</w:t>
            </w:r>
            <w:r>
              <w:rPr>
                <w:rFonts w:hint="eastAsia" w:ascii="Times New Roman" w:hAnsi="Times New Roman" w:eastAsia="宋体"/>
                <w:color w:val="000000" w:themeColor="text1"/>
                <w:sz w:val="24"/>
                <w:szCs w:val="24"/>
                <w14:textFill>
                  <w14:solidFill>
                    <w14:schemeClr w14:val="tx1"/>
                  </w14:solidFill>
                </w14:textFill>
              </w:rPr>
              <w:t>下表</w:t>
            </w:r>
            <w:r>
              <w:rPr>
                <w:rFonts w:ascii="Times New Roman" w:hAnsi="Times New Roman" w:eastAsia="宋体"/>
                <w:color w:val="000000" w:themeColor="text1"/>
                <w:sz w:val="24"/>
                <w:szCs w:val="24"/>
                <w14:textFill>
                  <w14:solidFill>
                    <w14:schemeClr w14:val="tx1"/>
                  </w14:solidFill>
                </w14:textFill>
              </w:rPr>
              <w:t>。</w:t>
            </w:r>
          </w:p>
          <w:p>
            <w:pPr>
              <w:spacing w:line="560" w:lineRule="exact"/>
              <w:ind w:firstLine="422" w:firstLineChars="200"/>
              <w:jc w:val="center"/>
              <w:textAlignment w:val="baseline"/>
              <w:rPr>
                <w:rFonts w:eastAsia="宋体"/>
                <w:b/>
                <w:color w:val="000000" w:themeColor="text1"/>
                <w:sz w:val="21"/>
                <w:szCs w:val="24"/>
                <w14:textFill>
                  <w14:solidFill>
                    <w14:schemeClr w14:val="tx1"/>
                  </w14:solidFill>
                </w14:textFill>
              </w:rPr>
            </w:pPr>
            <w:r>
              <w:rPr>
                <w:rFonts w:eastAsia="宋体"/>
                <w:b/>
                <w:color w:val="000000" w:themeColor="text1"/>
                <w:sz w:val="21"/>
                <w:szCs w:val="24"/>
                <w14:textFill>
                  <w14:solidFill>
                    <w14:schemeClr w14:val="tx1"/>
                  </w14:solidFill>
                </w14:textFill>
              </w:rPr>
              <w:t>表</w:t>
            </w:r>
            <w:r>
              <w:rPr>
                <w:rFonts w:hint="eastAsia" w:eastAsia="宋体"/>
                <w:b/>
                <w:color w:val="000000" w:themeColor="text1"/>
                <w:sz w:val="21"/>
                <w:szCs w:val="24"/>
                <w14:textFill>
                  <w14:solidFill>
                    <w14:schemeClr w14:val="tx1"/>
                  </w14:solidFill>
                </w14:textFill>
              </w:rPr>
              <w:t>3</w:t>
            </w:r>
            <w:r>
              <w:rPr>
                <w:rFonts w:hint="eastAsia" w:eastAsia="宋体"/>
                <w:b/>
                <w:color w:val="000000" w:themeColor="text1"/>
                <w:sz w:val="21"/>
                <w:szCs w:val="24"/>
                <w:lang w:val="en-US" w:eastAsia="zh-CN"/>
                <w14:textFill>
                  <w14:solidFill>
                    <w14:schemeClr w14:val="tx1"/>
                  </w14:solidFill>
                </w14:textFill>
              </w:rPr>
              <w:t>4</w:t>
            </w:r>
            <w:r>
              <w:rPr>
                <w:rFonts w:eastAsia="宋体"/>
                <w:b/>
                <w:color w:val="000000" w:themeColor="text1"/>
                <w:sz w:val="21"/>
                <w:szCs w:val="24"/>
                <w14:textFill>
                  <w14:solidFill>
                    <w14:schemeClr w14:val="tx1"/>
                  </w14:solidFill>
                </w14:textFill>
              </w:rPr>
              <w:t xml:space="preserve">  竣工验收环保管理要求一览表</w:t>
            </w:r>
          </w:p>
          <w:tbl>
            <w:tblPr>
              <w:tblStyle w:val="32"/>
              <w:tblW w:w="89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535"/>
              <w:gridCol w:w="2008"/>
              <w:gridCol w:w="1718"/>
              <w:gridCol w:w="2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污染源</w:t>
                  </w:r>
                </w:p>
              </w:tc>
              <w:tc>
                <w:tcPr>
                  <w:tcW w:w="153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验收位置</w:t>
                  </w:r>
                </w:p>
              </w:tc>
              <w:tc>
                <w:tcPr>
                  <w:tcW w:w="2008" w:type="dxa"/>
                  <w:vAlign w:val="center"/>
                </w:tcPr>
                <w:p>
                  <w:pPr>
                    <w:pStyle w:val="179"/>
                    <w:overflowPunct/>
                    <w:adjustRightInd/>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环保措施</w:t>
                  </w:r>
                </w:p>
              </w:tc>
              <w:tc>
                <w:tcPr>
                  <w:tcW w:w="171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验收内容</w:t>
                  </w:r>
                </w:p>
              </w:tc>
              <w:tc>
                <w:tcPr>
                  <w:tcW w:w="267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评价标准及要求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污水处理池臭气</w:t>
                  </w:r>
                </w:p>
              </w:tc>
              <w:tc>
                <w:tcPr>
                  <w:tcW w:w="1535" w:type="dxa"/>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hint="eastAsia" w:ascii="Times New Roman" w:hAnsi="Times New Roman" w:eastAsia="宋体"/>
                      <w:color w:val="000000" w:themeColor="text1"/>
                      <w:kern w:val="2"/>
                      <w:szCs w:val="21"/>
                      <w:lang w:val="en-US"/>
                      <w14:textFill>
                        <w14:solidFill>
                          <w14:schemeClr w14:val="tx1"/>
                        </w14:solidFill>
                      </w14:textFill>
                    </w:rPr>
                    <w:t>无组织：</w:t>
                  </w:r>
                  <w:r>
                    <w:rPr>
                      <w:rFonts w:ascii="Times New Roman" w:hAnsi="Times New Roman" w:eastAsia="宋体"/>
                      <w:color w:val="000000" w:themeColor="text1"/>
                      <w:kern w:val="2"/>
                      <w:szCs w:val="21"/>
                      <w:lang w:val="en-US"/>
                      <w14:textFill>
                        <w14:solidFill>
                          <w14:schemeClr w14:val="tx1"/>
                        </w14:solidFill>
                      </w14:textFill>
                    </w:rPr>
                    <w:t>上风向设置1个监测点，下风向设置1-3点</w:t>
                  </w:r>
                  <w:r>
                    <w:rPr>
                      <w:rFonts w:hint="eastAsia" w:ascii="Times New Roman" w:hAnsi="Times New Roman" w:eastAsia="宋体"/>
                      <w:color w:val="000000" w:themeColor="text1"/>
                      <w:kern w:val="2"/>
                      <w:szCs w:val="21"/>
                      <w:lang w:val="en-US"/>
                      <w14:textFill>
                        <w14:solidFill>
                          <w14:schemeClr w14:val="tx1"/>
                        </w14:solidFill>
                      </w14:textFill>
                    </w:rPr>
                    <w:t>；有组织：</w:t>
                  </w:r>
                  <w:r>
                    <w:rPr>
                      <w:rFonts w:ascii="Times New Roman" w:hAnsi="Times New Roman" w:eastAsia="宋体"/>
                      <w:color w:val="000000" w:themeColor="text1"/>
                      <w:kern w:val="2"/>
                      <w:szCs w:val="21"/>
                      <w:lang w:val="en-US"/>
                      <w14:textFill>
                        <w14:solidFill>
                          <w14:schemeClr w14:val="tx1"/>
                        </w14:solidFill>
                      </w14:textFill>
                    </w:rPr>
                    <w:t>排气筒排放口</w:t>
                  </w:r>
                </w:p>
              </w:tc>
              <w:tc>
                <w:tcPr>
                  <w:tcW w:w="2008"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加盖密封、离子除臭器</w:t>
                  </w:r>
                </w:p>
              </w:tc>
              <w:tc>
                <w:tcPr>
                  <w:tcW w:w="171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t>
                  </w:r>
                  <w:r>
                    <w:rPr>
                      <w:rFonts w:eastAsia="宋体"/>
                      <w:color w:val="000000" w:themeColor="text1"/>
                      <w:sz w:val="21"/>
                      <w:szCs w:val="21"/>
                      <w:vertAlign w:val="subscript"/>
                      <w14:textFill>
                        <w14:solidFill>
                          <w14:schemeClr w14:val="tx1"/>
                        </w14:solidFill>
                      </w14:textFill>
                    </w:rPr>
                    <w:t>2</w:t>
                  </w:r>
                  <w:r>
                    <w:rPr>
                      <w:rFonts w:eastAsia="宋体"/>
                      <w:color w:val="000000" w:themeColor="text1"/>
                      <w:sz w:val="21"/>
                      <w:szCs w:val="21"/>
                      <w14:textFill>
                        <w14:solidFill>
                          <w14:schemeClr w14:val="tx1"/>
                        </w14:solidFill>
                      </w14:textFill>
                    </w:rPr>
                    <w:t>S、NH</w:t>
                  </w:r>
                  <w:r>
                    <w:rPr>
                      <w:rFonts w:eastAsia="宋体"/>
                      <w:color w:val="000000" w:themeColor="text1"/>
                      <w:sz w:val="21"/>
                      <w:szCs w:val="21"/>
                      <w:vertAlign w:val="subscript"/>
                      <w14:textFill>
                        <w14:solidFill>
                          <w14:schemeClr w14:val="tx1"/>
                        </w14:solidFill>
                      </w14:textFill>
                    </w:rPr>
                    <w:t>3</w:t>
                  </w:r>
                </w:p>
              </w:tc>
              <w:tc>
                <w:tcPr>
                  <w:tcW w:w="2678"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厂界无组织浓度：</w:t>
                  </w:r>
                  <w:r>
                    <w:rPr>
                      <w:rFonts w:eastAsia="宋体"/>
                      <w:color w:val="000000" w:themeColor="text1"/>
                      <w:sz w:val="21"/>
                      <w:szCs w:val="21"/>
                      <w14:textFill>
                        <w14:solidFill>
                          <w14:schemeClr w14:val="tx1"/>
                        </w14:solidFill>
                      </w14:textFill>
                    </w:rPr>
                    <w:t>达到</w:t>
                  </w:r>
                  <w:r>
                    <w:rPr>
                      <w:rFonts w:eastAsia="宋体"/>
                      <w:color w:val="000000" w:themeColor="text1"/>
                      <w:sz w:val="21"/>
                      <w:szCs w:val="21"/>
                      <w:lang w:val="zh-CN"/>
                      <w14:textFill>
                        <w14:solidFill>
                          <w14:schemeClr w14:val="tx1"/>
                        </w14:solidFill>
                      </w14:textFill>
                    </w:rPr>
                    <w:t>《恶臭污染物排放标准》（GB14554-93）</w:t>
                  </w:r>
                  <w:r>
                    <w:rPr>
                      <w:rFonts w:hint="eastAsia" w:eastAsia="宋体"/>
                      <w:color w:val="000000" w:themeColor="text1"/>
                      <w:sz w:val="21"/>
                      <w:szCs w:val="21"/>
                      <w:lang w:val="zh-CN"/>
                      <w14:textFill>
                        <w14:solidFill>
                          <w14:schemeClr w14:val="tx1"/>
                        </w14:solidFill>
                      </w14:textFill>
                    </w:rPr>
                    <w:t>表1</w:t>
                  </w:r>
                  <w:r>
                    <w:rPr>
                      <w:rFonts w:eastAsia="宋体"/>
                      <w:color w:val="000000" w:themeColor="text1"/>
                      <w:sz w:val="21"/>
                      <w:szCs w:val="21"/>
                      <w:lang w:val="zh-CN"/>
                      <w14:textFill>
                        <w14:solidFill>
                          <w14:schemeClr w14:val="tx1"/>
                        </w14:solidFill>
                      </w14:textFill>
                    </w:rPr>
                    <w:t>二级标准限值</w:t>
                  </w:r>
                  <w:r>
                    <w:rPr>
                      <w:rFonts w:hint="eastAsia" w:eastAsia="宋体"/>
                      <w:color w:val="000000" w:themeColor="text1"/>
                      <w:sz w:val="21"/>
                      <w:szCs w:val="21"/>
                      <w:lang w:val="zh-CN"/>
                      <w14:textFill>
                        <w14:solidFill>
                          <w14:schemeClr w14:val="tx1"/>
                        </w14:solidFill>
                      </w14:textFill>
                    </w:rPr>
                    <w:t>；</w:t>
                  </w:r>
                  <w:r>
                    <w:rPr>
                      <w:rFonts w:hint="eastAsia" w:eastAsia="宋体"/>
                      <w:color w:val="000000" w:themeColor="text1"/>
                      <w:spacing w:val="-6"/>
                      <w:sz w:val="21"/>
                      <w14:textFill>
                        <w14:solidFill>
                          <w14:schemeClr w14:val="tx1"/>
                        </w14:solidFill>
                      </w14:textFill>
                    </w:rPr>
                    <w:t>有组织：《恶臭污染物排放标准》（GB14554-93）中表2排放限值；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5" w:type="dxa"/>
                  <w:vMerge w:val="restart"/>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处理后的污水</w:t>
                  </w:r>
                </w:p>
              </w:tc>
              <w:tc>
                <w:tcPr>
                  <w:tcW w:w="153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污水</w:t>
                  </w:r>
                </w:p>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排放口</w:t>
                  </w:r>
                </w:p>
              </w:tc>
              <w:tc>
                <w:tcPr>
                  <w:tcW w:w="2008" w:type="dxa"/>
                  <w:vAlign w:val="center"/>
                </w:tcPr>
                <w:p>
                  <w:pPr>
                    <w:pStyle w:val="171"/>
                    <w:spacing w:line="240" w:lineRule="auto"/>
                    <w:ind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建设一座</w:t>
                  </w:r>
                  <w:r>
                    <w:rPr>
                      <w:rFonts w:hint="eastAsia"/>
                      <w:color w:val="000000" w:themeColor="text1"/>
                      <w:sz w:val="21"/>
                      <w:szCs w:val="21"/>
                      <w14:textFill>
                        <w14:solidFill>
                          <w14:schemeClr w14:val="tx1"/>
                        </w14:solidFill>
                      </w14:textFill>
                    </w:rPr>
                    <w:t>30.0m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/d的渗滤液处理设施，采用</w:t>
                  </w:r>
                  <w:r>
                    <w:rPr>
                      <w:rFonts w:hint="eastAsia"/>
                      <w:color w:val="000000" w:themeColor="text1"/>
                      <w:sz w:val="21"/>
                      <w:szCs w:val="21"/>
                      <w14:textFill>
                        <w14:solidFill>
                          <w14:schemeClr w14:val="tx1"/>
                        </w14:solidFill>
                      </w14:textFill>
                    </w:rPr>
                    <w:t>“MBR+反渗透”</w:t>
                  </w:r>
                  <w:r>
                    <w:rPr>
                      <w:color w:val="000000" w:themeColor="text1"/>
                      <w:sz w:val="21"/>
                      <w:szCs w:val="21"/>
                      <w14:textFill>
                        <w14:solidFill>
                          <w14:schemeClr w14:val="tx1"/>
                        </w14:solidFill>
                      </w14:textFill>
                    </w:rPr>
                    <w:t>处理工艺</w:t>
                  </w:r>
                  <w:r>
                    <w:rPr>
                      <w:color w:val="000000" w:themeColor="text1"/>
                      <w:spacing w:val="-12"/>
                      <w:sz w:val="21"/>
                      <w:szCs w:val="21"/>
                      <w14:textFill>
                        <w14:solidFill>
                          <w14:schemeClr w14:val="tx1"/>
                        </w14:solidFill>
                      </w14:textFill>
                    </w:rPr>
                    <w:t>；</w:t>
                  </w:r>
                  <w:r>
                    <w:rPr>
                      <w:rFonts w:hint="eastAsia"/>
                      <w:color w:val="000000" w:themeColor="text1"/>
                      <w:spacing w:val="-12"/>
                      <w:sz w:val="21"/>
                      <w:szCs w:val="21"/>
                      <w14:textFill>
                        <w14:solidFill>
                          <w14:schemeClr w14:val="tx1"/>
                        </w14:solidFill>
                      </w14:textFill>
                    </w:rPr>
                    <w:t>在线监测设备</w:t>
                  </w:r>
                </w:p>
              </w:tc>
              <w:tc>
                <w:tcPr>
                  <w:tcW w:w="171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流量、</w:t>
                  </w:r>
                  <w:r>
                    <w:rPr>
                      <w:rFonts w:ascii="Times New Roman" w:eastAsia="宋体" w:cs="Times New Roman"/>
                      <w:color w:val="000000" w:themeColor="text1"/>
                      <w:sz w:val="21"/>
                      <w:szCs w:val="21"/>
                      <w14:textFill>
                        <w14:solidFill>
                          <w14:schemeClr w14:val="tx1"/>
                        </w14:solidFill>
                      </w14:textFill>
                    </w:rPr>
                    <w:t>pH、</w:t>
                  </w:r>
                  <w:r>
                    <w:rPr>
                      <w:rFonts w:hint="eastAsia" w:eastAsia="宋体" w:cs="Times New Roman"/>
                      <w:color w:val="000000" w:themeColor="text1"/>
                      <w:sz w:val="21"/>
                      <w:szCs w:val="21"/>
                      <w:lang w:val="en-US" w:eastAsia="zh-CN"/>
                      <w14:textFill>
                        <w14:solidFill>
                          <w14:schemeClr w14:val="tx1"/>
                        </w14:solidFill>
                      </w14:textFill>
                    </w:rPr>
                    <w:t>色度、</w:t>
                  </w:r>
                  <w:r>
                    <w:rPr>
                      <w:rFonts w:eastAsia="宋体"/>
                      <w:color w:val="000000" w:themeColor="text1"/>
                      <w:sz w:val="21"/>
                      <w:szCs w:val="21"/>
                      <w14:textFill>
                        <w14:solidFill>
                          <w14:schemeClr w14:val="tx1"/>
                        </w14:solidFill>
                      </w14:textFill>
                    </w:rPr>
                    <w:t>COD、BOD</w:t>
                  </w:r>
                  <w:r>
                    <w:rPr>
                      <w:rFonts w:eastAsia="宋体"/>
                      <w:color w:val="000000" w:themeColor="text1"/>
                      <w:sz w:val="21"/>
                      <w:szCs w:val="21"/>
                      <w:vertAlign w:val="subscript"/>
                      <w14:textFill>
                        <w14:solidFill>
                          <w14:schemeClr w14:val="tx1"/>
                        </w14:solidFill>
                      </w14:textFill>
                    </w:rPr>
                    <w:t>5</w:t>
                  </w:r>
                  <w:r>
                    <w:rPr>
                      <w:rFonts w:eastAsia="宋体"/>
                      <w:color w:val="000000" w:themeColor="text1"/>
                      <w:sz w:val="21"/>
                      <w:szCs w:val="21"/>
                      <w14:textFill>
                        <w14:solidFill>
                          <w14:schemeClr w14:val="tx1"/>
                        </w14:solidFill>
                      </w14:textFill>
                    </w:rPr>
                    <w:t>、SS、NH</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14:textFill>
                        <w14:solidFill>
                          <w14:schemeClr w14:val="tx1"/>
                        </w14:solidFill>
                      </w14:textFill>
                    </w:rPr>
                    <w:t>-N、TN、</w:t>
                  </w:r>
                  <w:r>
                    <w:rPr>
                      <w:rFonts w:hint="eastAsia" w:eastAsia="宋体"/>
                      <w:color w:val="000000" w:themeColor="text1"/>
                      <w:sz w:val="21"/>
                      <w:szCs w:val="21"/>
                      <w:lang w:val="en-US" w:eastAsia="zh-CN"/>
                      <w14:textFill>
                        <w14:solidFill>
                          <w14:schemeClr w14:val="tx1"/>
                        </w14:solidFill>
                      </w14:textFill>
                    </w:rPr>
                    <w:t>TP、</w:t>
                  </w:r>
                  <w:r>
                    <w:rPr>
                      <w:rFonts w:eastAsia="宋体"/>
                      <w:color w:val="000000" w:themeColor="text1"/>
                      <w:sz w:val="21"/>
                      <w:szCs w:val="21"/>
                      <w14:textFill>
                        <w14:solidFill>
                          <w14:schemeClr w14:val="tx1"/>
                        </w14:solidFill>
                      </w14:textFill>
                    </w:rPr>
                    <w:t>粪大肠菌群、</w:t>
                  </w:r>
                  <w:r>
                    <w:rPr>
                      <w:rFonts w:eastAsia="宋体"/>
                      <w:color w:val="000000" w:themeColor="text1"/>
                      <w:spacing w:val="-2"/>
                      <w:sz w:val="21"/>
                      <w:szCs w:val="21"/>
                      <w14:textFill>
                        <w14:solidFill>
                          <w14:schemeClr w14:val="tx1"/>
                        </w14:solidFill>
                      </w14:textFill>
                    </w:rPr>
                    <w:t>总汞、</w:t>
                  </w:r>
                  <w:r>
                    <w:rPr>
                      <w:rFonts w:eastAsia="宋体"/>
                      <w:color w:val="000000" w:themeColor="text1"/>
                      <w:sz w:val="21"/>
                      <w:szCs w:val="21"/>
                      <w14:textFill>
                        <w14:solidFill>
                          <w14:schemeClr w14:val="tx1"/>
                        </w14:solidFill>
                      </w14:textFill>
                    </w:rPr>
                    <w:t>总镉、总铬、六价铬、总砷、总铅</w:t>
                  </w:r>
                </w:p>
              </w:tc>
              <w:tc>
                <w:tcPr>
                  <w:tcW w:w="2678" w:type="dxa"/>
                  <w:vAlign w:val="center"/>
                </w:tcPr>
                <w:p>
                  <w:pPr>
                    <w:jc w:val="center"/>
                    <w:rPr>
                      <w:rFonts w:hint="eastAsia" w:eastAsia="宋体"/>
                      <w:color w:val="000000" w:themeColor="text1"/>
                      <w:sz w:val="21"/>
                      <w:szCs w:val="21"/>
                      <w:lang w:eastAsia="zh-CN"/>
                      <w14:textFill>
                        <w14:solidFill>
                          <w14:schemeClr w14:val="tx1"/>
                        </w14:solidFill>
                      </w14:textFill>
                    </w:rPr>
                  </w:pPr>
                  <w:r>
                    <w:rPr>
                      <w:rFonts w:eastAsia="宋体"/>
                      <w:color w:val="000000" w:themeColor="text1"/>
                      <w:sz w:val="21"/>
                      <w:szCs w:val="21"/>
                      <w14:textFill>
                        <w14:solidFill>
                          <w14:schemeClr w14:val="tx1"/>
                        </w14:solidFill>
                      </w14:textFill>
                    </w:rPr>
                    <w:t>《生活垃圾填埋场污染控制标准》（GB16889-2008）表2标准</w:t>
                  </w:r>
                  <w:r>
                    <w:rPr>
                      <w:rFonts w:hint="eastAsia" w:eastAsia="宋体"/>
                      <w:color w:val="000000" w:themeColor="text1"/>
                      <w:sz w:val="21"/>
                      <w:szCs w:val="21"/>
                      <w:lang w:eastAsia="zh-CN"/>
                      <w14:textFill>
                        <w14:solidFill>
                          <w14:schemeClr w14:val="tx1"/>
                        </w14:solidFill>
                      </w14:textFill>
                    </w:rPr>
                    <w:t>，</w:t>
                  </w:r>
                  <w:r>
                    <w:rPr>
                      <w:rFonts w:hint="default" w:eastAsia="宋体"/>
                      <w:color w:val="000000" w:themeColor="text1"/>
                      <w:sz w:val="21"/>
                      <w:szCs w:val="21"/>
                      <w14:textFill>
                        <w14:solidFill>
                          <w14:schemeClr w14:val="tx1"/>
                        </w14:solidFill>
                      </w14:textFill>
                    </w:rPr>
                    <w:t xml:space="preserve">《城市污水再生利用 </w:t>
                  </w:r>
                  <w:r>
                    <w:rPr>
                      <w:rFonts w:hint="default" w:eastAsia="宋体"/>
                      <w:color w:val="000000" w:themeColor="text1"/>
                      <w:sz w:val="21"/>
                      <w:szCs w:val="21"/>
                      <w:lang w:val="en-US" w:eastAsia="zh-CN"/>
                      <w14:textFill>
                        <w14:solidFill>
                          <w14:schemeClr w14:val="tx1"/>
                        </w14:solidFill>
                      </w14:textFill>
                    </w:rPr>
                    <w:t>绿地灌溉</w:t>
                  </w:r>
                  <w:r>
                    <w:rPr>
                      <w:rFonts w:hint="default" w:eastAsia="宋体"/>
                      <w:color w:val="000000" w:themeColor="text1"/>
                      <w:sz w:val="21"/>
                      <w:szCs w:val="21"/>
                      <w14:textFill>
                        <w14:solidFill>
                          <w14:schemeClr w14:val="tx1"/>
                        </w14:solidFill>
                      </w14:textFill>
                    </w:rPr>
                    <w:t>水质》（GB2</w:t>
                  </w:r>
                  <w:r>
                    <w:rPr>
                      <w:rFonts w:hint="default" w:eastAsia="宋体"/>
                      <w:color w:val="000000" w:themeColor="text1"/>
                      <w:sz w:val="21"/>
                      <w:szCs w:val="21"/>
                      <w:lang w:val="en-US" w:eastAsia="zh-CN"/>
                      <w14:textFill>
                        <w14:solidFill>
                          <w14:schemeClr w14:val="tx1"/>
                        </w14:solidFill>
                      </w14:textFill>
                    </w:rPr>
                    <w:t>5499</w:t>
                  </w:r>
                  <w:r>
                    <w:rPr>
                      <w:rFonts w:hint="default" w:eastAsia="宋体"/>
                      <w:color w:val="000000" w:themeColor="text1"/>
                      <w:sz w:val="21"/>
                      <w:szCs w:val="21"/>
                      <w14:textFill>
                        <w14:solidFill>
                          <w14:schemeClr w14:val="tx1"/>
                        </w14:solidFill>
                      </w14:textFill>
                    </w:rPr>
                    <w:t>-20</w:t>
                  </w:r>
                  <w:r>
                    <w:rPr>
                      <w:rFonts w:hint="default" w:eastAsia="宋体"/>
                      <w:color w:val="000000" w:themeColor="text1"/>
                      <w:sz w:val="21"/>
                      <w:szCs w:val="21"/>
                      <w:lang w:val="en-US" w:eastAsia="zh-CN"/>
                      <w14:textFill>
                        <w14:solidFill>
                          <w14:schemeClr w14:val="tx1"/>
                        </w14:solidFill>
                      </w14:textFill>
                    </w:rPr>
                    <w:t>10</w:t>
                  </w:r>
                  <w:r>
                    <w:rPr>
                      <w:rFonts w:hint="default" w:eastAsia="宋体"/>
                      <w:color w:val="000000" w:themeColor="text1"/>
                      <w:sz w:val="21"/>
                      <w:szCs w:val="21"/>
                      <w14:textFill>
                        <w14:solidFill>
                          <w14:schemeClr w14:val="tx1"/>
                        </w14:solidFill>
                      </w14:textFill>
                    </w:rPr>
                    <w:t>）中浓度限值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5" w:type="dxa"/>
                  <w:vMerge w:val="continue"/>
                  <w:vAlign w:val="center"/>
                </w:tcPr>
                <w:p>
                  <w:pPr>
                    <w:jc w:val="center"/>
                    <w:rPr>
                      <w:rFonts w:eastAsia="宋体"/>
                      <w:color w:val="000000" w:themeColor="text1"/>
                      <w:sz w:val="21"/>
                      <w:szCs w:val="21"/>
                      <w14:textFill>
                        <w14:solidFill>
                          <w14:schemeClr w14:val="tx1"/>
                        </w14:solidFill>
                      </w14:textFill>
                    </w:rPr>
                  </w:pPr>
                </w:p>
              </w:tc>
              <w:tc>
                <w:tcPr>
                  <w:tcW w:w="153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浓</w:t>
                  </w:r>
                  <w:r>
                    <w:rPr>
                      <w:rFonts w:hint="eastAsia" w:eastAsia="宋体"/>
                      <w:color w:val="000000" w:themeColor="text1"/>
                      <w:sz w:val="21"/>
                      <w:szCs w:val="21"/>
                      <w14:textFill>
                        <w14:solidFill>
                          <w14:schemeClr w14:val="tx1"/>
                        </w14:solidFill>
                      </w14:textFill>
                    </w:rPr>
                    <w:t>缩</w:t>
                  </w:r>
                  <w:r>
                    <w:rPr>
                      <w:rFonts w:eastAsia="宋体"/>
                      <w:color w:val="000000" w:themeColor="text1"/>
                      <w:sz w:val="21"/>
                      <w:szCs w:val="21"/>
                      <w14:textFill>
                        <w14:solidFill>
                          <w14:schemeClr w14:val="tx1"/>
                        </w14:solidFill>
                      </w14:textFill>
                    </w:rPr>
                    <w:t>液</w:t>
                  </w:r>
                </w:p>
              </w:tc>
              <w:tc>
                <w:tcPr>
                  <w:tcW w:w="2008" w:type="dxa"/>
                  <w:vAlign w:val="center"/>
                </w:tcPr>
                <w:p>
                  <w:pPr>
                    <w:pStyle w:val="171"/>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回灌垃圾</w:t>
                  </w:r>
                  <w:r>
                    <w:rPr>
                      <w:color w:val="000000" w:themeColor="text1"/>
                      <w:sz w:val="21"/>
                      <w:szCs w:val="21"/>
                      <w14:textFill>
                        <w14:solidFill>
                          <w14:schemeClr w14:val="tx1"/>
                        </w14:solidFill>
                      </w14:textFill>
                    </w:rPr>
                    <w:t>填埋</w:t>
                  </w:r>
                  <w:r>
                    <w:rPr>
                      <w:rFonts w:hint="eastAsia"/>
                      <w:color w:val="000000" w:themeColor="text1"/>
                      <w:sz w:val="21"/>
                      <w:szCs w:val="21"/>
                      <w14:textFill>
                        <w14:solidFill>
                          <w14:schemeClr w14:val="tx1"/>
                        </w14:solidFill>
                      </w14:textFill>
                    </w:rPr>
                    <w:t>场</w:t>
                  </w:r>
                </w:p>
              </w:tc>
              <w:tc>
                <w:tcPr>
                  <w:tcW w:w="171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回灌设施</w:t>
                  </w:r>
                </w:p>
              </w:tc>
              <w:tc>
                <w:tcPr>
                  <w:tcW w:w="2678" w:type="dxa"/>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hint="eastAsia" w:ascii="Times New Roman" w:hAnsi="Times New Roman" w:eastAsia="宋体"/>
                      <w:color w:val="000000" w:themeColor="text1"/>
                      <w:szCs w:val="21"/>
                      <w:lang w:val="en-US"/>
                      <w14:textFill>
                        <w14:solidFill>
                          <w14:schemeClr w14:val="tx1"/>
                        </w14:solidFill>
                      </w14:textFill>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5" w:type="dxa"/>
                  <w:vMerge w:val="restart"/>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固体</w:t>
                  </w:r>
                </w:p>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废物</w:t>
                  </w:r>
                </w:p>
              </w:tc>
              <w:tc>
                <w:tcPr>
                  <w:tcW w:w="153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场区</w:t>
                  </w:r>
                </w:p>
              </w:tc>
              <w:tc>
                <w:tcPr>
                  <w:tcW w:w="200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脱水</w:t>
                  </w:r>
                  <w:r>
                    <w:rPr>
                      <w:rFonts w:hint="eastAsia" w:eastAsia="宋体"/>
                      <w:color w:val="000000" w:themeColor="text1"/>
                      <w:sz w:val="21"/>
                      <w:szCs w:val="21"/>
                      <w14:textFill>
                        <w14:solidFill>
                          <w14:schemeClr w14:val="tx1"/>
                        </w14:solidFill>
                      </w14:textFill>
                    </w:rPr>
                    <w:t>至含水率小于60%</w:t>
                  </w:r>
                  <w:r>
                    <w:rPr>
                      <w:rFonts w:eastAsia="宋体"/>
                      <w:color w:val="000000" w:themeColor="text1"/>
                      <w:sz w:val="21"/>
                      <w:szCs w:val="21"/>
                      <w14:textFill>
                        <w14:solidFill>
                          <w14:schemeClr w14:val="tx1"/>
                        </w14:solidFill>
                      </w14:textFill>
                    </w:rPr>
                    <w:t>后</w:t>
                  </w:r>
                  <w:r>
                    <w:rPr>
                      <w:rFonts w:hint="eastAsia" w:eastAsia="宋体"/>
                      <w:color w:val="000000" w:themeColor="text1"/>
                      <w:sz w:val="21"/>
                      <w:szCs w:val="21"/>
                      <w14:textFill>
                        <w14:solidFill>
                          <w14:schemeClr w14:val="tx1"/>
                        </w14:solidFill>
                      </w14:textFill>
                    </w:rPr>
                    <w:t>送填埋场处理</w:t>
                  </w:r>
                </w:p>
              </w:tc>
              <w:tc>
                <w:tcPr>
                  <w:tcW w:w="171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污泥</w:t>
                  </w:r>
                </w:p>
              </w:tc>
              <w:tc>
                <w:tcPr>
                  <w:tcW w:w="2678" w:type="dxa"/>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hint="eastAsia" w:ascii="Times New Roman" w:hAnsi="Times New Roman" w:eastAsia="宋体"/>
                      <w:color w:val="000000" w:themeColor="text1"/>
                      <w:szCs w:val="21"/>
                      <w:lang w:val="en-US"/>
                      <w14:textFill>
                        <w14:solidFill>
                          <w14:schemeClr w14:val="tx1"/>
                        </w14:solidFill>
                      </w14:textFill>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5" w:type="dxa"/>
                  <w:vMerge w:val="continue"/>
                  <w:vAlign w:val="center"/>
                </w:tcPr>
                <w:p>
                  <w:pPr>
                    <w:jc w:val="center"/>
                    <w:rPr>
                      <w:rFonts w:eastAsia="宋体"/>
                      <w:color w:val="000000" w:themeColor="text1"/>
                      <w:sz w:val="21"/>
                      <w:szCs w:val="21"/>
                      <w14:textFill>
                        <w14:solidFill>
                          <w14:schemeClr w14:val="tx1"/>
                        </w14:solidFill>
                      </w14:textFill>
                    </w:rPr>
                  </w:pPr>
                </w:p>
              </w:tc>
              <w:tc>
                <w:tcPr>
                  <w:tcW w:w="1535"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场区</w:t>
                  </w:r>
                </w:p>
              </w:tc>
              <w:tc>
                <w:tcPr>
                  <w:tcW w:w="2008"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集中收集，填埋场处理</w:t>
                  </w:r>
                </w:p>
              </w:tc>
              <w:tc>
                <w:tcPr>
                  <w:tcW w:w="1718"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栅渣、废渗透膜</w:t>
                  </w:r>
                </w:p>
              </w:tc>
              <w:tc>
                <w:tcPr>
                  <w:tcW w:w="2678" w:type="dxa"/>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hint="eastAsia" w:ascii="Times New Roman" w:hAnsi="Times New Roman" w:eastAsia="宋体"/>
                      <w:color w:val="000000" w:themeColor="text1"/>
                      <w:szCs w:val="21"/>
                      <w:lang w:val="en-US"/>
                      <w14:textFill>
                        <w14:solidFill>
                          <w14:schemeClr w14:val="tx1"/>
                        </w14:solidFill>
                      </w14:textFill>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5" w:type="dxa"/>
                  <w:vMerge w:val="continue"/>
                  <w:vAlign w:val="center"/>
                </w:tcPr>
                <w:p>
                  <w:pPr>
                    <w:jc w:val="center"/>
                    <w:rPr>
                      <w:rFonts w:eastAsia="宋体"/>
                      <w:color w:val="000000" w:themeColor="text1"/>
                      <w:sz w:val="21"/>
                      <w:szCs w:val="21"/>
                      <w14:textFill>
                        <w14:solidFill>
                          <w14:schemeClr w14:val="tx1"/>
                        </w14:solidFill>
                      </w14:textFill>
                    </w:rPr>
                  </w:pPr>
                </w:p>
              </w:tc>
              <w:tc>
                <w:tcPr>
                  <w:tcW w:w="1535"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职工生活</w:t>
                  </w:r>
                </w:p>
              </w:tc>
              <w:tc>
                <w:tcPr>
                  <w:tcW w:w="2008"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集中收集，填埋场处理</w:t>
                  </w:r>
                </w:p>
              </w:tc>
              <w:tc>
                <w:tcPr>
                  <w:tcW w:w="1718" w:type="dxa"/>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生活垃圾</w:t>
                  </w:r>
                </w:p>
              </w:tc>
              <w:tc>
                <w:tcPr>
                  <w:tcW w:w="2678" w:type="dxa"/>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hint="eastAsia" w:ascii="Times New Roman" w:hAnsi="Times New Roman" w:eastAsia="宋体"/>
                      <w:color w:val="000000" w:themeColor="text1"/>
                      <w:szCs w:val="21"/>
                      <w:lang w:val="en-US"/>
                      <w14:textFill>
                        <w14:solidFill>
                          <w14:schemeClr w14:val="tx1"/>
                        </w14:solidFill>
                      </w14:textFill>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5" w:type="dxa"/>
                  <w:vAlign w:val="center"/>
                </w:tcPr>
                <w:p>
                  <w:pPr>
                    <w:pStyle w:val="171"/>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场区</w:t>
                  </w:r>
                </w:p>
                <w:p>
                  <w:pPr>
                    <w:pStyle w:val="171"/>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设备噪声</w:t>
                  </w:r>
                </w:p>
              </w:tc>
              <w:tc>
                <w:tcPr>
                  <w:tcW w:w="1535" w:type="dxa"/>
                  <w:vAlign w:val="center"/>
                </w:tcPr>
                <w:p>
                  <w:pPr>
                    <w:pStyle w:val="126"/>
                    <w:adjustRightInd/>
                    <w:spacing w:before="0"/>
                    <w:rPr>
                      <w:rFonts w:ascii="Times New Roman" w:hAnsi="Times New Roman" w:eastAsia="宋体"/>
                      <w:color w:val="000000" w:themeColor="text1"/>
                      <w:kern w:val="2"/>
                      <w:szCs w:val="21"/>
                      <w:lang w:val="en-US"/>
                      <w14:textFill>
                        <w14:solidFill>
                          <w14:schemeClr w14:val="tx1"/>
                        </w14:solidFill>
                      </w14:textFill>
                    </w:rPr>
                  </w:pPr>
                  <w:r>
                    <w:rPr>
                      <w:rFonts w:ascii="Times New Roman" w:hAnsi="Times New Roman" w:eastAsia="宋体"/>
                      <w:color w:val="000000" w:themeColor="text1"/>
                      <w:kern w:val="2"/>
                      <w:szCs w:val="21"/>
                      <w:lang w:val="en-US"/>
                      <w14:textFill>
                        <w14:solidFill>
                          <w14:schemeClr w14:val="tx1"/>
                        </w14:solidFill>
                      </w14:textFill>
                    </w:rPr>
                    <w:t>场界外1m</w:t>
                  </w:r>
                </w:p>
              </w:tc>
              <w:tc>
                <w:tcPr>
                  <w:tcW w:w="200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选择低噪设备、基础减振、防振</w:t>
                  </w:r>
                </w:p>
              </w:tc>
              <w:tc>
                <w:tcPr>
                  <w:tcW w:w="1718" w:type="dxa"/>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ascii="Times New Roman" w:hAnsi="Times New Roman" w:eastAsia="宋体"/>
                      <w:color w:val="000000" w:themeColor="text1"/>
                      <w:szCs w:val="21"/>
                      <w:lang w:val="en-US"/>
                      <w14:textFill>
                        <w14:solidFill>
                          <w14:schemeClr w14:val="tx1"/>
                        </w14:solidFill>
                      </w14:textFill>
                    </w:rPr>
                    <w:t>噪声</w:t>
                  </w:r>
                </w:p>
              </w:tc>
              <w:tc>
                <w:tcPr>
                  <w:tcW w:w="2678" w:type="dxa"/>
                  <w:vAlign w:val="center"/>
                </w:tcPr>
                <w:p>
                  <w:pPr>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满足《工业企业厂界环境噪声排放标准》（GB12348-2008）中2类标准要求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0" w:type="dxa"/>
                  <w:gridSpan w:val="2"/>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ascii="Times New Roman" w:hAnsi="Times New Roman" w:eastAsia="宋体"/>
                      <w:color w:val="000000" w:themeColor="text1"/>
                      <w:szCs w:val="21"/>
                      <w:lang w:val="en-US"/>
                      <w14:textFill>
                        <w14:solidFill>
                          <w14:schemeClr w14:val="tx1"/>
                        </w14:solidFill>
                      </w14:textFill>
                    </w:rPr>
                    <w:t>风险控制及应急预案</w:t>
                  </w:r>
                </w:p>
              </w:tc>
              <w:tc>
                <w:tcPr>
                  <w:tcW w:w="6404" w:type="dxa"/>
                  <w:gridSpan w:val="3"/>
                  <w:vAlign w:val="center"/>
                </w:tcPr>
                <w:p>
                  <w:pPr>
                    <w:ind w:firstLine="210" w:firstLineChars="10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设置风险管理措施，制定应急预案及措施落实情况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0" w:type="dxa"/>
                  <w:gridSpan w:val="2"/>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ascii="Times New Roman" w:hAnsi="Times New Roman" w:eastAsia="宋体"/>
                      <w:color w:val="000000" w:themeColor="text1"/>
                      <w:szCs w:val="21"/>
                      <w:lang w:val="en-US"/>
                      <w14:textFill>
                        <w14:solidFill>
                          <w14:schemeClr w14:val="tx1"/>
                        </w14:solidFill>
                      </w14:textFill>
                    </w:rPr>
                    <w:t>环保手续</w:t>
                  </w:r>
                </w:p>
              </w:tc>
              <w:tc>
                <w:tcPr>
                  <w:tcW w:w="6404" w:type="dxa"/>
                  <w:gridSpan w:val="3"/>
                  <w:vAlign w:val="center"/>
                </w:tcPr>
                <w:p>
                  <w:pPr>
                    <w:ind w:firstLine="210" w:firstLineChars="10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按相关规定办理相关手续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0" w:type="dxa"/>
                  <w:gridSpan w:val="2"/>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ascii="Times New Roman" w:hAnsi="Times New Roman" w:eastAsia="宋体"/>
                      <w:color w:val="000000" w:themeColor="text1"/>
                      <w:szCs w:val="21"/>
                      <w:lang w:val="en-US"/>
                      <w14:textFill>
                        <w14:solidFill>
                          <w14:schemeClr w14:val="tx1"/>
                        </w14:solidFill>
                      </w14:textFill>
                    </w:rPr>
                    <w:t>环保设施</w:t>
                  </w:r>
                </w:p>
              </w:tc>
              <w:tc>
                <w:tcPr>
                  <w:tcW w:w="6404" w:type="dxa"/>
                  <w:gridSpan w:val="3"/>
                  <w:vAlign w:val="center"/>
                </w:tcPr>
                <w:p>
                  <w:pPr>
                    <w:ind w:firstLine="210" w:firstLineChars="10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符合环保</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三同时</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规定，运行正常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0" w:type="dxa"/>
                  <w:gridSpan w:val="2"/>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ascii="Times New Roman" w:hAnsi="Times New Roman" w:eastAsia="宋体"/>
                      <w:color w:val="000000" w:themeColor="text1"/>
                      <w:szCs w:val="21"/>
                      <w:lang w:val="en-US"/>
                      <w14:textFill>
                        <w14:solidFill>
                          <w14:schemeClr w14:val="tx1"/>
                        </w14:solidFill>
                      </w14:textFill>
                    </w:rPr>
                    <w:t>环保管理</w:t>
                  </w:r>
                </w:p>
              </w:tc>
              <w:tc>
                <w:tcPr>
                  <w:tcW w:w="6404" w:type="dxa"/>
                  <w:gridSpan w:val="3"/>
                  <w:vAlign w:val="center"/>
                </w:tcPr>
                <w:p>
                  <w:pPr>
                    <w:ind w:firstLine="210" w:firstLineChars="10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指定环保管理制度，完善环保资料，设1名环保管理人员从事环保方面的具体工作</w:t>
                  </w:r>
                  <w:r>
                    <w:rPr>
                      <w:rFonts w:hint="eastAsia" w:eastAsia="宋体"/>
                      <w:color w:val="000000" w:themeColor="text1"/>
                      <w:sz w:val="21"/>
                      <w:szCs w:val="21"/>
                      <w14:textFill>
                        <w14:solidFill>
                          <w14:schemeClr w14:val="tx1"/>
                        </w14:solidFill>
                      </w14:textFill>
                    </w:rPr>
                    <w:t>；施工期工程监理和环境监理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0" w:type="dxa"/>
                  <w:gridSpan w:val="2"/>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ascii="Times New Roman" w:hAnsi="Times New Roman" w:eastAsia="宋体"/>
                      <w:color w:val="000000" w:themeColor="text1"/>
                      <w:szCs w:val="21"/>
                      <w:lang w:val="en-US"/>
                      <w14:textFill>
                        <w14:solidFill>
                          <w14:schemeClr w14:val="tx1"/>
                        </w14:solidFill>
                      </w14:textFill>
                    </w:rPr>
                    <w:t>竣工验收</w:t>
                  </w:r>
                </w:p>
              </w:tc>
              <w:tc>
                <w:tcPr>
                  <w:tcW w:w="6404" w:type="dxa"/>
                  <w:gridSpan w:val="3"/>
                  <w:vAlign w:val="center"/>
                </w:tcPr>
                <w:p>
                  <w:pPr>
                    <w:ind w:firstLine="210" w:firstLineChars="10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项目竣工投入运营前须提请当地环保局验收，并按照要求编制建设项目竣工环境保护验收监测报告表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0" w:type="dxa"/>
                  <w:gridSpan w:val="2"/>
                  <w:vAlign w:val="center"/>
                </w:tcPr>
                <w:p>
                  <w:pPr>
                    <w:pStyle w:val="126"/>
                    <w:adjustRightInd/>
                    <w:spacing w:before="0"/>
                    <w:rPr>
                      <w:rFonts w:ascii="Times New Roman" w:hAnsi="Times New Roman" w:eastAsia="宋体"/>
                      <w:color w:val="000000" w:themeColor="text1"/>
                      <w:szCs w:val="21"/>
                      <w:lang w:val="en-US"/>
                      <w14:textFill>
                        <w14:solidFill>
                          <w14:schemeClr w14:val="tx1"/>
                        </w14:solidFill>
                      </w14:textFill>
                    </w:rPr>
                  </w:pPr>
                  <w:r>
                    <w:rPr>
                      <w:rFonts w:ascii="Times New Roman" w:hAnsi="Times New Roman" w:eastAsia="宋体"/>
                      <w:color w:val="000000" w:themeColor="text1"/>
                      <w:szCs w:val="21"/>
                      <w:lang w:val="en-US"/>
                      <w14:textFill>
                        <w14:solidFill>
                          <w14:schemeClr w14:val="tx1"/>
                        </w14:solidFill>
                      </w14:textFill>
                    </w:rPr>
                    <w:t>管理方式</w:t>
                  </w:r>
                </w:p>
              </w:tc>
              <w:tc>
                <w:tcPr>
                  <w:tcW w:w="6404" w:type="dxa"/>
                  <w:gridSpan w:val="3"/>
                  <w:vAlign w:val="center"/>
                </w:tcPr>
                <w:p>
                  <w:pPr>
                    <w:ind w:firstLine="210" w:firstLineChars="10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环保、安全部门负责日常监督/检查</w:t>
                  </w:r>
                </w:p>
              </w:tc>
            </w:tr>
          </w:tbl>
          <w:p>
            <w:pPr>
              <w:adjustRightInd w:val="0"/>
              <w:snapToGrid w:val="0"/>
              <w:spacing w:before="156" w:beforeLines="50" w:line="520" w:lineRule="exact"/>
              <w:ind w:left="700" w:leftChars="250" w:right="140" w:rightChars="50"/>
              <w:rPr>
                <w:rFonts w:eastAsia="宋体"/>
                <w:b/>
                <w:bCs/>
                <w:color w:val="000000" w:themeColor="text1"/>
                <w:sz w:val="24"/>
                <w:szCs w:val="24"/>
                <w14:textFill>
                  <w14:solidFill>
                    <w14:schemeClr w14:val="tx1"/>
                  </w14:solidFill>
                </w14:textFill>
              </w:rPr>
            </w:pPr>
            <w:r>
              <w:rPr>
                <w:rFonts w:hint="eastAsia" w:eastAsia="宋体"/>
                <w:b/>
                <w:bCs/>
                <w:color w:val="000000" w:themeColor="text1"/>
                <w:sz w:val="24"/>
                <w:szCs w:val="24"/>
                <w14:textFill>
                  <w14:solidFill>
                    <w14:schemeClr w14:val="tx1"/>
                  </w14:solidFill>
                </w14:textFill>
              </w:rPr>
              <w:t>十四</w:t>
            </w:r>
            <w:r>
              <w:rPr>
                <w:rFonts w:eastAsia="宋体"/>
                <w:b/>
                <w:bCs/>
                <w:color w:val="000000" w:themeColor="text1"/>
                <w:sz w:val="24"/>
                <w:szCs w:val="24"/>
                <w14:textFill>
                  <w14:solidFill>
                    <w14:schemeClr w14:val="tx1"/>
                  </w14:solidFill>
                </w14:textFill>
              </w:rPr>
              <w:t>、环保投资估算</w:t>
            </w:r>
          </w:p>
          <w:p>
            <w:pPr>
              <w:spacing w:line="54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建设项目环境保护设计规定》第六十二条指出：“凡属于污染治理和保护环境所需的装置、设备、监测手段和工程设施等均属于环境保护设施”、“凡有环境保护设施的建设项目均应列出环境保护设施的投资概算”。</w:t>
            </w:r>
          </w:p>
          <w:p>
            <w:pPr>
              <w:spacing w:line="540" w:lineRule="exact"/>
              <w:ind w:firstLine="480" w:firstLineChars="200"/>
              <w:rPr>
                <w:rFonts w:eastAsia="宋体"/>
                <w:b/>
                <w:color w:val="000000" w:themeColor="text1"/>
                <w14:textFill>
                  <w14:solidFill>
                    <w14:schemeClr w14:val="tx1"/>
                  </w14:solidFill>
                </w14:textFill>
              </w:rPr>
            </w:pPr>
            <w:r>
              <w:rPr>
                <w:rFonts w:hint="eastAsia" w:eastAsia="宋体"/>
                <w:color w:val="000000" w:themeColor="text1"/>
                <w:sz w:val="24"/>
                <w:szCs w:val="24"/>
                <w14:textFill>
                  <w14:solidFill>
                    <w14:schemeClr w14:val="tx1"/>
                  </w14:solidFill>
                </w14:textFill>
              </w:rPr>
              <w:t>因本项目的属于环保工程，因而环保投资占总投资的100%。</w:t>
            </w:r>
            <w:r>
              <w:rPr>
                <w:rFonts w:eastAsia="宋体"/>
                <w:b/>
                <w:color w:val="000000" w:themeColor="text1"/>
                <w14:textFill>
                  <w14:solidFill>
                    <w14:schemeClr w14:val="tx1"/>
                  </w14:solidFill>
                </w14:textFill>
              </w:rPr>
              <w:tab/>
            </w:r>
          </w:p>
        </w:tc>
      </w:tr>
    </w:tbl>
    <w:p>
      <w:pPr>
        <w:snapToGrid w:val="0"/>
        <w:rPr>
          <w:rFonts w:eastAsia="宋体"/>
          <w:b/>
          <w:color w:val="000000" w:themeColor="text1"/>
          <w:sz w:val="30"/>
          <w:szCs w:val="30"/>
          <w14:textFill>
            <w14:solidFill>
              <w14:schemeClr w14:val="tx1"/>
            </w14:solidFill>
          </w14:textFill>
        </w:rPr>
      </w:pPr>
    </w:p>
    <w:p>
      <w:pPr>
        <w:snapToGrid w:val="0"/>
        <w:outlineLvl w:val="0"/>
        <w:rPr>
          <w:rFonts w:eastAsia="宋体"/>
          <w:b/>
          <w:color w:val="000000" w:themeColor="text1"/>
          <w:sz w:val="30"/>
          <w:szCs w:val="30"/>
          <w14:textFill>
            <w14:solidFill>
              <w14:schemeClr w14:val="tx1"/>
            </w14:solidFill>
          </w14:textFill>
        </w:rPr>
      </w:pPr>
      <w:r>
        <w:rPr>
          <w:rFonts w:eastAsia="宋体"/>
          <w:b/>
          <w:color w:val="000000" w:themeColor="text1"/>
          <w:sz w:val="30"/>
          <w:szCs w:val="30"/>
          <w14:textFill>
            <w14:solidFill>
              <w14:schemeClr w14:val="tx1"/>
            </w14:solidFill>
          </w14:textFill>
        </w:rPr>
        <w:t>建设项目拟采取的防治措施及预期治理效果</w:t>
      </w:r>
    </w:p>
    <w:tbl>
      <w:tblPr>
        <w:tblStyle w:val="32"/>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416"/>
        <w:gridCol w:w="1705"/>
        <w:gridCol w:w="2835"/>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1098" w:type="dxa"/>
            <w:tcBorders>
              <w:tl2br w:val="single" w:color="auto" w:sz="4" w:space="0"/>
            </w:tcBorders>
            <w:vAlign w:val="center"/>
          </w:tcPr>
          <w:p>
            <w:pPr>
              <w:adjustRightInd w:val="0"/>
              <w:snapToGrid w:val="0"/>
              <w:ind w:firstLine="325" w:firstLineChars="147"/>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内容</w:t>
            </w:r>
          </w:p>
          <w:p>
            <w:pPr>
              <w:adjustRightInd w:val="0"/>
              <w:snapToGrid w:val="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类型</w:t>
            </w:r>
          </w:p>
        </w:tc>
        <w:tc>
          <w:tcPr>
            <w:tcW w:w="1416" w:type="dxa"/>
            <w:vAlign w:val="center"/>
          </w:tcPr>
          <w:p>
            <w:pPr>
              <w:adjustRightInd w:val="0"/>
              <w:snapToGrid w:val="0"/>
              <w:jc w:val="center"/>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排放源</w:t>
            </w:r>
          </w:p>
        </w:tc>
        <w:tc>
          <w:tcPr>
            <w:tcW w:w="1705" w:type="dxa"/>
            <w:vAlign w:val="center"/>
          </w:tcPr>
          <w:p>
            <w:pPr>
              <w:adjustRightInd w:val="0"/>
              <w:snapToGrid w:val="0"/>
              <w:jc w:val="center"/>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污染物名称</w:t>
            </w:r>
          </w:p>
        </w:tc>
        <w:tc>
          <w:tcPr>
            <w:tcW w:w="2835" w:type="dxa"/>
            <w:vAlign w:val="center"/>
          </w:tcPr>
          <w:p>
            <w:pPr>
              <w:adjustRightInd w:val="0"/>
              <w:snapToGrid w:val="0"/>
              <w:jc w:val="center"/>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防治措施</w:t>
            </w:r>
          </w:p>
        </w:tc>
        <w:tc>
          <w:tcPr>
            <w:tcW w:w="2235" w:type="dxa"/>
            <w:vAlign w:val="center"/>
          </w:tcPr>
          <w:p>
            <w:pPr>
              <w:adjustRightInd w:val="0"/>
              <w:snapToGrid w:val="0"/>
              <w:jc w:val="center"/>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8" w:hRule="atLeast"/>
        </w:trPr>
        <w:tc>
          <w:tcPr>
            <w:tcW w:w="1098" w:type="dxa"/>
            <w:vMerge w:val="restart"/>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大</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气</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污</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染</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物</w:t>
            </w:r>
          </w:p>
        </w:tc>
        <w:tc>
          <w:tcPr>
            <w:tcW w:w="1416" w:type="dxa"/>
            <w:tcBorders>
              <w:top w:val="single" w:color="auto" w:sz="6" w:space="0"/>
            </w:tcBorders>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施工工地</w:t>
            </w:r>
          </w:p>
        </w:tc>
        <w:tc>
          <w:tcPr>
            <w:tcW w:w="1705" w:type="dxa"/>
            <w:tcBorders>
              <w:top w:val="single" w:color="auto" w:sz="6" w:space="0"/>
            </w:tcBorders>
            <w:vAlign w:val="center"/>
          </w:tcPr>
          <w:p>
            <w:pPr>
              <w:pStyle w:val="108"/>
              <w:spacing w:line="240" w:lineRule="auto"/>
              <w:rPr>
                <w:rFonts w:ascii="Times New Roman" w:hAnsi="Times New Roman"/>
                <w:snapToGrid w:val="0"/>
                <w:color w:val="000000" w:themeColor="text1"/>
                <w:kern w:val="0"/>
                <w:sz w:val="22"/>
                <w:szCs w:val="21"/>
                <w14:textFill>
                  <w14:solidFill>
                    <w14:schemeClr w14:val="tx1"/>
                  </w14:solidFill>
                </w14:textFill>
              </w:rPr>
            </w:pPr>
            <w:r>
              <w:rPr>
                <w:rFonts w:hint="eastAsia" w:ascii="Times New Roman" w:hAnsi="Times New Roman"/>
                <w:snapToGrid w:val="0"/>
                <w:color w:val="000000" w:themeColor="text1"/>
                <w:kern w:val="0"/>
                <w:sz w:val="22"/>
                <w:szCs w:val="21"/>
                <w14:textFill>
                  <w14:solidFill>
                    <w14:schemeClr w14:val="tx1"/>
                  </w14:solidFill>
                </w14:textFill>
              </w:rPr>
              <w:t>扬尘</w:t>
            </w:r>
          </w:p>
        </w:tc>
        <w:tc>
          <w:tcPr>
            <w:tcW w:w="2835" w:type="dxa"/>
            <w:tcBorders>
              <w:top w:val="single" w:color="auto" w:sz="6" w:space="0"/>
            </w:tcBorders>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篷布遮盖，洒水降尘等</w:t>
            </w:r>
          </w:p>
        </w:tc>
        <w:tc>
          <w:tcPr>
            <w:tcW w:w="2235" w:type="dxa"/>
            <w:tcBorders>
              <w:top w:val="single" w:color="auto" w:sz="6" w:space="0"/>
            </w:tcBorders>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5" w:hRule="atLeast"/>
        </w:trPr>
        <w:tc>
          <w:tcPr>
            <w:tcW w:w="1098" w:type="dxa"/>
            <w:vMerge w:val="continue"/>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p>
        </w:tc>
        <w:tc>
          <w:tcPr>
            <w:tcW w:w="1416" w:type="dxa"/>
            <w:tcBorders>
              <w:top w:val="single" w:color="auto" w:sz="6" w:space="0"/>
            </w:tcBorders>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渗滤液处理构筑物</w:t>
            </w:r>
          </w:p>
        </w:tc>
        <w:tc>
          <w:tcPr>
            <w:tcW w:w="1705" w:type="dxa"/>
            <w:tcBorders>
              <w:top w:val="single" w:color="auto" w:sz="6" w:space="0"/>
            </w:tcBorders>
            <w:vAlign w:val="center"/>
          </w:tcPr>
          <w:p>
            <w:pPr>
              <w:adjustRightInd w:val="0"/>
              <w:snapToGrid w:val="0"/>
              <w:jc w:val="center"/>
              <w:rPr>
                <w:rFonts w:eastAsia="宋体"/>
                <w:color w:val="000000" w:themeColor="text1"/>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氨、硫化氢</w:t>
            </w:r>
          </w:p>
        </w:tc>
        <w:tc>
          <w:tcPr>
            <w:tcW w:w="2835" w:type="dxa"/>
            <w:tcBorders>
              <w:top w:val="single" w:color="auto" w:sz="6" w:space="0"/>
            </w:tcBorders>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设置绿化隔离及卫生防护距离，产生恶臭的池体加盖密封，</w:t>
            </w:r>
            <w:r>
              <w:rPr>
                <w:rFonts w:hint="eastAsia" w:eastAsia="宋体"/>
                <w:color w:val="000000" w:themeColor="text1"/>
                <w:sz w:val="22"/>
                <w:szCs w:val="21"/>
                <w14:textFill>
                  <w14:solidFill>
                    <w14:schemeClr w14:val="tx1"/>
                  </w14:solidFill>
                </w14:textFill>
              </w:rPr>
              <w:t>离子除臭器</w:t>
            </w:r>
          </w:p>
        </w:tc>
        <w:tc>
          <w:tcPr>
            <w:tcW w:w="2235" w:type="dxa"/>
            <w:tcBorders>
              <w:top w:val="single" w:color="auto" w:sz="6" w:space="0"/>
            </w:tcBorders>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减轻对周围环境的影响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trPr>
        <w:tc>
          <w:tcPr>
            <w:tcW w:w="1098" w:type="dxa"/>
            <w:vMerge w:val="restart"/>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水</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污</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染</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物</w:t>
            </w:r>
          </w:p>
        </w:tc>
        <w:tc>
          <w:tcPr>
            <w:tcW w:w="1416"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施工活动</w:t>
            </w:r>
          </w:p>
        </w:tc>
        <w:tc>
          <w:tcPr>
            <w:tcW w:w="170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施工废水</w:t>
            </w:r>
          </w:p>
        </w:tc>
        <w:tc>
          <w:tcPr>
            <w:tcW w:w="28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设置简易沉淀池</w:t>
            </w:r>
          </w:p>
        </w:tc>
        <w:tc>
          <w:tcPr>
            <w:tcW w:w="2235" w:type="dxa"/>
            <w:vAlign w:val="center"/>
          </w:tcPr>
          <w:p>
            <w:pPr>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098" w:type="dxa"/>
            <w:vMerge w:val="continue"/>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p>
        </w:tc>
        <w:tc>
          <w:tcPr>
            <w:tcW w:w="1416"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垃圾渗滤液</w:t>
            </w:r>
          </w:p>
        </w:tc>
        <w:tc>
          <w:tcPr>
            <w:tcW w:w="1705" w:type="dxa"/>
            <w:vAlign w:val="center"/>
          </w:tcPr>
          <w:p>
            <w:pPr>
              <w:adjustRightInd w:val="0"/>
              <w:snapToGrid w:val="0"/>
              <w:jc w:val="center"/>
              <w:rPr>
                <w:rFonts w:eastAsia="宋体"/>
                <w:snapToGrid w:val="0"/>
                <w:color w:val="000000" w:themeColor="text1"/>
                <w:kern w:val="0"/>
                <w:sz w:val="22"/>
                <w:szCs w:val="21"/>
                <w14:textFill>
                  <w14:solidFill>
                    <w14:schemeClr w14:val="tx1"/>
                  </w14:solidFill>
                </w14:textFill>
              </w:rPr>
            </w:pPr>
            <w:r>
              <w:rPr>
                <w:rFonts w:eastAsia="宋体"/>
                <w:color w:val="000000" w:themeColor="text1"/>
                <w:sz w:val="22"/>
                <w:szCs w:val="21"/>
                <w14:textFill>
                  <w14:solidFill>
                    <w14:schemeClr w14:val="tx1"/>
                  </w14:solidFill>
                </w14:textFill>
              </w:rPr>
              <w:t>COD、BOD</w:t>
            </w:r>
            <w:r>
              <w:rPr>
                <w:rFonts w:eastAsia="宋体"/>
                <w:color w:val="000000" w:themeColor="text1"/>
                <w:sz w:val="22"/>
                <w:szCs w:val="21"/>
                <w:vertAlign w:val="subscript"/>
                <w14:textFill>
                  <w14:solidFill>
                    <w14:schemeClr w14:val="tx1"/>
                  </w14:solidFill>
                </w14:textFill>
              </w:rPr>
              <w:t>5</w:t>
            </w:r>
            <w:r>
              <w:rPr>
                <w:rFonts w:eastAsia="宋体"/>
                <w:color w:val="000000" w:themeColor="text1"/>
                <w:sz w:val="22"/>
                <w:szCs w:val="21"/>
                <w14:textFill>
                  <w14:solidFill>
                    <w14:schemeClr w14:val="tx1"/>
                  </w14:solidFill>
                </w14:textFill>
              </w:rPr>
              <w:t>、NH</w:t>
            </w:r>
            <w:r>
              <w:rPr>
                <w:rFonts w:eastAsia="宋体"/>
                <w:color w:val="000000" w:themeColor="text1"/>
                <w:sz w:val="22"/>
                <w:szCs w:val="21"/>
                <w:vertAlign w:val="subscript"/>
                <w14:textFill>
                  <w14:solidFill>
                    <w14:schemeClr w14:val="tx1"/>
                  </w14:solidFill>
                </w14:textFill>
              </w:rPr>
              <w:t>3</w:t>
            </w:r>
            <w:r>
              <w:rPr>
                <w:rFonts w:eastAsia="宋体"/>
                <w:color w:val="000000" w:themeColor="text1"/>
                <w:sz w:val="22"/>
                <w:szCs w:val="21"/>
                <w14:textFill>
                  <w14:solidFill>
                    <w14:schemeClr w14:val="tx1"/>
                  </w14:solidFill>
                </w14:textFill>
              </w:rPr>
              <w:t>-N等</w:t>
            </w:r>
          </w:p>
        </w:tc>
        <w:tc>
          <w:tcPr>
            <w:tcW w:w="28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污水处理设备、在线监测设备</w:t>
            </w:r>
          </w:p>
        </w:tc>
        <w:tc>
          <w:tcPr>
            <w:tcW w:w="2235" w:type="dxa"/>
            <w:vAlign w:val="center"/>
          </w:tcPr>
          <w:p>
            <w:pPr>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处理达标后用于厂区绿化和洒水降尘，不外排，对环境影响较小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5" w:hRule="atLeast"/>
        </w:trPr>
        <w:tc>
          <w:tcPr>
            <w:tcW w:w="1098" w:type="dxa"/>
            <w:vMerge w:val="restart"/>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固</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体</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废</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物</w:t>
            </w:r>
          </w:p>
        </w:tc>
        <w:tc>
          <w:tcPr>
            <w:tcW w:w="1416"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生产构筑物建设、主要辅助建筑建设</w:t>
            </w:r>
          </w:p>
        </w:tc>
        <w:tc>
          <w:tcPr>
            <w:tcW w:w="1705" w:type="dxa"/>
            <w:tcBorders>
              <w:bottom w:val="single" w:color="auto" w:sz="4" w:space="0"/>
            </w:tcBorders>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建筑垃圾</w:t>
            </w:r>
          </w:p>
        </w:tc>
        <w:tc>
          <w:tcPr>
            <w:tcW w:w="28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集中收集，运至填埋场填埋</w:t>
            </w:r>
          </w:p>
        </w:tc>
        <w:tc>
          <w:tcPr>
            <w:tcW w:w="22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 w:hRule="atLeast"/>
        </w:trPr>
        <w:tc>
          <w:tcPr>
            <w:tcW w:w="1098" w:type="dxa"/>
            <w:vMerge w:val="continue"/>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p>
        </w:tc>
        <w:tc>
          <w:tcPr>
            <w:tcW w:w="1416"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施工和运营期间</w:t>
            </w:r>
          </w:p>
        </w:tc>
        <w:tc>
          <w:tcPr>
            <w:tcW w:w="170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生活垃圾</w:t>
            </w:r>
          </w:p>
        </w:tc>
        <w:tc>
          <w:tcPr>
            <w:tcW w:w="2835" w:type="dxa"/>
            <w:vAlign w:val="center"/>
          </w:tcPr>
          <w:p>
            <w:pPr>
              <w:jc w:val="center"/>
              <w:rPr>
                <w:rFonts w:eastAsia="宋体"/>
                <w:color w:val="000000" w:themeColor="text1"/>
                <w:sz w:val="22"/>
                <w:szCs w:val="22"/>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集中收集，</w:t>
            </w:r>
            <w:r>
              <w:rPr>
                <w:rFonts w:hint="eastAsia" w:eastAsia="宋体"/>
                <w:color w:val="000000" w:themeColor="text1"/>
                <w:sz w:val="22"/>
                <w:szCs w:val="22"/>
                <w14:textFill>
                  <w14:solidFill>
                    <w14:schemeClr w14:val="tx1"/>
                  </w14:solidFill>
                </w14:textFill>
              </w:rPr>
              <w:t>运至填埋场填埋</w:t>
            </w:r>
          </w:p>
        </w:tc>
        <w:tc>
          <w:tcPr>
            <w:tcW w:w="22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 w:hRule="atLeast"/>
        </w:trPr>
        <w:tc>
          <w:tcPr>
            <w:tcW w:w="1098" w:type="dxa"/>
            <w:vMerge w:val="continue"/>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p>
        </w:tc>
        <w:tc>
          <w:tcPr>
            <w:tcW w:w="1416"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污泥池</w:t>
            </w:r>
          </w:p>
        </w:tc>
        <w:tc>
          <w:tcPr>
            <w:tcW w:w="170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剩余污泥</w:t>
            </w:r>
          </w:p>
        </w:tc>
        <w:tc>
          <w:tcPr>
            <w:tcW w:w="28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脱水后在填埋场进行填埋处理</w:t>
            </w:r>
          </w:p>
        </w:tc>
        <w:tc>
          <w:tcPr>
            <w:tcW w:w="22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 w:hRule="atLeast"/>
        </w:trPr>
        <w:tc>
          <w:tcPr>
            <w:tcW w:w="1098" w:type="dxa"/>
            <w:vMerge w:val="continue"/>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p>
        </w:tc>
        <w:tc>
          <w:tcPr>
            <w:tcW w:w="1416"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污水处理系统</w:t>
            </w:r>
          </w:p>
        </w:tc>
        <w:tc>
          <w:tcPr>
            <w:tcW w:w="170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栅渣、废渗透膜</w:t>
            </w:r>
          </w:p>
        </w:tc>
        <w:tc>
          <w:tcPr>
            <w:tcW w:w="2835" w:type="dxa"/>
            <w:vAlign w:val="center"/>
          </w:tcPr>
          <w:p>
            <w:pPr>
              <w:jc w:val="center"/>
              <w:rPr>
                <w:rFonts w:eastAsia="宋体"/>
                <w:color w:val="000000" w:themeColor="text1"/>
                <w:sz w:val="22"/>
                <w:szCs w:val="22"/>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集中收集，</w:t>
            </w:r>
            <w:r>
              <w:rPr>
                <w:rFonts w:hint="eastAsia" w:eastAsia="宋体"/>
                <w:color w:val="000000" w:themeColor="text1"/>
                <w:sz w:val="22"/>
                <w:szCs w:val="22"/>
                <w14:textFill>
                  <w14:solidFill>
                    <w14:schemeClr w14:val="tx1"/>
                  </w14:solidFill>
                </w14:textFill>
              </w:rPr>
              <w:t>运至填埋场填埋</w:t>
            </w:r>
          </w:p>
        </w:tc>
        <w:tc>
          <w:tcPr>
            <w:tcW w:w="22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0" w:hRule="atLeast"/>
        </w:trPr>
        <w:tc>
          <w:tcPr>
            <w:tcW w:w="1098" w:type="dxa"/>
            <w:vMerge w:val="restart"/>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噪</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声</w:t>
            </w:r>
          </w:p>
        </w:tc>
        <w:tc>
          <w:tcPr>
            <w:tcW w:w="1416"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施工工地</w:t>
            </w:r>
          </w:p>
        </w:tc>
        <w:tc>
          <w:tcPr>
            <w:tcW w:w="170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噪声</w:t>
            </w:r>
          </w:p>
        </w:tc>
        <w:tc>
          <w:tcPr>
            <w:tcW w:w="28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尽量采用低噪声设备、合理安排施工时间</w:t>
            </w:r>
          </w:p>
        </w:tc>
        <w:tc>
          <w:tcPr>
            <w:tcW w:w="2235" w:type="dxa"/>
            <w:vMerge w:val="restart"/>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减轻噪声扰民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0" w:hRule="atLeast"/>
        </w:trPr>
        <w:tc>
          <w:tcPr>
            <w:tcW w:w="1098" w:type="dxa"/>
            <w:vMerge w:val="continue"/>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p>
        </w:tc>
        <w:tc>
          <w:tcPr>
            <w:tcW w:w="1416"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污水提升泵、鼓风机等</w:t>
            </w:r>
          </w:p>
        </w:tc>
        <w:tc>
          <w:tcPr>
            <w:tcW w:w="170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噪声</w:t>
            </w:r>
          </w:p>
        </w:tc>
        <w:tc>
          <w:tcPr>
            <w:tcW w:w="2835" w:type="dxa"/>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车间内较大声源均用分离基座和橡胶垫层片进行减振噪声；墙体屏蔽；厂区内绿化</w:t>
            </w:r>
          </w:p>
        </w:tc>
        <w:tc>
          <w:tcPr>
            <w:tcW w:w="2235" w:type="dxa"/>
            <w:vMerge w:val="continue"/>
            <w:vAlign w:val="center"/>
          </w:tcPr>
          <w:p>
            <w:pPr>
              <w:adjustRightInd w:val="0"/>
              <w:snapToGrid w:val="0"/>
              <w:jc w:val="center"/>
              <w:rPr>
                <w:rFonts w:eastAsia="宋体"/>
                <w:snapToGrid w:val="0"/>
                <w:color w:val="000000" w:themeColor="text1"/>
                <w:kern w:val="0"/>
                <w:sz w:val="22"/>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trPr>
        <w:tc>
          <w:tcPr>
            <w:tcW w:w="1098" w:type="dxa"/>
            <w:vAlign w:val="center"/>
          </w:tcPr>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其</w:t>
            </w:r>
          </w:p>
          <w:p>
            <w:pPr>
              <w:adjustRightInd w:val="0"/>
              <w:snapToGrid w:val="0"/>
              <w:ind w:firstLine="442" w:firstLineChars="200"/>
              <w:jc w:val="left"/>
              <w:rPr>
                <w:rFonts w:eastAsia="宋体"/>
                <w:b/>
                <w:snapToGrid w:val="0"/>
                <w:color w:val="000000" w:themeColor="text1"/>
                <w:kern w:val="0"/>
                <w:sz w:val="22"/>
                <w:szCs w:val="21"/>
                <w:lang w:val="zh-CN"/>
                <w14:textFill>
                  <w14:solidFill>
                    <w14:schemeClr w14:val="tx1"/>
                  </w14:solidFill>
                </w14:textFill>
              </w:rPr>
            </w:pPr>
            <w:r>
              <w:rPr>
                <w:rFonts w:hint="eastAsia" w:eastAsia="宋体"/>
                <w:b/>
                <w:snapToGrid w:val="0"/>
                <w:color w:val="000000" w:themeColor="text1"/>
                <w:kern w:val="0"/>
                <w:sz w:val="22"/>
                <w:szCs w:val="21"/>
                <w:lang w:val="zh-CN"/>
                <w14:textFill>
                  <w14:solidFill>
                    <w14:schemeClr w14:val="tx1"/>
                  </w14:solidFill>
                </w14:textFill>
              </w:rPr>
              <w:t>它</w:t>
            </w:r>
          </w:p>
        </w:tc>
        <w:tc>
          <w:tcPr>
            <w:tcW w:w="8191" w:type="dxa"/>
            <w:gridSpan w:val="4"/>
            <w:vAlign w:val="center"/>
          </w:tcPr>
          <w:p>
            <w:pPr>
              <w:adjustRightInd w:val="0"/>
              <w:snapToGrid w:val="0"/>
              <w:ind w:firstLine="440" w:firstLineChars="200"/>
              <w:jc w:val="left"/>
              <w:rPr>
                <w:rFonts w:eastAsia="宋体"/>
                <w:snapToGrid w:val="0"/>
                <w:color w:val="000000" w:themeColor="text1"/>
                <w:kern w:val="0"/>
                <w:sz w:val="22"/>
                <w:szCs w:val="21"/>
                <w:lang w:val="zh-CN"/>
                <w14:textFill>
                  <w14:solidFill>
                    <w14:schemeClr w14:val="tx1"/>
                  </w14:solidFill>
                </w14:textFill>
              </w:rPr>
            </w:pPr>
            <w:r>
              <w:rPr>
                <w:rFonts w:hint="eastAsia" w:eastAsia="宋体"/>
                <w:snapToGrid w:val="0"/>
                <w:color w:val="000000" w:themeColor="text1"/>
                <w:kern w:val="0"/>
                <w:sz w:val="22"/>
                <w:szCs w:val="21"/>
                <w:lang w:val="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1" w:hRule="atLeast"/>
        </w:trPr>
        <w:tc>
          <w:tcPr>
            <w:tcW w:w="9289" w:type="dxa"/>
            <w:gridSpan w:val="5"/>
          </w:tcPr>
          <w:p>
            <w:pPr>
              <w:pStyle w:val="158"/>
              <w:spacing w:before="156" w:beforeLines="50"/>
              <w:ind w:firstLine="0" w:firstLineChars="0"/>
              <w:rPr>
                <w:rFonts w:ascii="Times New Roman" w:hAnsi="Times New Roman" w:eastAsia="宋体"/>
                <w:b/>
                <w:color w:val="000000" w:themeColor="text1"/>
                <w:sz w:val="22"/>
                <w14:textFill>
                  <w14:solidFill>
                    <w14:schemeClr w14:val="tx1"/>
                  </w14:solidFill>
                </w14:textFill>
              </w:rPr>
            </w:pPr>
            <w:r>
              <w:rPr>
                <w:rFonts w:hint="eastAsia" w:ascii="Times New Roman" w:hAnsi="Times New Roman" w:eastAsia="宋体"/>
                <w:b/>
                <w:color w:val="000000" w:themeColor="text1"/>
                <w:sz w:val="22"/>
                <w14:textFill>
                  <w14:solidFill>
                    <w14:schemeClr w14:val="tx1"/>
                  </w14:solidFill>
                </w14:textFill>
              </w:rPr>
              <w:t>生态保护措施及预期效果</w:t>
            </w:r>
          </w:p>
          <w:p>
            <w:pPr>
              <w:pStyle w:val="12"/>
              <w:spacing w:line="384" w:lineRule="auto"/>
              <w:ind w:firstLine="440" w:firstLineChars="200"/>
              <w:rPr>
                <w:rFonts w:ascii="Times New Roman"/>
                <w:b w:val="0"/>
                <w:bCs w:val="0"/>
                <w:color w:val="000000" w:themeColor="text1"/>
                <w:sz w:val="22"/>
                <w:szCs w:val="24"/>
                <w:lang w:val="en-US"/>
                <w14:textFill>
                  <w14:solidFill>
                    <w14:schemeClr w14:val="tx1"/>
                  </w14:solidFill>
                </w14:textFill>
              </w:rPr>
            </w:pPr>
            <w:r>
              <w:rPr>
                <w:rFonts w:hint="eastAsia" w:ascii="Times New Roman"/>
                <w:b w:val="0"/>
                <w:bCs w:val="0"/>
                <w:color w:val="000000" w:themeColor="text1"/>
                <w:sz w:val="22"/>
                <w:szCs w:val="24"/>
                <w:lang w:val="en-US"/>
                <w14:textFill>
                  <w14:solidFill>
                    <w14:schemeClr w14:val="tx1"/>
                  </w14:solidFill>
                </w14:textFill>
              </w:rPr>
              <w:t>本项目施工期对生态环境的影响主要表现在构筑物永久占地、施工活动临时占地、构筑物挖填土方过程中对土壤表层造成的扰动，以及临时土方受风蚀造成的土壤流失、风沙扬尘等环境影响。由于构筑物均集中于项目区中心位置，四周有足够空地用于施工活动，不占用项目区外绿化或其他临时占地，对周边人工种植的树木和花卉等植被区扰动较小。</w:t>
            </w:r>
          </w:p>
          <w:p>
            <w:pPr>
              <w:pStyle w:val="12"/>
              <w:spacing w:line="384" w:lineRule="auto"/>
              <w:ind w:firstLine="440" w:firstLineChars="200"/>
              <w:rPr>
                <w:rFonts w:ascii="Times New Roman"/>
                <w:b w:val="0"/>
                <w:bCs w:val="0"/>
                <w:color w:val="000000" w:themeColor="text1"/>
                <w:sz w:val="22"/>
                <w:szCs w:val="24"/>
                <w:lang w:val="en-US"/>
                <w14:textFill>
                  <w14:solidFill>
                    <w14:schemeClr w14:val="tx1"/>
                  </w14:solidFill>
                </w14:textFill>
              </w:rPr>
            </w:pPr>
            <w:r>
              <w:rPr>
                <w:rFonts w:hint="eastAsia" w:ascii="Times New Roman"/>
                <w:b w:val="0"/>
                <w:bCs w:val="0"/>
                <w:color w:val="000000" w:themeColor="text1"/>
                <w:sz w:val="22"/>
                <w:szCs w:val="24"/>
                <w:lang w:val="en-US"/>
                <w14:textFill>
                  <w14:solidFill>
                    <w14:schemeClr w14:val="tx1"/>
                  </w14:solidFill>
                </w14:textFill>
              </w:rPr>
              <w:t>为了将影响降到最低，主要提成以下措施：</w:t>
            </w:r>
          </w:p>
          <w:p>
            <w:pPr>
              <w:pStyle w:val="12"/>
              <w:spacing w:line="384" w:lineRule="auto"/>
              <w:ind w:firstLine="440" w:firstLineChars="200"/>
              <w:rPr>
                <w:rFonts w:ascii="Times New Roman"/>
                <w:b w:val="0"/>
                <w:bCs w:val="0"/>
                <w:color w:val="000000" w:themeColor="text1"/>
                <w:sz w:val="22"/>
                <w:szCs w:val="24"/>
                <w:lang w:val="en-US"/>
                <w14:textFill>
                  <w14:solidFill>
                    <w14:schemeClr w14:val="tx1"/>
                  </w14:solidFill>
                </w14:textFill>
              </w:rPr>
            </w:pPr>
            <w:r>
              <w:rPr>
                <w:rFonts w:hint="eastAsia" w:ascii="Times New Roman"/>
                <w:b w:val="0"/>
                <w:bCs w:val="0"/>
                <w:color w:val="000000" w:themeColor="text1"/>
                <w:sz w:val="22"/>
                <w:szCs w:val="24"/>
                <w:lang w:val="en-US"/>
                <w14:textFill>
                  <w14:solidFill>
                    <w14:schemeClr w14:val="tx1"/>
                  </w14:solidFill>
                </w14:textFill>
              </w:rPr>
              <w:t>（1）要求施工单位在施工过程中严格按设计标准规定，控制施工作业区面积，以减少土壤扰动和地表植被破坏，减少裸地和土方暴露面积；</w:t>
            </w:r>
          </w:p>
          <w:p>
            <w:pPr>
              <w:pStyle w:val="12"/>
              <w:spacing w:line="384" w:lineRule="auto"/>
              <w:ind w:firstLine="440" w:firstLineChars="200"/>
              <w:rPr>
                <w:rFonts w:ascii="Times New Roman"/>
                <w:b w:val="0"/>
                <w:bCs w:val="0"/>
                <w:color w:val="000000" w:themeColor="text1"/>
                <w:sz w:val="22"/>
                <w:szCs w:val="24"/>
                <w:lang w:val="en-US"/>
                <w14:textFill>
                  <w14:solidFill>
                    <w14:schemeClr w14:val="tx1"/>
                  </w14:solidFill>
                </w14:textFill>
              </w:rPr>
            </w:pPr>
            <w:r>
              <w:rPr>
                <w:rFonts w:hint="eastAsia" w:ascii="Times New Roman"/>
                <w:b w:val="0"/>
                <w:bCs w:val="0"/>
                <w:color w:val="000000" w:themeColor="text1"/>
                <w:sz w:val="22"/>
                <w:szCs w:val="24"/>
                <w:lang w:val="en-US"/>
                <w14:textFill>
                  <w14:solidFill>
                    <w14:schemeClr w14:val="tx1"/>
                  </w14:solidFill>
                </w14:textFill>
              </w:rPr>
              <w:t>（2）现场施工作业机械应严格管理，划定活动范围，不得在道路、施工场地以外的地方行驶和作业，保持征地区域以外的植被不被破坏，无法避免；</w:t>
            </w:r>
          </w:p>
          <w:p>
            <w:pPr>
              <w:pStyle w:val="12"/>
              <w:spacing w:line="384" w:lineRule="auto"/>
              <w:ind w:firstLine="440" w:firstLineChars="200"/>
              <w:rPr>
                <w:rFonts w:ascii="Times New Roman"/>
                <w:b w:val="0"/>
                <w:bCs w:val="0"/>
                <w:color w:val="000000" w:themeColor="text1"/>
                <w:sz w:val="22"/>
                <w:szCs w:val="24"/>
                <w:lang w:val="en-US"/>
                <w14:textFill>
                  <w14:solidFill>
                    <w14:schemeClr w14:val="tx1"/>
                  </w14:solidFill>
                </w14:textFill>
              </w:rPr>
            </w:pPr>
            <w:r>
              <w:rPr>
                <w:rFonts w:hint="eastAsia" w:ascii="Times New Roman"/>
                <w:b w:val="0"/>
                <w:bCs w:val="0"/>
                <w:color w:val="000000" w:themeColor="text1"/>
                <w:sz w:val="22"/>
                <w:szCs w:val="24"/>
                <w:lang w:val="en-US"/>
                <w14:textFill>
                  <w14:solidFill>
                    <w14:schemeClr w14:val="tx1"/>
                  </w14:solidFill>
                </w14:textFill>
              </w:rPr>
              <w:t>（3）土方及时运输处理，不能及时处理的土方禁止乱堆放，并采取遮盖措施、随时洒水等措施减少扬尘。</w:t>
            </w:r>
          </w:p>
          <w:p>
            <w:pPr>
              <w:pStyle w:val="12"/>
              <w:spacing w:line="384" w:lineRule="auto"/>
              <w:ind w:firstLine="440" w:firstLineChars="200"/>
              <w:rPr>
                <w:rFonts w:ascii="Times New Roman"/>
                <w:b w:val="0"/>
                <w:bCs w:val="0"/>
                <w:color w:val="000000" w:themeColor="text1"/>
                <w:sz w:val="22"/>
                <w:szCs w:val="24"/>
                <w:lang w:val="en-US"/>
                <w14:textFill>
                  <w14:solidFill>
                    <w14:schemeClr w14:val="tx1"/>
                  </w14:solidFill>
                </w14:textFill>
              </w:rPr>
            </w:pPr>
            <w:r>
              <w:rPr>
                <w:rFonts w:hint="eastAsia" w:ascii="Times New Roman"/>
                <w:b w:val="0"/>
                <w:bCs w:val="0"/>
                <w:color w:val="000000" w:themeColor="text1"/>
                <w:sz w:val="22"/>
                <w:szCs w:val="24"/>
                <w:lang w:val="en-US"/>
                <w14:textFill>
                  <w14:solidFill>
                    <w14:schemeClr w14:val="tx1"/>
                  </w14:solidFill>
                </w14:textFill>
              </w:rPr>
              <w:t>（4）对已受到破坏植被或裸地进行植被复种，根据实际情况合理种植花卉、树木或灌木等。</w:t>
            </w:r>
          </w:p>
          <w:p>
            <w:pPr>
              <w:pStyle w:val="12"/>
              <w:spacing w:line="384" w:lineRule="auto"/>
              <w:ind w:firstLine="440" w:firstLineChars="200"/>
              <w:rPr>
                <w:rFonts w:ascii="Times New Roman"/>
                <w:b w:val="0"/>
                <w:bCs w:val="0"/>
                <w:color w:val="000000" w:themeColor="text1"/>
                <w:sz w:val="22"/>
                <w:szCs w:val="24"/>
                <w:lang w:val="en-US"/>
                <w14:textFill>
                  <w14:solidFill>
                    <w14:schemeClr w14:val="tx1"/>
                  </w14:solidFill>
                </w14:textFill>
              </w:rPr>
            </w:pPr>
            <w:r>
              <w:rPr>
                <w:rFonts w:hint="eastAsia" w:ascii="Times New Roman"/>
                <w:b w:val="0"/>
                <w:bCs w:val="0"/>
                <w:color w:val="000000" w:themeColor="text1"/>
                <w:sz w:val="22"/>
                <w:szCs w:val="24"/>
                <w:lang w:val="en-US"/>
                <w14:textFill>
                  <w14:solidFill>
                    <w14:schemeClr w14:val="tx1"/>
                  </w14:solidFill>
                </w14:textFill>
              </w:rPr>
              <w:t>综上，采取以上措施后，可有效降低项目建设对生态环境的影响。</w:t>
            </w:r>
          </w:p>
          <w:p>
            <w:pPr>
              <w:pStyle w:val="2"/>
              <w:rPr>
                <w:rFonts w:eastAsia="宋体"/>
                <w:color w:val="000000" w:themeColor="text1"/>
                <w:sz w:val="22"/>
                <w:lang w:val="en-US"/>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p>
            <w:pPr>
              <w:pStyle w:val="158"/>
              <w:ind w:firstLine="330" w:firstLineChars="150"/>
              <w:jc w:val="both"/>
              <w:rPr>
                <w:rFonts w:ascii="Times New Roman" w:hAnsi="Times New Roman" w:eastAsia="宋体"/>
                <w:color w:val="000000" w:themeColor="text1"/>
                <w:sz w:val="22"/>
                <w14:textFill>
                  <w14:solidFill>
                    <w14:schemeClr w14:val="tx1"/>
                  </w14:solidFill>
                </w14:textFill>
              </w:rPr>
            </w:pPr>
          </w:p>
        </w:tc>
      </w:tr>
    </w:tbl>
    <w:p>
      <w:pPr>
        <w:pStyle w:val="158"/>
        <w:ind w:firstLine="0" w:firstLineChars="0"/>
        <w:rPr>
          <w:rFonts w:ascii="Times New Roman" w:hAnsi="Times New Roman" w:eastAsia="宋体"/>
          <w:color w:val="000000" w:themeColor="text1"/>
          <w14:textFill>
            <w14:solidFill>
              <w14:schemeClr w14:val="tx1"/>
            </w14:solidFill>
          </w14:textFill>
        </w:rPr>
      </w:pPr>
    </w:p>
    <w:p>
      <w:pPr>
        <w:snapToGrid w:val="0"/>
        <w:outlineLvl w:val="0"/>
        <w:rPr>
          <w:rFonts w:eastAsia="宋体"/>
          <w:b/>
          <w:color w:val="000000" w:themeColor="text1"/>
          <w:sz w:val="30"/>
          <w:szCs w:val="30"/>
          <w14:textFill>
            <w14:solidFill>
              <w14:schemeClr w14:val="tx1"/>
            </w14:solidFill>
          </w14:textFill>
        </w:rPr>
      </w:pPr>
      <w:r>
        <w:rPr>
          <w:rFonts w:eastAsia="宋体"/>
          <w:b/>
          <w:color w:val="000000" w:themeColor="text1"/>
          <w:sz w:val="30"/>
          <w:szCs w:val="30"/>
          <w14:textFill>
            <w14:solidFill>
              <w14:schemeClr w14:val="tx1"/>
            </w14:solidFill>
          </w14:textFill>
        </w:rPr>
        <w:t>结论与建议</w:t>
      </w:r>
    </w:p>
    <w:tbl>
      <w:tblPr>
        <w:tblStyle w:val="32"/>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108" w:type="dxa"/>
          <w:bottom w:w="0" w:type="dxa"/>
          <w:right w:w="108" w:type="dxa"/>
        </w:tblCellMar>
      </w:tblPr>
      <w:tblGrid>
        <w:gridCol w:w="9288"/>
      </w:tblGrid>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108" w:type="dxa"/>
            <w:bottom w:w="0" w:type="dxa"/>
            <w:right w:w="108" w:type="dxa"/>
          </w:tblCellMar>
        </w:tblPrEx>
        <w:trPr>
          <w:trHeight w:val="13173" w:hRule="atLeast"/>
        </w:trPr>
        <w:tc>
          <w:tcPr>
            <w:tcW w:w="9288" w:type="dxa"/>
          </w:tcPr>
          <w:p>
            <w:pPr>
              <w:snapToGrid w:val="0"/>
              <w:spacing w:before="156" w:beforeLines="50" w:line="360" w:lineRule="auto"/>
              <w:rPr>
                <w:rFonts w:eastAsia="宋体"/>
                <w:b/>
                <w:color w:val="000000" w:themeColor="text1"/>
                <w:szCs w:val="28"/>
                <w14:textFill>
                  <w14:solidFill>
                    <w14:schemeClr w14:val="tx1"/>
                  </w14:solidFill>
                </w14:textFill>
              </w:rPr>
            </w:pPr>
            <w:r>
              <w:rPr>
                <w:rFonts w:eastAsia="宋体"/>
                <w:b/>
                <w:color w:val="000000" w:themeColor="text1"/>
                <w:szCs w:val="28"/>
                <w14:textFill>
                  <w14:solidFill>
                    <w14:schemeClr w14:val="tx1"/>
                  </w14:solidFill>
                </w14:textFill>
              </w:rPr>
              <w:t>一、结论</w:t>
            </w:r>
          </w:p>
          <w:p>
            <w:pPr>
              <w:spacing w:before="156" w:beforeLines="50" w:after="156" w:afterLines="50" w:line="500" w:lineRule="exact"/>
              <w:ind w:firstLine="482" w:firstLineChars="200"/>
              <w:rPr>
                <w:rFonts w:eastAsia="宋体"/>
                <w:b/>
                <w:color w:val="000000" w:themeColor="text1"/>
                <w:sz w:val="24"/>
                <w14:textFill>
                  <w14:solidFill>
                    <w14:schemeClr w14:val="tx1"/>
                  </w14:solidFill>
                </w14:textFill>
              </w:rPr>
            </w:pPr>
            <w:r>
              <w:rPr>
                <w:rFonts w:eastAsia="宋体"/>
                <w:b/>
                <w:color w:val="000000" w:themeColor="text1"/>
                <w:sz w:val="24"/>
                <w14:textFill>
                  <w14:solidFill>
                    <w14:schemeClr w14:val="tx1"/>
                  </w14:solidFill>
                </w14:textFill>
              </w:rPr>
              <w:t>1、项目概况</w:t>
            </w:r>
          </w:p>
          <w:p>
            <w:pPr>
              <w:pStyle w:val="2"/>
              <w:spacing w:line="520" w:lineRule="exact"/>
              <w:ind w:firstLine="480" w:firstLineChars="200"/>
              <w:jc w:val="both"/>
              <w:rPr>
                <w:rStyle w:val="98"/>
                <w:rFonts w:hint="default" w:ascii="Times New Roman" w:hAnsi="Times New Roman"/>
                <w:color w:val="000000" w:themeColor="text1"/>
                <w:lang w:val="en-US"/>
                <w14:textFill>
                  <w14:solidFill>
                    <w14:schemeClr w14:val="tx1"/>
                  </w14:solidFill>
                </w14:textFill>
              </w:rPr>
            </w:pPr>
            <w:r>
              <w:rPr>
                <w:rFonts w:eastAsia="宋体"/>
                <w:bCs/>
                <w:color w:val="000000" w:themeColor="text1"/>
                <w:sz w:val="24"/>
                <w:szCs w:val="24"/>
                <w14:textFill>
                  <w14:solidFill>
                    <w14:schemeClr w14:val="tx1"/>
                  </w14:solidFill>
                </w14:textFill>
              </w:rPr>
              <w:t>本项目位于玛纳斯县兰州湾镇东北方向，生活垃圾填埋场东北侧预留空地内，周边主要为农田和林地环绕</w:t>
            </w:r>
            <w:r>
              <w:rPr>
                <w:rFonts w:hint="eastAsia" w:eastAsia="宋体"/>
                <w:bCs/>
                <w:color w:val="000000" w:themeColor="text1"/>
                <w:sz w:val="24"/>
                <w:szCs w:val="24"/>
                <w14:textFill>
                  <w14:solidFill>
                    <w14:schemeClr w14:val="tx1"/>
                  </w14:solidFill>
                </w14:textFill>
              </w:rPr>
              <w:t>，项目</w:t>
            </w:r>
            <w:r>
              <w:rPr>
                <w:rStyle w:val="98"/>
                <w:rFonts w:hint="default" w:ascii="Times New Roman" w:hAnsi="Times New Roman"/>
                <w:color w:val="000000" w:themeColor="text1"/>
                <w:lang w:val="en-US"/>
                <w14:textFill>
                  <w14:solidFill>
                    <w14:schemeClr w14:val="tx1"/>
                  </w14:solidFill>
                </w14:textFill>
              </w:rPr>
              <w:t>中心地理坐标为</w:t>
            </w:r>
            <w:r>
              <w:rPr>
                <w:rStyle w:val="98"/>
                <w:rFonts w:hint="default" w:ascii="Times New Roman" w:hAnsi="Times New Roman"/>
                <w:color w:val="000000" w:themeColor="text1"/>
                <w14:textFill>
                  <w14:solidFill>
                    <w14:schemeClr w14:val="tx1"/>
                  </w14:solidFill>
                </w14:textFill>
              </w:rPr>
              <w:t>E86°11′32.76″, N44°19′33.72″</w:t>
            </w:r>
            <w:r>
              <w:rPr>
                <w:rStyle w:val="98"/>
                <w:rFonts w:hint="default" w:ascii="Times New Roman" w:hAnsi="Times New Roman"/>
                <w:color w:val="000000" w:themeColor="text1"/>
                <w:lang w:val="en-US"/>
                <w14:textFill>
                  <w14:solidFill>
                    <w14:schemeClr w14:val="tx1"/>
                  </w14:solidFill>
                </w14:textFill>
              </w:rPr>
              <w:t>。</w:t>
            </w:r>
          </w:p>
          <w:p>
            <w:pPr>
              <w:pStyle w:val="2"/>
              <w:spacing w:line="520" w:lineRule="exact"/>
              <w:ind w:firstLine="480" w:firstLineChars="200"/>
              <w:jc w:val="both"/>
              <w:rPr>
                <w:rStyle w:val="98"/>
                <w:rFonts w:hint="default" w:ascii="Times New Roman" w:hAnsi="Times New Roman"/>
                <w:snapToGrid/>
                <w:color w:val="000000" w:themeColor="text1"/>
                <w:kern w:val="2"/>
                <w:lang w:val="en-US"/>
                <w14:textFill>
                  <w14:solidFill>
                    <w14:schemeClr w14:val="tx1"/>
                  </w14:solidFill>
                </w14:textFill>
              </w:rPr>
            </w:pPr>
            <w:r>
              <w:rPr>
                <w:rFonts w:hint="eastAsia" w:eastAsia="宋体"/>
                <w:color w:val="000000" w:themeColor="text1"/>
                <w:sz w:val="24"/>
                <w:szCs w:val="24"/>
                <w14:textFill>
                  <w14:solidFill>
                    <w14:schemeClr w14:val="tx1"/>
                  </w14:solidFill>
                </w14:textFill>
              </w:rPr>
              <w:t>本项目采用“MBR+反渗透”处理工艺，新建处理规模30.0m</w:t>
            </w:r>
            <w:r>
              <w:rPr>
                <w:rFonts w:hint="eastAsia" w:eastAsia="宋体"/>
                <w:color w:val="000000" w:themeColor="text1"/>
                <w:sz w:val="24"/>
                <w:szCs w:val="24"/>
                <w:vertAlign w:val="superscript"/>
                <w14:textFill>
                  <w14:solidFill>
                    <w14:schemeClr w14:val="tx1"/>
                  </w14:solidFill>
                </w14:textFill>
              </w:rPr>
              <w:t>3</w:t>
            </w:r>
            <w:r>
              <w:rPr>
                <w:rFonts w:hint="eastAsia" w:eastAsia="宋体"/>
                <w:color w:val="000000" w:themeColor="text1"/>
                <w:sz w:val="24"/>
                <w:szCs w:val="24"/>
                <w14:textFill>
                  <w14:solidFill>
                    <w14:schemeClr w14:val="tx1"/>
                  </w14:solidFill>
                </w14:textFill>
              </w:rPr>
              <w:t>/d的</w:t>
            </w:r>
            <w:r>
              <w:rPr>
                <w:rFonts w:eastAsia="宋体"/>
                <w:color w:val="000000" w:themeColor="text1"/>
                <w:sz w:val="24"/>
                <w:szCs w:val="24"/>
                <w14:textFill>
                  <w14:solidFill>
                    <w14:schemeClr w14:val="tx1"/>
                  </w14:solidFill>
                </w14:textFill>
              </w:rPr>
              <w:t>生活垃圾渗滤液处理厂一座，</w:t>
            </w:r>
            <w:r>
              <w:rPr>
                <w:rFonts w:hint="eastAsia" w:eastAsia="宋体"/>
                <w:color w:val="000000" w:themeColor="text1"/>
                <w:sz w:val="24"/>
                <w:szCs w:val="24"/>
                <w14:textFill>
                  <w14:solidFill>
                    <w14:schemeClr w14:val="tx1"/>
                  </w14:solidFill>
                </w14:textFill>
              </w:rPr>
              <w:t>主要构（建）筑物包括调节池、MBR综合池、污泥池和综合用房等</w:t>
            </w:r>
            <w:r>
              <w:rPr>
                <w:rStyle w:val="98"/>
                <w:rFonts w:hint="default" w:ascii="Times New Roman" w:hAnsi="Times New Roman"/>
                <w:snapToGrid/>
                <w:color w:val="000000" w:themeColor="text1"/>
                <w:kern w:val="2"/>
                <w:lang w:val="en-US"/>
                <w14:textFill>
                  <w14:solidFill>
                    <w14:schemeClr w14:val="tx1"/>
                  </w14:solidFill>
                </w14:textFill>
              </w:rPr>
              <w:t>。</w:t>
            </w:r>
          </w:p>
          <w:p>
            <w:pPr>
              <w:pStyle w:val="158"/>
              <w:spacing w:line="560" w:lineRule="exact"/>
              <w:rPr>
                <w:rFonts w:ascii="Times New Roman" w:hAnsi="Times New Roman" w:eastAsia="宋体"/>
                <w:bCs/>
                <w:snapToGrid/>
                <w:color w:val="000000" w:themeColor="text1"/>
                <w:kern w:val="2"/>
                <w:szCs w:val="20"/>
                <w14:textFill>
                  <w14:solidFill>
                    <w14:schemeClr w14:val="tx1"/>
                  </w14:solidFill>
                </w14:textFill>
              </w:rPr>
            </w:pPr>
            <w:r>
              <w:rPr>
                <w:rFonts w:ascii="Times New Roman" w:hAnsi="Times New Roman" w:eastAsia="宋体"/>
                <w:bCs/>
                <w:snapToGrid/>
                <w:color w:val="000000" w:themeColor="text1"/>
                <w:kern w:val="2"/>
                <w:szCs w:val="20"/>
                <w14:textFill>
                  <w14:solidFill>
                    <w14:schemeClr w14:val="tx1"/>
                  </w14:solidFill>
                </w14:textFill>
              </w:rPr>
              <w:t>本项目总投资</w:t>
            </w:r>
            <w:r>
              <w:rPr>
                <w:rFonts w:hint="eastAsia" w:ascii="Times New Roman" w:hAnsi="Times New Roman" w:eastAsia="宋体"/>
                <w:bCs/>
                <w:snapToGrid/>
                <w:color w:val="000000" w:themeColor="text1"/>
                <w:kern w:val="2"/>
                <w:szCs w:val="20"/>
                <w:lang w:eastAsia="zh-CN"/>
                <w14:textFill>
                  <w14:solidFill>
                    <w14:schemeClr w14:val="tx1"/>
                  </w14:solidFill>
                </w14:textFill>
              </w:rPr>
              <w:t>650.0</w:t>
            </w:r>
            <w:r>
              <w:rPr>
                <w:rFonts w:ascii="Times New Roman" w:hAnsi="Times New Roman" w:eastAsia="宋体"/>
                <w:bCs/>
                <w:snapToGrid/>
                <w:color w:val="000000" w:themeColor="text1"/>
                <w:kern w:val="2"/>
                <w:szCs w:val="20"/>
                <w14:textFill>
                  <w14:solidFill>
                    <w14:schemeClr w14:val="tx1"/>
                  </w14:solidFill>
                </w14:textFill>
              </w:rPr>
              <w:t>万元，</w:t>
            </w:r>
            <w:r>
              <w:rPr>
                <w:rFonts w:ascii="Times New Roman" w:hAnsi="Times New Roman" w:eastAsia="宋体" w:cs="宋体"/>
                <w:color w:val="000000" w:themeColor="text1"/>
                <w14:textFill>
                  <w14:solidFill>
                    <w14:schemeClr w14:val="tx1"/>
                  </w14:solidFill>
                </w14:textFill>
              </w:rPr>
              <w:t>拟申</w:t>
            </w:r>
            <w:r>
              <w:rPr>
                <w:rFonts w:ascii="Times New Roman" w:hAnsi="Times New Roman" w:eastAsia="宋体" w:cs="宋体"/>
                <w:color w:val="000000" w:themeColor="text1"/>
                <w:spacing w:val="-3"/>
                <w14:textFill>
                  <w14:solidFill>
                    <w14:schemeClr w14:val="tx1"/>
                  </w14:solidFill>
                </w14:textFill>
              </w:rPr>
              <w:t>请</w:t>
            </w:r>
            <w:r>
              <w:rPr>
                <w:rFonts w:hint="eastAsia" w:ascii="Times New Roman" w:hAnsi="Times New Roman" w:eastAsia="宋体" w:cs="宋体"/>
                <w:color w:val="000000" w:themeColor="text1"/>
                <w:lang w:val="en-US" w:eastAsia="zh-CN"/>
                <w14:textFill>
                  <w14:solidFill>
                    <w14:schemeClr w14:val="tx1"/>
                  </w14:solidFill>
                </w14:textFill>
              </w:rPr>
              <w:t>财政</w:t>
            </w:r>
            <w:r>
              <w:rPr>
                <w:rFonts w:ascii="Times New Roman" w:hAnsi="Times New Roman" w:eastAsia="宋体" w:cs="宋体"/>
                <w:color w:val="000000" w:themeColor="text1"/>
                <w:spacing w:val="-3"/>
                <w14:textFill>
                  <w14:solidFill>
                    <w14:schemeClr w14:val="tx1"/>
                  </w14:solidFill>
                </w14:textFill>
              </w:rPr>
              <w:t>资</w:t>
            </w:r>
            <w:r>
              <w:rPr>
                <w:rFonts w:ascii="Times New Roman" w:hAnsi="Times New Roman" w:eastAsia="宋体" w:cs="宋体"/>
                <w:color w:val="000000" w:themeColor="text1"/>
                <w14:textFill>
                  <w14:solidFill>
                    <w14:schemeClr w14:val="tx1"/>
                  </w14:solidFill>
                </w14:textFill>
              </w:rPr>
              <w:t>金</w:t>
            </w:r>
            <w:r>
              <w:rPr>
                <w:rFonts w:ascii="Times New Roman" w:hAnsi="Times New Roman" w:eastAsia="宋体"/>
                <w:bCs/>
                <w:snapToGrid/>
                <w:color w:val="000000" w:themeColor="text1"/>
                <w:kern w:val="2"/>
                <w:szCs w:val="20"/>
                <w14:textFill>
                  <w14:solidFill>
                    <w14:schemeClr w14:val="tx1"/>
                  </w14:solidFill>
                </w14:textFill>
              </w:rPr>
              <w:t>。</w:t>
            </w:r>
          </w:p>
          <w:p>
            <w:pPr>
              <w:spacing w:before="156" w:beforeLines="50" w:after="156" w:afterLines="50" w:line="500" w:lineRule="exact"/>
              <w:ind w:firstLine="482" w:firstLineChars="200"/>
              <w:rPr>
                <w:rFonts w:eastAsia="宋体"/>
                <w:b/>
                <w:color w:val="000000" w:themeColor="text1"/>
                <w:sz w:val="24"/>
                <w14:textFill>
                  <w14:solidFill>
                    <w14:schemeClr w14:val="tx1"/>
                  </w14:solidFill>
                </w14:textFill>
              </w:rPr>
            </w:pPr>
            <w:r>
              <w:rPr>
                <w:rFonts w:hint="eastAsia" w:eastAsia="宋体"/>
                <w:b/>
                <w:color w:val="000000" w:themeColor="text1"/>
                <w:sz w:val="24"/>
                <w14:textFill>
                  <w14:solidFill>
                    <w14:schemeClr w14:val="tx1"/>
                  </w14:solidFill>
                </w14:textFill>
              </w:rPr>
              <w:t>2、产业政策符合性</w:t>
            </w:r>
          </w:p>
          <w:p>
            <w:pPr>
              <w:spacing w:line="560" w:lineRule="exact"/>
              <w:ind w:firstLine="480" w:firstLineChars="200"/>
              <w:rPr>
                <w:rFonts w:eastAsia="宋体"/>
                <w:color w:val="000000" w:themeColor="text1"/>
                <w14:textFill>
                  <w14:solidFill>
                    <w14:schemeClr w14:val="tx1"/>
                  </w14:solidFill>
                </w14:textFill>
              </w:rPr>
            </w:pPr>
            <w:r>
              <w:rPr>
                <w:rFonts w:eastAsia="宋体"/>
                <w:color w:val="000000" w:themeColor="text1"/>
                <w:sz w:val="24"/>
                <w:szCs w:val="24"/>
                <w14:textFill>
                  <w14:solidFill>
                    <w14:schemeClr w14:val="tx1"/>
                  </w14:solidFill>
                </w14:textFill>
              </w:rPr>
              <w:t>本项目属于</w:t>
            </w:r>
            <w:r>
              <w:rPr>
                <w:rFonts w:eastAsia="宋体"/>
                <w:color w:val="000000" w:themeColor="text1"/>
                <w:kern w:val="0"/>
                <w:sz w:val="24"/>
                <w:szCs w:val="24"/>
                <w14:textFill>
                  <w14:solidFill>
                    <w14:schemeClr w14:val="tx1"/>
                  </w14:solidFill>
                </w14:textFill>
              </w:rPr>
              <w:t>渗滤液处理工程</w:t>
            </w:r>
            <w:r>
              <w:rPr>
                <w:rFonts w:eastAsia="宋体"/>
                <w:color w:val="000000" w:themeColor="text1"/>
                <w:sz w:val="24"/>
                <w:szCs w:val="24"/>
                <w14:textFill>
                  <w14:solidFill>
                    <w14:schemeClr w14:val="tx1"/>
                  </w14:solidFill>
                </w14:textFill>
              </w:rPr>
              <w:t>，对照国家发改委颁布的《产业结构调整指导目录（2011年本）（2013年修正）》，</w:t>
            </w:r>
            <w:r>
              <w:rPr>
                <w:rFonts w:eastAsia="宋体"/>
                <w:snapToGrid w:val="0"/>
                <w:color w:val="000000" w:themeColor="text1"/>
                <w:spacing w:val="-4"/>
                <w:sz w:val="24"/>
                <w:szCs w:val="24"/>
                <w14:textFill>
                  <w14:solidFill>
                    <w14:schemeClr w14:val="tx1"/>
                  </w14:solidFill>
                </w14:textFill>
              </w:rPr>
              <w:t>拟建工程属于鼓励类中的</w:t>
            </w:r>
            <w:r>
              <w:rPr>
                <w:rFonts w:hint="eastAsia" w:eastAsia="宋体"/>
                <w:snapToGrid w:val="0"/>
                <w:color w:val="000000" w:themeColor="text1"/>
                <w:spacing w:val="-4"/>
                <w:sz w:val="24"/>
                <w:szCs w:val="24"/>
                <w14:textFill>
                  <w14:solidFill>
                    <w14:schemeClr w14:val="tx1"/>
                  </w14:solidFill>
                </w14:textFill>
              </w:rPr>
              <w:t>“</w:t>
            </w:r>
            <w:r>
              <w:rPr>
                <w:rFonts w:eastAsia="宋体"/>
                <w:snapToGrid w:val="0"/>
                <w:color w:val="000000" w:themeColor="text1"/>
                <w:spacing w:val="-4"/>
                <w:sz w:val="24"/>
                <w:szCs w:val="24"/>
                <w14:textFill>
                  <w14:solidFill>
                    <w14:schemeClr w14:val="tx1"/>
                  </w14:solidFill>
                </w14:textFill>
              </w:rPr>
              <w:t>三废综合利用及治理工程</w:t>
            </w:r>
            <w:r>
              <w:rPr>
                <w:rFonts w:hint="eastAsia" w:eastAsia="宋体"/>
                <w:snapToGrid w:val="0"/>
                <w:color w:val="000000" w:themeColor="text1"/>
                <w:spacing w:val="-4"/>
                <w:sz w:val="24"/>
                <w:szCs w:val="24"/>
                <w14:textFill>
                  <w14:solidFill>
                    <w14:schemeClr w14:val="tx1"/>
                  </w14:solidFill>
                </w14:textFill>
              </w:rPr>
              <w:t>”</w:t>
            </w:r>
            <w:r>
              <w:rPr>
                <w:rFonts w:eastAsia="宋体"/>
                <w:snapToGrid w:val="0"/>
                <w:color w:val="000000" w:themeColor="text1"/>
                <w:spacing w:val="-4"/>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项目的建设符合国家的相关产业政策规定</w:t>
            </w:r>
            <w:r>
              <w:rPr>
                <w:rFonts w:eastAsia="宋体"/>
                <w:color w:val="000000" w:themeColor="text1"/>
                <w14:textFill>
                  <w14:solidFill>
                    <w14:schemeClr w14:val="tx1"/>
                  </w14:solidFill>
                </w14:textFill>
              </w:rPr>
              <w:t>。</w:t>
            </w:r>
          </w:p>
          <w:p>
            <w:pPr>
              <w:spacing w:before="156" w:beforeLines="50" w:after="156" w:afterLines="50" w:line="500" w:lineRule="exact"/>
              <w:ind w:firstLine="482" w:firstLineChars="200"/>
              <w:rPr>
                <w:rFonts w:eastAsia="宋体"/>
                <w:b/>
                <w:color w:val="000000" w:themeColor="text1"/>
                <w:sz w:val="24"/>
                <w14:textFill>
                  <w14:solidFill>
                    <w14:schemeClr w14:val="tx1"/>
                  </w14:solidFill>
                </w14:textFill>
              </w:rPr>
            </w:pPr>
            <w:r>
              <w:rPr>
                <w:rFonts w:hint="eastAsia" w:eastAsia="宋体"/>
                <w:b/>
                <w:color w:val="000000" w:themeColor="text1"/>
                <w:sz w:val="24"/>
                <w14:textFill>
                  <w14:solidFill>
                    <w14:schemeClr w14:val="tx1"/>
                  </w14:solidFill>
                </w14:textFill>
              </w:rPr>
              <w:t>3</w:t>
            </w:r>
            <w:r>
              <w:rPr>
                <w:rFonts w:eastAsia="宋体"/>
                <w:b/>
                <w:color w:val="000000" w:themeColor="text1"/>
                <w:sz w:val="24"/>
                <w14:textFill>
                  <w14:solidFill>
                    <w14:schemeClr w14:val="tx1"/>
                  </w14:solidFill>
                </w14:textFill>
              </w:rPr>
              <w:t>、项目区环境质量现状</w:t>
            </w:r>
          </w:p>
          <w:p>
            <w:pPr>
              <w:spacing w:line="560" w:lineRule="exact"/>
              <w:ind w:firstLine="480" w:firstLineChars="200"/>
              <w:rPr>
                <w:rFonts w:eastAsia="宋体"/>
                <w:color w:val="000000" w:themeColor="text1"/>
                <w:sz w:val="24"/>
                <w:szCs w:val="24"/>
                <w14:textFill>
                  <w14:solidFill>
                    <w14:schemeClr w14:val="tx1"/>
                  </w14:solidFill>
                </w14:textFill>
              </w:rPr>
            </w:pPr>
            <w:bookmarkStart w:id="6" w:name="OLE_LINK93"/>
            <w:r>
              <w:rPr>
                <w:rFonts w:eastAsia="宋体"/>
                <w:color w:val="000000" w:themeColor="text1"/>
                <w:sz w:val="24"/>
                <w:szCs w:val="24"/>
                <w14:textFill>
                  <w14:solidFill>
                    <w14:schemeClr w14:val="tx1"/>
                  </w14:solidFill>
                </w14:textFill>
              </w:rPr>
              <w:t>（1）环境空气：</w:t>
            </w:r>
            <w:r>
              <w:rPr>
                <w:rFonts w:hint="eastAsia" w:eastAsia="宋体"/>
                <w:color w:val="000000" w:themeColor="text1"/>
                <w:sz w:val="24"/>
                <w:szCs w:val="24"/>
                <w14:textFill>
                  <w14:solidFill>
                    <w14:schemeClr w14:val="tx1"/>
                  </w14:solidFill>
                </w14:textFill>
              </w:rPr>
              <w:t>根据监测结果可知</w:t>
            </w:r>
            <w:r>
              <w:rPr>
                <w:rFonts w:eastAsia="宋体"/>
                <w:color w:val="000000" w:themeColor="text1"/>
                <w:position w:val="-2"/>
                <w:sz w:val="24"/>
                <w:szCs w:val="24"/>
                <w14:textFill>
                  <w14:solidFill>
                    <w14:schemeClr w14:val="tx1"/>
                  </w14:solidFill>
                </w14:textFill>
              </w:rPr>
              <w:t>，</w:t>
            </w:r>
            <w:r>
              <w:rPr>
                <w:rFonts w:eastAsia="宋体"/>
                <w:color w:val="000000" w:themeColor="text1"/>
                <w:sz w:val="24"/>
                <w14:textFill>
                  <w14:solidFill>
                    <w14:schemeClr w14:val="tx1"/>
                  </w14:solidFill>
                </w14:textFill>
              </w:rPr>
              <w:t>SO</w:t>
            </w:r>
            <w:r>
              <w:rPr>
                <w:rFonts w:eastAsia="宋体"/>
                <w:color w:val="000000" w:themeColor="text1"/>
                <w:sz w:val="24"/>
                <w:vertAlign w:val="subscript"/>
                <w14:textFill>
                  <w14:solidFill>
                    <w14:schemeClr w14:val="tx1"/>
                  </w14:solidFill>
                </w14:textFill>
              </w:rPr>
              <w:t>2</w:t>
            </w:r>
            <w:r>
              <w:rPr>
                <w:rFonts w:eastAsia="宋体"/>
                <w:color w:val="000000" w:themeColor="text1"/>
                <w:sz w:val="24"/>
                <w14:textFill>
                  <w14:solidFill>
                    <w14:schemeClr w14:val="tx1"/>
                  </w14:solidFill>
                </w14:textFill>
              </w:rPr>
              <w:t>、NO</w:t>
            </w:r>
            <w:r>
              <w:rPr>
                <w:rFonts w:eastAsia="宋体"/>
                <w:color w:val="000000" w:themeColor="text1"/>
                <w:sz w:val="24"/>
                <w:vertAlign w:val="subscript"/>
                <w14:textFill>
                  <w14:solidFill>
                    <w14:schemeClr w14:val="tx1"/>
                  </w14:solidFill>
                </w14:textFill>
              </w:rPr>
              <w:t>2</w:t>
            </w:r>
            <w:r>
              <w:rPr>
                <w:rFonts w:hint="eastAsia" w:eastAsia="宋体"/>
                <w:color w:val="000000" w:themeColor="text1"/>
                <w:sz w:val="24"/>
                <w14:textFill>
                  <w14:solidFill>
                    <w14:schemeClr w14:val="tx1"/>
                  </w14:solidFill>
                </w14:textFill>
              </w:rPr>
              <w:t>年平均，CO的95百分位24小时平均</w:t>
            </w: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O</w:t>
            </w:r>
            <w:r>
              <w:rPr>
                <w:rFonts w:hint="eastAsia" w:eastAsia="宋体"/>
                <w:color w:val="000000" w:themeColor="text1"/>
                <w:sz w:val="24"/>
                <w:vertAlign w:val="subscript"/>
                <w14:textFill>
                  <w14:solidFill>
                    <w14:schemeClr w14:val="tx1"/>
                  </w14:solidFill>
                </w14:textFill>
              </w:rPr>
              <w:t>3</w:t>
            </w:r>
            <w:r>
              <w:rPr>
                <w:rFonts w:hint="eastAsia" w:eastAsia="宋体"/>
                <w:color w:val="000000" w:themeColor="text1"/>
                <w:sz w:val="24"/>
                <w14:textFill>
                  <w14:solidFill>
                    <w14:schemeClr w14:val="tx1"/>
                  </w14:solidFill>
                </w14:textFill>
              </w:rPr>
              <w:t>的90百分位8小时平均</w:t>
            </w:r>
            <w:r>
              <w:rPr>
                <w:rFonts w:eastAsia="宋体"/>
                <w:color w:val="000000" w:themeColor="text1"/>
                <w:sz w:val="24"/>
                <w14:textFill>
                  <w14:solidFill>
                    <w14:schemeClr w14:val="tx1"/>
                  </w14:solidFill>
                </w14:textFill>
              </w:rPr>
              <w:t>浓度值均满足《环境空气质量标准》（GB3095-2012）的二级标准，</w:t>
            </w:r>
            <w:r>
              <w:rPr>
                <w:rFonts w:hint="eastAsia" w:eastAsia="宋体"/>
                <w:color w:val="000000" w:themeColor="text1"/>
                <w:sz w:val="24"/>
                <w14:textFill>
                  <w14:solidFill>
                    <w14:schemeClr w14:val="tx1"/>
                  </w14:solidFill>
                </w14:textFill>
              </w:rPr>
              <w:t>由于石河子受沙尘天气影响导致的PM</w:t>
            </w:r>
            <w:r>
              <w:rPr>
                <w:rFonts w:hint="eastAsia" w:eastAsia="宋体"/>
                <w:color w:val="000000" w:themeColor="text1"/>
                <w:sz w:val="24"/>
                <w:vertAlign w:val="subscript"/>
                <w14:textFill>
                  <w14:solidFill>
                    <w14:schemeClr w14:val="tx1"/>
                  </w14:solidFill>
                </w14:textFill>
              </w:rPr>
              <w:t>2.5</w:t>
            </w: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PM</w:t>
            </w:r>
            <w:r>
              <w:rPr>
                <w:rFonts w:hint="eastAsia" w:eastAsia="宋体"/>
                <w:color w:val="000000" w:themeColor="text1"/>
                <w:sz w:val="24"/>
                <w:vertAlign w:val="subscript"/>
                <w14:textFill>
                  <w14:solidFill>
                    <w14:schemeClr w14:val="tx1"/>
                  </w14:solidFill>
                </w14:textFill>
              </w:rPr>
              <w:t>10</w:t>
            </w:r>
            <w:r>
              <w:rPr>
                <w:rFonts w:hint="eastAsia" w:eastAsia="宋体"/>
                <w:color w:val="000000" w:themeColor="text1"/>
                <w:sz w:val="24"/>
                <w14:textFill>
                  <w14:solidFill>
                    <w14:schemeClr w14:val="tx1"/>
                  </w14:solidFill>
                </w14:textFill>
              </w:rPr>
              <w:t>年平均浓度超标；另外，</w:t>
            </w:r>
            <w:r>
              <w:rPr>
                <w:rFonts w:eastAsia="宋体"/>
                <w:color w:val="000000" w:themeColor="text1"/>
                <w:sz w:val="24"/>
                <w:szCs w:val="24"/>
                <w14:textFill>
                  <w14:solidFill>
                    <w14:schemeClr w14:val="tx1"/>
                  </w14:solidFill>
                </w14:textFill>
              </w:rPr>
              <w:t>H</w:t>
            </w:r>
            <w:r>
              <w:rPr>
                <w:rFonts w:eastAsia="宋体"/>
                <w:color w:val="000000" w:themeColor="text1"/>
                <w:sz w:val="24"/>
                <w:szCs w:val="24"/>
                <w:vertAlign w:val="subscript"/>
                <w14:textFill>
                  <w14:solidFill>
                    <w14:schemeClr w14:val="tx1"/>
                  </w14:solidFill>
                </w14:textFill>
              </w:rPr>
              <w:t>2</w:t>
            </w:r>
            <w:r>
              <w:rPr>
                <w:rFonts w:eastAsia="宋体"/>
                <w:color w:val="000000" w:themeColor="text1"/>
                <w:sz w:val="24"/>
                <w:szCs w:val="24"/>
                <w14:textFill>
                  <w14:solidFill>
                    <w14:schemeClr w14:val="tx1"/>
                  </w14:solidFill>
                </w14:textFill>
              </w:rPr>
              <w:t>S、NH</w:t>
            </w:r>
            <w:r>
              <w:rPr>
                <w:rFonts w:eastAsia="宋体"/>
                <w:color w:val="000000" w:themeColor="text1"/>
                <w:sz w:val="24"/>
                <w:szCs w:val="24"/>
                <w:vertAlign w:val="subscript"/>
                <w14:textFill>
                  <w14:solidFill>
                    <w14:schemeClr w14:val="tx1"/>
                  </w14:solidFill>
                </w14:textFill>
              </w:rPr>
              <w:t>3</w:t>
            </w:r>
            <w:r>
              <w:rPr>
                <w:rFonts w:hint="eastAsia" w:eastAsia="宋体"/>
                <w:color w:val="000000" w:themeColor="text1"/>
                <w:sz w:val="24"/>
                <w:szCs w:val="24"/>
                <w14:textFill>
                  <w14:solidFill>
                    <w14:schemeClr w14:val="tx1"/>
                  </w14:solidFill>
                </w14:textFill>
              </w:rPr>
              <w:t>均满足《环境影响评价技术导则 大气环境》（HJ2.2-2018）附录D中标准。综上</w:t>
            </w:r>
            <w:r>
              <w:rPr>
                <w:rFonts w:hint="eastAsia" w:eastAsia="宋体"/>
                <w:color w:val="000000" w:themeColor="text1"/>
                <w:sz w:val="24"/>
                <w14:textFill>
                  <w14:solidFill>
                    <w14:schemeClr w14:val="tx1"/>
                  </w14:solidFill>
                </w14:textFill>
              </w:rPr>
              <w:t>表明</w:t>
            </w:r>
            <w:r>
              <w:rPr>
                <w:rFonts w:eastAsia="宋体"/>
                <w:color w:val="000000" w:themeColor="text1"/>
                <w:sz w:val="24"/>
                <w14:textFill>
                  <w14:solidFill>
                    <w14:schemeClr w14:val="tx1"/>
                  </w14:solidFill>
                </w14:textFill>
              </w:rPr>
              <w:t>项目区</w:t>
            </w:r>
            <w:r>
              <w:rPr>
                <w:rFonts w:hint="eastAsia" w:eastAsia="宋体"/>
                <w:color w:val="000000" w:themeColor="text1"/>
                <w:sz w:val="24"/>
                <w14:textFill>
                  <w14:solidFill>
                    <w14:schemeClr w14:val="tx1"/>
                  </w14:solidFill>
                </w14:textFill>
              </w:rPr>
              <w:t>为非达标区，</w:t>
            </w:r>
            <w:r>
              <w:rPr>
                <w:rFonts w:eastAsia="宋体"/>
                <w:color w:val="000000" w:themeColor="text1"/>
                <w:sz w:val="24"/>
                <w14:textFill>
                  <w14:solidFill>
                    <w14:schemeClr w14:val="tx1"/>
                  </w14:solidFill>
                </w14:textFill>
              </w:rPr>
              <w:t>环境空气质量</w:t>
            </w:r>
            <w:r>
              <w:rPr>
                <w:rFonts w:hint="eastAsia" w:eastAsia="宋体"/>
                <w:color w:val="000000" w:themeColor="text1"/>
                <w:sz w:val="24"/>
                <w14:textFill>
                  <w14:solidFill>
                    <w14:schemeClr w14:val="tx1"/>
                  </w14:solidFill>
                </w14:textFill>
              </w:rPr>
              <w:t>一般</w:t>
            </w:r>
            <w:r>
              <w:rPr>
                <w:rFonts w:eastAsia="宋体"/>
                <w:color w:val="000000" w:themeColor="text1"/>
                <w:sz w:val="24"/>
                <w14:textFill>
                  <w14:solidFill>
                    <w14:schemeClr w14:val="tx1"/>
                  </w14:solidFill>
                </w14:textFill>
              </w:rPr>
              <w:t>。</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w:t>
            </w:r>
            <w:r>
              <w:rPr>
                <w:rFonts w:hint="eastAsia" w:eastAsia="宋体"/>
                <w:color w:val="000000" w:themeColor="text1"/>
                <w:sz w:val="24"/>
                <w:szCs w:val="24"/>
                <w14:textFill>
                  <w14:solidFill>
                    <w14:schemeClr w14:val="tx1"/>
                  </w14:solidFill>
                </w14:textFill>
              </w:rPr>
              <w:t>2</w:t>
            </w:r>
            <w:r>
              <w:rPr>
                <w:rFonts w:eastAsia="宋体"/>
                <w:color w:val="000000" w:themeColor="text1"/>
                <w:sz w:val="24"/>
                <w:szCs w:val="24"/>
                <w14:textFill>
                  <w14:solidFill>
                    <w14:schemeClr w14:val="tx1"/>
                  </w14:solidFill>
                </w14:textFill>
              </w:rPr>
              <w:t>）地下水：</w:t>
            </w:r>
            <w:bookmarkStart w:id="7" w:name="OLE_LINK64"/>
            <w:r>
              <w:rPr>
                <w:rFonts w:hint="eastAsia" w:eastAsia="宋体"/>
                <w:color w:val="000000" w:themeColor="text1"/>
                <w:sz w:val="24"/>
                <w:szCs w:val="24"/>
                <w14:textFill>
                  <w14:solidFill>
                    <w14:schemeClr w14:val="tx1"/>
                  </w14:solidFill>
                </w14:textFill>
              </w:rPr>
              <w:t>根据监测结果可知</w:t>
            </w:r>
            <w:r>
              <w:rPr>
                <w:rFonts w:eastAsia="宋体"/>
                <w:color w:val="000000" w:themeColor="text1"/>
                <w:position w:val="-2"/>
                <w:sz w:val="24"/>
                <w:szCs w:val="24"/>
                <w14:textFill>
                  <w14:solidFill>
                    <w14:schemeClr w14:val="tx1"/>
                  </w14:solidFill>
                </w14:textFill>
              </w:rPr>
              <w:t>，</w:t>
            </w:r>
            <w:r>
              <w:rPr>
                <w:rFonts w:hint="eastAsia" w:eastAsia="宋体"/>
                <w:color w:val="000000" w:themeColor="text1"/>
                <w:sz w:val="24"/>
                <w14:textFill>
                  <w14:solidFill>
                    <w14:schemeClr w14:val="tx1"/>
                  </w14:solidFill>
                </w14:textFill>
              </w:rPr>
              <w:t>本项目区地下水</w:t>
            </w:r>
            <w:r>
              <w:rPr>
                <w:rFonts w:hint="eastAsia" w:eastAsia="宋体"/>
                <w:color w:val="000000" w:themeColor="text1"/>
                <w:sz w:val="24"/>
                <w:lang w:val="en-US" w:eastAsia="zh-CN"/>
                <w14:textFill>
                  <w14:solidFill>
                    <w14:schemeClr w14:val="tx1"/>
                  </w14:solidFill>
                </w14:textFill>
              </w:rPr>
              <w:t>除氯化物超标，其他</w:t>
            </w:r>
            <w:r>
              <w:rPr>
                <w:rFonts w:hint="eastAsia" w:eastAsia="宋体"/>
                <w:color w:val="000000" w:themeColor="text1"/>
                <w:sz w:val="24"/>
                <w14:textFill>
                  <w14:solidFill>
                    <w14:schemeClr w14:val="tx1"/>
                  </w14:solidFill>
                </w14:textFill>
              </w:rPr>
              <w:t>各项指标</w:t>
            </w:r>
            <w:r>
              <w:rPr>
                <w:rFonts w:eastAsia="宋体"/>
                <w:color w:val="000000" w:themeColor="text1"/>
                <w:sz w:val="24"/>
                <w14:textFill>
                  <w14:solidFill>
                    <w14:schemeClr w14:val="tx1"/>
                  </w14:solidFill>
                </w14:textFill>
              </w:rPr>
              <w:t>均能达到《地下水质量标准》（GB/T14848-2017）中的</w:t>
            </w:r>
            <w:r>
              <w:rPr>
                <w:rFonts w:hint="eastAsia" w:eastAsia="宋体"/>
                <w:color w:val="000000" w:themeColor="text1"/>
                <w:sz w:val="24"/>
                <w14:textFill>
                  <w14:solidFill>
                    <w14:schemeClr w14:val="tx1"/>
                  </w14:solidFill>
                </w14:textFill>
              </w:rPr>
              <w:t>Ⅲ</w:t>
            </w:r>
            <w:r>
              <w:rPr>
                <w:rFonts w:eastAsia="宋体"/>
                <w:color w:val="000000" w:themeColor="text1"/>
                <w:sz w:val="24"/>
                <w14:textFill>
                  <w14:solidFill>
                    <w14:schemeClr w14:val="tx1"/>
                  </w14:solidFill>
                </w14:textFill>
              </w:rPr>
              <w:t>类标准要求。</w:t>
            </w:r>
            <w:r>
              <w:rPr>
                <w:rFonts w:hint="eastAsia" w:eastAsia="宋体"/>
                <w:color w:val="000000" w:themeColor="text1"/>
                <w:sz w:val="24"/>
                <w14:textFill>
                  <w14:solidFill>
                    <w14:schemeClr w14:val="tx1"/>
                  </w14:solidFill>
                </w14:textFill>
              </w:rPr>
              <w:t>表明本项目区地下水水质较好。</w:t>
            </w:r>
          </w:p>
          <w:bookmarkEnd w:id="7"/>
          <w:p>
            <w:pPr>
              <w:pStyle w:val="2"/>
              <w:spacing w:line="520" w:lineRule="exact"/>
              <w:ind w:firstLine="480" w:firstLineChars="200"/>
              <w:jc w:val="both"/>
              <w:rPr>
                <w:rFonts w:eastAsia="宋体"/>
                <w:snapToGrid/>
                <w:color w:val="000000" w:themeColor="text1"/>
                <w:kern w:val="2"/>
                <w:sz w:val="24"/>
                <w:szCs w:val="24"/>
                <w:lang w:val="en-US"/>
                <w14:textFill>
                  <w14:solidFill>
                    <w14:schemeClr w14:val="tx1"/>
                  </w14:solidFill>
                </w14:textFill>
              </w:rPr>
            </w:pPr>
            <w:r>
              <w:rPr>
                <w:rFonts w:hint="eastAsia" w:eastAsia="宋体"/>
                <w:snapToGrid/>
                <w:color w:val="000000" w:themeColor="text1"/>
                <w:kern w:val="2"/>
                <w:sz w:val="24"/>
                <w:szCs w:val="24"/>
                <w:lang w:val="en-US"/>
                <w14:textFill>
                  <w14:solidFill>
                    <w14:schemeClr w14:val="tx1"/>
                  </w14:solidFill>
                </w14:textFill>
              </w:rPr>
              <w:t>（3）声环境：</w:t>
            </w:r>
            <w:r>
              <w:rPr>
                <w:rFonts w:hint="eastAsia" w:eastAsia="宋体"/>
                <w:bCs/>
                <w:color w:val="000000" w:themeColor="text1"/>
                <w:sz w:val="24"/>
                <w:lang w:val="en-US"/>
                <w14:textFill>
                  <w14:solidFill>
                    <w14:schemeClr w14:val="tx1"/>
                  </w14:solidFill>
                </w14:textFill>
              </w:rPr>
              <w:t>根据监测结果</w:t>
            </w:r>
            <w:r>
              <w:rPr>
                <w:rFonts w:hint="eastAsia" w:eastAsia="宋体"/>
                <w:color w:val="000000" w:themeColor="text1"/>
                <w:sz w:val="24"/>
                <w:lang w:val="en-US"/>
                <w14:textFill>
                  <w14:solidFill>
                    <w14:schemeClr w14:val="tx1"/>
                  </w14:solidFill>
                </w14:textFill>
              </w:rPr>
              <w:t>可知，本项目</w:t>
            </w:r>
            <w:r>
              <w:rPr>
                <w:rFonts w:eastAsia="宋体"/>
                <w:color w:val="000000" w:themeColor="text1"/>
                <w:sz w:val="24"/>
                <w:szCs w:val="24"/>
                <w:lang w:val="en-US"/>
                <w14:textFill>
                  <w14:solidFill>
                    <w14:schemeClr w14:val="tx1"/>
                  </w14:solidFill>
                </w14:textFill>
              </w:rPr>
              <w:t>区域昼、夜间噪声监测结果均满足《声环境质量标准》（GB3096-2008）中</w:t>
            </w:r>
            <w:r>
              <w:rPr>
                <w:rFonts w:hint="eastAsia" w:eastAsia="宋体"/>
                <w:color w:val="000000" w:themeColor="text1"/>
                <w:sz w:val="24"/>
                <w:szCs w:val="24"/>
                <w:lang w:val="en-US"/>
                <w14:textFill>
                  <w14:solidFill>
                    <w14:schemeClr w14:val="tx1"/>
                  </w14:solidFill>
                </w14:textFill>
              </w:rPr>
              <w:t>2</w:t>
            </w:r>
            <w:r>
              <w:rPr>
                <w:rFonts w:eastAsia="宋体"/>
                <w:color w:val="000000" w:themeColor="text1"/>
                <w:sz w:val="24"/>
                <w:szCs w:val="24"/>
                <w:lang w:val="en-US"/>
                <w14:textFill>
                  <w14:solidFill>
                    <w14:schemeClr w14:val="tx1"/>
                  </w14:solidFill>
                </w14:textFill>
              </w:rPr>
              <w:t>类标准要求，表明</w:t>
            </w:r>
            <w:r>
              <w:rPr>
                <w:rFonts w:hint="eastAsia" w:eastAsia="宋体"/>
                <w:color w:val="000000" w:themeColor="text1"/>
                <w:sz w:val="24"/>
                <w:szCs w:val="24"/>
                <w:lang w:val="en-US"/>
                <w14:textFill>
                  <w14:solidFill>
                    <w14:schemeClr w14:val="tx1"/>
                  </w14:solidFill>
                </w14:textFill>
              </w:rPr>
              <w:t>项目区</w:t>
            </w:r>
            <w:r>
              <w:rPr>
                <w:rFonts w:eastAsia="宋体"/>
                <w:color w:val="000000" w:themeColor="text1"/>
                <w:sz w:val="24"/>
                <w:szCs w:val="24"/>
                <w:lang w:val="en-US"/>
                <w14:textFill>
                  <w14:solidFill>
                    <w14:schemeClr w14:val="tx1"/>
                  </w14:solidFill>
                </w14:textFill>
              </w:rPr>
              <w:t>的声环境质量现状较好。</w:t>
            </w:r>
            <w:bookmarkEnd w:id="6"/>
          </w:p>
          <w:p>
            <w:pPr>
              <w:spacing w:before="156" w:beforeLines="50" w:after="156" w:afterLines="50" w:line="500" w:lineRule="exact"/>
              <w:ind w:firstLine="482" w:firstLineChars="200"/>
              <w:rPr>
                <w:rFonts w:eastAsia="宋体"/>
                <w:b/>
                <w:color w:val="000000" w:themeColor="text1"/>
                <w:sz w:val="24"/>
                <w14:textFill>
                  <w14:solidFill>
                    <w14:schemeClr w14:val="tx1"/>
                  </w14:solidFill>
                </w14:textFill>
              </w:rPr>
            </w:pPr>
            <w:r>
              <w:rPr>
                <w:rFonts w:hint="eastAsia" w:eastAsia="宋体"/>
                <w:b/>
                <w:color w:val="000000" w:themeColor="text1"/>
                <w:sz w:val="24"/>
                <w14:textFill>
                  <w14:solidFill>
                    <w14:schemeClr w14:val="tx1"/>
                  </w14:solidFill>
                </w14:textFill>
              </w:rPr>
              <w:t>4</w:t>
            </w:r>
            <w:r>
              <w:rPr>
                <w:rFonts w:eastAsia="宋体"/>
                <w:b/>
                <w:color w:val="000000" w:themeColor="text1"/>
                <w:sz w:val="24"/>
                <w14:textFill>
                  <w14:solidFill>
                    <w14:schemeClr w14:val="tx1"/>
                  </w14:solidFill>
                </w14:textFill>
              </w:rPr>
              <w:t>、</w:t>
            </w:r>
            <w:r>
              <w:rPr>
                <w:rFonts w:hint="eastAsia" w:eastAsia="宋体"/>
                <w:b/>
                <w:color w:val="000000" w:themeColor="text1"/>
                <w:sz w:val="24"/>
                <w14:textFill>
                  <w14:solidFill>
                    <w14:schemeClr w14:val="tx1"/>
                  </w14:solidFill>
                </w14:textFill>
              </w:rPr>
              <w:t>施工期环境影响分析</w:t>
            </w:r>
          </w:p>
          <w:p>
            <w:pPr>
              <w:pStyle w:val="12"/>
              <w:spacing w:line="520" w:lineRule="exact"/>
              <w:ind w:firstLine="480" w:firstLineChars="200"/>
              <w:rPr>
                <w:rFonts w:ascii="Times New Roman"/>
                <w:b w:val="0"/>
                <w:bCs w:val="0"/>
                <w:snapToGrid w:val="0"/>
                <w:color w:val="000000" w:themeColor="text1"/>
                <w:kern w:val="0"/>
                <w:sz w:val="24"/>
                <w:szCs w:val="24"/>
                <w:lang w:val="en-US"/>
                <w14:textFill>
                  <w14:solidFill>
                    <w14:schemeClr w14:val="tx1"/>
                  </w14:solidFill>
                </w14:textFill>
              </w:rPr>
            </w:pPr>
            <w:r>
              <w:rPr>
                <w:rFonts w:ascii="Times New Roman"/>
                <w:b w:val="0"/>
                <w:bCs w:val="0"/>
                <w:snapToGrid w:val="0"/>
                <w:color w:val="000000" w:themeColor="text1"/>
                <w:kern w:val="0"/>
                <w:sz w:val="24"/>
                <w:szCs w:val="24"/>
                <w:lang w:val="en-US"/>
                <w14:textFill>
                  <w14:solidFill>
                    <w14:schemeClr w14:val="tx1"/>
                  </w14:solidFill>
                </w14:textFill>
              </w:rPr>
              <w:t>（1）施工期对空气环境的主要影响因子为扬尘污染。拟采取以下措施：运送易产生扬尘的物料采取密闭运输，施工车辆必须清洗后方能</w:t>
            </w:r>
            <w:r>
              <w:rPr>
                <w:rFonts w:hint="eastAsia" w:ascii="Times New Roman"/>
                <w:b w:val="0"/>
                <w:bCs w:val="0"/>
                <w:snapToGrid w:val="0"/>
                <w:color w:val="000000" w:themeColor="text1"/>
                <w:kern w:val="0"/>
                <w:sz w:val="24"/>
                <w:szCs w:val="24"/>
                <w:lang w:val="en-US"/>
                <w14:textFill>
                  <w14:solidFill>
                    <w14:schemeClr w14:val="tx1"/>
                  </w14:solidFill>
                </w14:textFill>
              </w:rPr>
              <w:t>出现在施工现场；合理规划物料，避免现场大量堆放水泥、砂石等，加盖篷布，减少露天堆放；对开挖面，尽量减少裸露面，采取洒水抑尘等措施。通过系列措施后，施工期对环境空气影响较小。</w:t>
            </w:r>
          </w:p>
          <w:p>
            <w:pPr>
              <w:pStyle w:val="2"/>
              <w:spacing w:line="520" w:lineRule="exact"/>
              <w:ind w:firstLine="480" w:firstLineChars="200"/>
              <w:jc w:val="both"/>
              <w:rPr>
                <w:rFonts w:eastAsia="宋体"/>
                <w:color w:val="000000" w:themeColor="text1"/>
                <w:sz w:val="24"/>
                <w:szCs w:val="24"/>
                <w:lang w:val="en-US"/>
                <w14:textFill>
                  <w14:solidFill>
                    <w14:schemeClr w14:val="tx1"/>
                  </w14:solidFill>
                </w14:textFill>
              </w:rPr>
            </w:pPr>
            <w:r>
              <w:rPr>
                <w:rFonts w:hint="eastAsia" w:eastAsia="宋体"/>
                <w:color w:val="000000" w:themeColor="text1"/>
                <w:sz w:val="24"/>
                <w:szCs w:val="24"/>
                <w:lang w:val="en-US"/>
                <w14:textFill>
                  <w14:solidFill>
                    <w14:schemeClr w14:val="tx1"/>
                  </w14:solidFill>
                </w14:textFill>
              </w:rPr>
              <w:t>（2）</w:t>
            </w:r>
            <w:r>
              <w:rPr>
                <w:rFonts w:eastAsia="宋体"/>
                <w:color w:val="000000" w:themeColor="text1"/>
                <w:sz w:val="24"/>
                <w:szCs w:val="24"/>
                <w:lang w:val="en-US"/>
                <w14:textFill>
                  <w14:solidFill>
                    <w14:schemeClr w14:val="tx1"/>
                  </w14:solidFill>
                </w14:textFill>
              </w:rPr>
              <w:t>施工期产生的废水</w:t>
            </w:r>
            <w:r>
              <w:rPr>
                <w:rFonts w:hint="eastAsia" w:eastAsia="宋体"/>
                <w:color w:val="000000" w:themeColor="text1"/>
                <w:sz w:val="24"/>
                <w:szCs w:val="24"/>
                <w:lang w:val="en-US"/>
                <w14:textFill>
                  <w14:solidFill>
                    <w14:schemeClr w14:val="tx1"/>
                  </w14:solidFill>
                </w14:textFill>
              </w:rPr>
              <w:t>主要为</w:t>
            </w:r>
            <w:r>
              <w:rPr>
                <w:rFonts w:eastAsia="宋体"/>
                <w:color w:val="000000" w:themeColor="text1"/>
                <w:sz w:val="24"/>
                <w:szCs w:val="24"/>
                <w:lang w:val="en-US"/>
                <w14:textFill>
                  <w14:solidFill>
                    <w14:schemeClr w14:val="tx1"/>
                  </w14:solidFill>
                </w14:textFill>
              </w:rPr>
              <w:t>施工产生的生产废水</w:t>
            </w:r>
            <w:r>
              <w:rPr>
                <w:rFonts w:eastAsia="宋体"/>
                <w:color w:val="000000" w:themeColor="text1"/>
                <w:spacing w:val="-26"/>
                <w:sz w:val="24"/>
                <w:szCs w:val="24"/>
                <w:lang w:val="en-US"/>
                <w14:textFill>
                  <w14:solidFill>
                    <w14:schemeClr w14:val="tx1"/>
                  </w14:solidFill>
                </w14:textFill>
              </w:rPr>
              <w:t>。</w:t>
            </w:r>
            <w:r>
              <w:rPr>
                <w:rFonts w:eastAsia="宋体"/>
                <w:color w:val="000000" w:themeColor="text1"/>
                <w:sz w:val="24"/>
                <w:szCs w:val="24"/>
                <w:lang w:val="en-US"/>
                <w14:textFill>
                  <w14:solidFill>
                    <w14:schemeClr w14:val="tx1"/>
                  </w14:solidFill>
                </w14:textFill>
              </w:rPr>
              <w:t>项目施工期产生废水主要为搅拌机冲洗废水</w:t>
            </w:r>
            <w:r>
              <w:rPr>
                <w:rFonts w:eastAsia="宋体"/>
                <w:color w:val="000000" w:themeColor="text1"/>
                <w:spacing w:val="-26"/>
                <w:sz w:val="24"/>
                <w:szCs w:val="24"/>
                <w:lang w:val="en-US"/>
                <w14:textFill>
                  <w14:solidFill>
                    <w14:schemeClr w14:val="tx1"/>
                  </w14:solidFill>
                </w14:textFill>
              </w:rPr>
              <w:t>，</w:t>
            </w:r>
            <w:r>
              <w:rPr>
                <w:rFonts w:eastAsia="宋体"/>
                <w:color w:val="000000" w:themeColor="text1"/>
                <w:sz w:val="24"/>
                <w:szCs w:val="24"/>
                <w:lang w:val="en-US"/>
                <w14:textFill>
                  <w14:solidFill>
                    <w14:schemeClr w14:val="tx1"/>
                  </w14:solidFill>
                </w14:textFill>
              </w:rPr>
              <w:t>其特点为废水中悬浮物含量高</w:t>
            </w:r>
            <w:r>
              <w:rPr>
                <w:rFonts w:hint="eastAsia" w:eastAsia="宋体"/>
                <w:color w:val="000000" w:themeColor="text1"/>
                <w:sz w:val="24"/>
                <w:szCs w:val="24"/>
                <w:lang w:val="en-US"/>
                <w14:textFill>
                  <w14:solidFill>
                    <w14:schemeClr w14:val="tx1"/>
                  </w14:solidFill>
                </w14:textFill>
              </w:rPr>
              <w:t>（</w:t>
            </w:r>
            <w:r>
              <w:rPr>
                <w:rFonts w:eastAsia="宋体"/>
                <w:color w:val="000000" w:themeColor="text1"/>
                <w:sz w:val="24"/>
                <w:szCs w:val="24"/>
                <w:lang w:val="en-US"/>
                <w14:textFill>
                  <w14:solidFill>
                    <w14:schemeClr w14:val="tx1"/>
                  </w14:solidFill>
                </w14:textFill>
              </w:rPr>
              <w:t>以泥沙为主，不含有毒物质</w:t>
            </w:r>
            <w:r>
              <w:rPr>
                <w:rFonts w:hint="eastAsia" w:eastAsia="宋体"/>
                <w:color w:val="000000" w:themeColor="text1"/>
                <w:sz w:val="24"/>
                <w:szCs w:val="24"/>
                <w:lang w:val="en-US"/>
                <w14:textFill>
                  <w14:solidFill>
                    <w14:schemeClr w14:val="tx1"/>
                  </w14:solidFill>
                </w14:textFill>
              </w:rPr>
              <w:t>）</w:t>
            </w:r>
            <w:r>
              <w:rPr>
                <w:rFonts w:eastAsia="宋体"/>
                <w:color w:val="000000" w:themeColor="text1"/>
                <w:sz w:val="24"/>
                <w:szCs w:val="24"/>
                <w:lang w:val="en-US"/>
                <w14:textFill>
                  <w14:solidFill>
                    <w14:schemeClr w14:val="tx1"/>
                  </w14:solidFill>
                </w14:textFill>
              </w:rPr>
              <w:t>拟经沉淀、中和处理后回用于生产，不外排，对区域水环境无影响；经上述措施后施工期</w:t>
            </w:r>
            <w:r>
              <w:rPr>
                <w:rFonts w:hint="eastAsia" w:eastAsia="宋体"/>
                <w:color w:val="000000" w:themeColor="text1"/>
                <w:sz w:val="24"/>
                <w:szCs w:val="24"/>
                <w:lang w:val="en-US"/>
                <w14:textFill>
                  <w14:solidFill>
                    <w14:schemeClr w14:val="tx1"/>
                  </w14:solidFill>
                </w14:textFill>
              </w:rPr>
              <w:t>生产</w:t>
            </w:r>
            <w:r>
              <w:rPr>
                <w:rFonts w:eastAsia="宋体"/>
                <w:color w:val="000000" w:themeColor="text1"/>
                <w:sz w:val="24"/>
                <w:szCs w:val="24"/>
                <w:lang w:val="en-US"/>
                <w14:textFill>
                  <w14:solidFill>
                    <w14:schemeClr w14:val="tx1"/>
                  </w14:solidFill>
                </w14:textFill>
              </w:rPr>
              <w:t>废水排放对周围环境影响不明显</w:t>
            </w:r>
            <w:r>
              <w:rPr>
                <w:rFonts w:hint="eastAsia" w:eastAsia="宋体"/>
                <w:color w:val="000000" w:themeColor="text1"/>
                <w:sz w:val="24"/>
                <w:szCs w:val="24"/>
                <w:lang w:val="en-US"/>
                <w14:textFill>
                  <w14:solidFill>
                    <w14:schemeClr w14:val="tx1"/>
                  </w14:solidFill>
                </w14:textFill>
              </w:rPr>
              <w:t>；生活污水主要来自盥洗废水，施工期生活污水排放量较小，污染物成分简单，主要污染物为SS、COD</w:t>
            </w:r>
            <w:r>
              <w:rPr>
                <w:rFonts w:hint="eastAsia" w:eastAsia="宋体"/>
                <w:color w:val="000000" w:themeColor="text1"/>
                <w:sz w:val="24"/>
                <w:szCs w:val="24"/>
                <w:vertAlign w:val="subscript"/>
                <w:lang w:val="en-US"/>
                <w14:textFill>
                  <w14:solidFill>
                    <w14:schemeClr w14:val="tx1"/>
                  </w14:solidFill>
                </w14:textFill>
              </w:rPr>
              <w:t>Cr</w:t>
            </w:r>
            <w:r>
              <w:rPr>
                <w:rFonts w:hint="eastAsia" w:eastAsia="宋体"/>
                <w:color w:val="000000" w:themeColor="text1"/>
                <w:sz w:val="24"/>
                <w:szCs w:val="24"/>
                <w:lang w:val="en-US"/>
                <w14:textFill>
                  <w14:solidFill>
                    <w14:schemeClr w14:val="tx1"/>
                  </w14:solidFill>
                </w14:textFill>
              </w:rPr>
              <w:t>、NH</w:t>
            </w:r>
            <w:r>
              <w:rPr>
                <w:rFonts w:hint="eastAsia" w:eastAsia="宋体"/>
                <w:color w:val="000000" w:themeColor="text1"/>
                <w:sz w:val="24"/>
                <w:szCs w:val="24"/>
                <w:vertAlign w:val="subscript"/>
                <w:lang w:val="en-US"/>
                <w14:textFill>
                  <w14:solidFill>
                    <w14:schemeClr w14:val="tx1"/>
                  </w14:solidFill>
                </w14:textFill>
              </w:rPr>
              <w:t>3</w:t>
            </w:r>
            <w:r>
              <w:rPr>
                <w:rFonts w:hint="eastAsia" w:eastAsia="宋体"/>
                <w:color w:val="000000" w:themeColor="text1"/>
                <w:sz w:val="24"/>
                <w:szCs w:val="24"/>
                <w:lang w:val="en-US"/>
                <w14:textFill>
                  <w14:solidFill>
                    <w14:schemeClr w14:val="tx1"/>
                  </w14:solidFill>
                </w14:textFill>
              </w:rPr>
              <w:t>-N，该部分废水经现有收集池收集，待本项目投运后处理达标用于洒水降水和绿化，不外排，对水环境影响较小。</w:t>
            </w:r>
          </w:p>
          <w:p>
            <w:pPr>
              <w:pStyle w:val="12"/>
              <w:spacing w:line="520" w:lineRule="exact"/>
              <w:ind w:firstLine="480" w:firstLineChars="200"/>
              <w:rPr>
                <w:rFonts w:ascii="Times New Roman"/>
                <w:b w:val="0"/>
                <w:bCs w:val="0"/>
                <w:color w:val="000000" w:themeColor="text1"/>
                <w:sz w:val="24"/>
                <w:szCs w:val="24"/>
                <w:lang w:val="en-US"/>
                <w14:textFill>
                  <w14:solidFill>
                    <w14:schemeClr w14:val="tx1"/>
                  </w14:solidFill>
                </w14:textFill>
              </w:rPr>
            </w:pPr>
            <w:r>
              <w:rPr>
                <w:rFonts w:hint="eastAsia" w:ascii="Times New Roman"/>
                <w:b w:val="0"/>
                <w:bCs w:val="0"/>
                <w:snapToGrid w:val="0"/>
                <w:color w:val="000000" w:themeColor="text1"/>
                <w:kern w:val="0"/>
                <w:sz w:val="24"/>
                <w:szCs w:val="24"/>
                <w:lang w:val="en-US"/>
                <w14:textFill>
                  <w14:solidFill>
                    <w14:schemeClr w14:val="tx1"/>
                  </w14:solidFill>
                </w14:textFill>
              </w:rPr>
              <w:t>（3）</w:t>
            </w:r>
            <w:r>
              <w:rPr>
                <w:rFonts w:ascii="Times New Roman"/>
                <w:b w:val="0"/>
                <w:bCs w:val="0"/>
                <w:color w:val="000000" w:themeColor="text1"/>
                <w:sz w:val="24"/>
                <w:szCs w:val="24"/>
                <w:lang w:val="en-US"/>
                <w14:textFill>
                  <w14:solidFill>
                    <w14:schemeClr w14:val="tx1"/>
                  </w14:solidFill>
                </w14:textFill>
              </w:rPr>
              <w:t>施工期的噪声主要是各种施工机械</w:t>
            </w:r>
            <w:r>
              <w:rPr>
                <w:rFonts w:hint="eastAsia" w:ascii="Times New Roman"/>
                <w:b w:val="0"/>
                <w:bCs w:val="0"/>
                <w:color w:val="000000" w:themeColor="text1"/>
                <w:sz w:val="24"/>
                <w:szCs w:val="24"/>
                <w:lang w:val="en-US"/>
                <w14:textFill>
                  <w14:solidFill>
                    <w14:schemeClr w14:val="tx1"/>
                  </w14:solidFill>
                </w14:textFill>
              </w:rPr>
              <w:t>（</w:t>
            </w:r>
            <w:r>
              <w:rPr>
                <w:rFonts w:ascii="Times New Roman"/>
                <w:b w:val="0"/>
                <w:bCs w:val="0"/>
                <w:color w:val="000000" w:themeColor="text1"/>
                <w:sz w:val="24"/>
                <w:szCs w:val="24"/>
                <w:lang w:val="en-US"/>
                <w14:textFill>
                  <w14:solidFill>
                    <w14:schemeClr w14:val="tx1"/>
                  </w14:solidFill>
                </w14:textFill>
              </w:rPr>
              <w:t>推土机、挖掘机</w:t>
            </w:r>
            <w:r>
              <w:rPr>
                <w:rFonts w:hint="eastAsia" w:ascii="Times New Roman"/>
                <w:b w:val="0"/>
                <w:bCs w:val="0"/>
                <w:color w:val="000000" w:themeColor="text1"/>
                <w:sz w:val="24"/>
                <w:szCs w:val="24"/>
                <w:lang w:val="en-US"/>
                <w14:textFill>
                  <w14:solidFill>
                    <w14:schemeClr w14:val="tx1"/>
                  </w14:solidFill>
                </w14:textFill>
              </w:rPr>
              <w:t>、</w:t>
            </w:r>
            <w:r>
              <w:rPr>
                <w:rFonts w:ascii="Times New Roman"/>
                <w:b w:val="0"/>
                <w:bCs w:val="0"/>
                <w:color w:val="000000" w:themeColor="text1"/>
                <w:sz w:val="24"/>
                <w:szCs w:val="24"/>
                <w:lang w:val="en-US"/>
                <w14:textFill>
                  <w14:solidFill>
                    <w14:schemeClr w14:val="tx1"/>
                  </w14:solidFill>
                </w14:textFill>
              </w:rPr>
              <w:t>吊车、升降机等</w:t>
            </w:r>
            <w:r>
              <w:rPr>
                <w:rFonts w:hint="eastAsia" w:ascii="Times New Roman"/>
                <w:b w:val="0"/>
                <w:bCs w:val="0"/>
                <w:color w:val="000000" w:themeColor="text1"/>
                <w:sz w:val="24"/>
                <w:szCs w:val="24"/>
                <w:lang w:val="en-US"/>
                <w14:textFill>
                  <w14:solidFill>
                    <w14:schemeClr w14:val="tx1"/>
                  </w14:solidFill>
                </w14:textFill>
              </w:rPr>
              <w:t>）</w:t>
            </w:r>
            <w:r>
              <w:rPr>
                <w:rFonts w:ascii="Times New Roman"/>
                <w:b w:val="0"/>
                <w:bCs w:val="0"/>
                <w:color w:val="000000" w:themeColor="text1"/>
                <w:sz w:val="24"/>
                <w:szCs w:val="24"/>
                <w:lang w:val="en-US"/>
                <w14:textFill>
                  <w14:solidFill>
                    <w14:schemeClr w14:val="tx1"/>
                  </w14:solidFill>
                </w14:textFill>
              </w:rPr>
              <w:t>和运输车辆产生的作业噪声，其噪声值在</w:t>
            </w:r>
            <w:r>
              <w:rPr>
                <w:rFonts w:hint="eastAsia" w:ascii="Times New Roman"/>
                <w:b w:val="0"/>
                <w:bCs w:val="0"/>
                <w:color w:val="000000" w:themeColor="text1"/>
                <w:sz w:val="24"/>
                <w:szCs w:val="24"/>
                <w:lang w:val="en-US"/>
                <w14:textFill>
                  <w14:solidFill>
                    <w14:schemeClr w14:val="tx1"/>
                  </w14:solidFill>
                </w14:textFill>
              </w:rPr>
              <w:t>68</w:t>
            </w:r>
            <w:r>
              <w:rPr>
                <w:rFonts w:ascii="Times New Roman"/>
                <w:b w:val="0"/>
                <w:bCs w:val="0"/>
                <w:color w:val="000000" w:themeColor="text1"/>
                <w:sz w:val="24"/>
                <w:szCs w:val="24"/>
                <w:lang w:val="en-US"/>
                <w14:textFill>
                  <w14:solidFill>
                    <w14:schemeClr w14:val="tx1"/>
                  </w14:solidFill>
                </w14:textFill>
              </w:rPr>
              <w:t>～</w:t>
            </w:r>
            <w:r>
              <w:rPr>
                <w:rFonts w:hint="eastAsia" w:ascii="Times New Roman"/>
                <w:b w:val="0"/>
                <w:bCs w:val="0"/>
                <w:color w:val="000000" w:themeColor="text1"/>
                <w:sz w:val="24"/>
                <w:szCs w:val="24"/>
                <w:lang w:val="en-US"/>
                <w14:textFill>
                  <w14:solidFill>
                    <w14:schemeClr w14:val="tx1"/>
                  </w14:solidFill>
                </w14:textFill>
              </w:rPr>
              <w:t>105</w:t>
            </w:r>
            <w:r>
              <w:rPr>
                <w:rFonts w:ascii="Times New Roman"/>
                <w:b w:val="0"/>
                <w:bCs w:val="0"/>
                <w:color w:val="000000" w:themeColor="text1"/>
                <w:sz w:val="24"/>
                <w:szCs w:val="24"/>
                <w:lang w:val="en-US"/>
                <w14:textFill>
                  <w14:solidFill>
                    <w14:schemeClr w14:val="tx1"/>
                  </w14:solidFill>
                </w14:textFill>
              </w:rPr>
              <w:t>dB</w:t>
            </w:r>
            <w:r>
              <w:rPr>
                <w:rFonts w:hint="eastAsia" w:ascii="Times New Roman"/>
                <w:b w:val="0"/>
                <w:bCs w:val="0"/>
                <w:color w:val="000000" w:themeColor="text1"/>
                <w:sz w:val="24"/>
                <w:szCs w:val="24"/>
                <w:lang w:val="en-US"/>
                <w14:textFill>
                  <w14:solidFill>
                    <w14:schemeClr w14:val="tx1"/>
                  </w14:solidFill>
                </w14:textFill>
              </w:rPr>
              <w:t>（</w:t>
            </w:r>
            <w:r>
              <w:rPr>
                <w:rFonts w:ascii="Times New Roman"/>
                <w:b w:val="0"/>
                <w:bCs w:val="0"/>
                <w:color w:val="000000" w:themeColor="text1"/>
                <w:sz w:val="24"/>
                <w:szCs w:val="24"/>
                <w:lang w:val="en-US"/>
                <w14:textFill>
                  <w14:solidFill>
                    <w14:schemeClr w14:val="tx1"/>
                  </w14:solidFill>
                </w14:textFill>
              </w:rPr>
              <w:t>A</w:t>
            </w:r>
            <w:r>
              <w:rPr>
                <w:rFonts w:hint="eastAsia" w:ascii="Times New Roman"/>
                <w:b w:val="0"/>
                <w:bCs w:val="0"/>
                <w:color w:val="000000" w:themeColor="text1"/>
                <w:sz w:val="24"/>
                <w:szCs w:val="24"/>
                <w:lang w:val="en-US"/>
                <w14:textFill>
                  <w14:solidFill>
                    <w14:schemeClr w14:val="tx1"/>
                  </w14:solidFill>
                </w14:textFill>
              </w:rPr>
              <w:t>）</w:t>
            </w:r>
            <w:r>
              <w:rPr>
                <w:rFonts w:ascii="Times New Roman"/>
                <w:b w:val="0"/>
                <w:bCs w:val="0"/>
                <w:color w:val="000000" w:themeColor="text1"/>
                <w:sz w:val="24"/>
                <w:szCs w:val="24"/>
                <w:lang w:val="en-US"/>
                <w14:textFill>
                  <w14:solidFill>
                    <w14:schemeClr w14:val="tx1"/>
                  </w14:solidFill>
                </w14:textFill>
              </w:rPr>
              <w:t>之间，会对施工场地周边的居民住宅造成影响。</w:t>
            </w:r>
            <w:r>
              <w:rPr>
                <w:rFonts w:hint="eastAsia" w:ascii="Times New Roman"/>
                <w:b w:val="0"/>
                <w:bCs w:val="0"/>
                <w:color w:val="000000" w:themeColor="text1"/>
                <w:sz w:val="24"/>
                <w:szCs w:val="24"/>
                <w:lang w:val="en-US"/>
                <w14:textFill>
                  <w14:solidFill>
                    <w14:schemeClr w14:val="tx1"/>
                  </w14:solidFill>
                </w14:textFill>
              </w:rPr>
              <w:t>为了将噪声对周围噪声敏感点的影响降到最低，应选用低噪声施工设备；采用局部吸声、隔声降噪技术；加强管理，特别是在晚上24:00至次日8:00时，禁止使用强噪声设备等。</w:t>
            </w:r>
            <w:r>
              <w:rPr>
                <w:rFonts w:hint="eastAsia" w:ascii="Times New Roman"/>
                <w:b w:val="0"/>
                <w:bCs w:val="0"/>
                <w:snapToGrid w:val="0"/>
                <w:color w:val="000000" w:themeColor="text1"/>
                <w:kern w:val="0"/>
                <w:sz w:val="24"/>
                <w:szCs w:val="24"/>
                <w:lang w:val="en-US"/>
                <w14:textFill>
                  <w14:solidFill>
                    <w14:schemeClr w14:val="tx1"/>
                  </w14:solidFill>
                </w14:textFill>
              </w:rPr>
              <w:t>通过系列措施后，施工期对声环境影响较小。</w:t>
            </w:r>
          </w:p>
          <w:p>
            <w:pPr>
              <w:pStyle w:val="12"/>
              <w:spacing w:line="520" w:lineRule="exact"/>
              <w:ind w:firstLine="480" w:firstLineChars="200"/>
              <w:rPr>
                <w:rFonts w:ascii="Times New Roman"/>
                <w:b w:val="0"/>
                <w:bCs w:val="0"/>
                <w:color w:val="000000" w:themeColor="text1"/>
                <w:sz w:val="24"/>
                <w:szCs w:val="24"/>
                <w:lang w:val="en-US"/>
                <w14:textFill>
                  <w14:solidFill>
                    <w14:schemeClr w14:val="tx1"/>
                  </w14:solidFill>
                </w14:textFill>
              </w:rPr>
            </w:pPr>
            <w:r>
              <w:rPr>
                <w:rFonts w:hint="eastAsia" w:ascii="Times New Roman"/>
                <w:b w:val="0"/>
                <w:bCs w:val="0"/>
                <w:color w:val="000000" w:themeColor="text1"/>
                <w:sz w:val="24"/>
                <w:szCs w:val="24"/>
                <w:lang w:val="en-US"/>
                <w14:textFill>
                  <w14:solidFill>
                    <w14:schemeClr w14:val="tx1"/>
                  </w14:solidFill>
                </w14:textFill>
              </w:rPr>
              <w:t>（4）施工期产生的弃土可用于填埋场周边绿化、土地平整和填埋场覆土；在施工过程产生的施工废料等建筑垃圾和施工人员生活垃圾，通过集中收集后直接在填埋场进行填埋处理。施工期各项固体得到妥善处理，对环境影响较小。</w:t>
            </w:r>
          </w:p>
          <w:p>
            <w:pPr>
              <w:pStyle w:val="12"/>
              <w:spacing w:line="520" w:lineRule="exact"/>
              <w:ind w:firstLine="480" w:firstLineChars="200"/>
              <w:rPr>
                <w:rFonts w:ascii="Times New Roman" w:cs="宋体"/>
                <w:b w:val="0"/>
                <w:bCs w:val="0"/>
                <w:color w:val="000000" w:themeColor="text1"/>
                <w:sz w:val="24"/>
                <w:szCs w:val="24"/>
                <w:lang w:val="en-US"/>
                <w14:textFill>
                  <w14:solidFill>
                    <w14:schemeClr w14:val="tx1"/>
                  </w14:solidFill>
                </w14:textFill>
              </w:rPr>
            </w:pPr>
            <w:r>
              <w:rPr>
                <w:rFonts w:hint="eastAsia" w:ascii="Times New Roman"/>
                <w:b w:val="0"/>
                <w:bCs w:val="0"/>
                <w:color w:val="000000" w:themeColor="text1"/>
                <w:sz w:val="24"/>
                <w:szCs w:val="24"/>
                <w:lang w:val="en-US"/>
                <w14:textFill>
                  <w14:solidFill>
                    <w14:schemeClr w14:val="tx1"/>
                  </w14:solidFill>
                </w14:textFill>
              </w:rPr>
              <w:t>（5）本项目</w:t>
            </w:r>
            <w:r>
              <w:rPr>
                <w:rFonts w:ascii="Times New Roman"/>
                <w:b w:val="0"/>
                <w:bCs w:val="0"/>
                <w:color w:val="000000" w:themeColor="text1"/>
                <w:sz w:val="24"/>
                <w:szCs w:val="24"/>
                <w:lang w:val="en-US"/>
                <w14:textFill>
                  <w14:solidFill>
                    <w14:schemeClr w14:val="tx1"/>
                  </w14:solidFill>
                </w14:textFill>
              </w:rPr>
              <w:t>占地</w:t>
            </w:r>
            <w:r>
              <w:rPr>
                <w:rFonts w:hint="eastAsia" w:ascii="Times New Roman"/>
                <w:b w:val="0"/>
                <w:bCs w:val="0"/>
                <w:color w:val="000000" w:themeColor="text1"/>
                <w:sz w:val="24"/>
                <w:szCs w:val="24"/>
                <w:lang w:val="en-US"/>
                <w14:textFill>
                  <w14:solidFill>
                    <w14:schemeClr w14:val="tx1"/>
                  </w14:solidFill>
                </w14:textFill>
              </w:rPr>
              <w:t>约2650</w:t>
            </w:r>
            <w:r>
              <w:rPr>
                <w:rFonts w:ascii="Times New Roman"/>
                <w:b w:val="0"/>
                <w:bCs w:val="0"/>
                <w:color w:val="000000" w:themeColor="text1"/>
                <w:sz w:val="24"/>
                <w:szCs w:val="24"/>
                <w:lang w:val="en-US"/>
                <w14:textFill>
                  <w14:solidFill>
                    <w14:schemeClr w14:val="tx1"/>
                  </w14:solidFill>
                </w14:textFill>
              </w:rPr>
              <w:t>m</w:t>
            </w:r>
            <w:r>
              <w:rPr>
                <w:rFonts w:ascii="Times New Roman"/>
                <w:b w:val="0"/>
                <w:bCs w:val="0"/>
                <w:color w:val="000000" w:themeColor="text1"/>
                <w:sz w:val="24"/>
                <w:szCs w:val="24"/>
                <w:vertAlign w:val="superscript"/>
                <w:lang w:val="en-US"/>
                <w14:textFill>
                  <w14:solidFill>
                    <w14:schemeClr w14:val="tx1"/>
                  </w14:solidFill>
                </w14:textFill>
              </w:rPr>
              <w:t>2</w:t>
            </w:r>
            <w:r>
              <w:rPr>
                <w:rFonts w:ascii="Times New Roman"/>
                <w:b w:val="0"/>
                <w:bCs w:val="0"/>
                <w:color w:val="000000" w:themeColor="text1"/>
                <w:sz w:val="24"/>
                <w:szCs w:val="24"/>
                <w:lang w:val="en-US"/>
                <w14:textFill>
                  <w14:solidFill>
                    <w14:schemeClr w14:val="tx1"/>
                  </w14:solidFill>
                </w14:textFill>
              </w:rPr>
              <w:t>，</w:t>
            </w:r>
            <w:r>
              <w:rPr>
                <w:rFonts w:hint="eastAsia" w:ascii="Times New Roman"/>
                <w:b w:val="0"/>
                <w:bCs w:val="0"/>
                <w:color w:val="000000" w:themeColor="text1"/>
                <w:sz w:val="24"/>
                <w:szCs w:val="24"/>
                <w:lang w:val="en-US"/>
                <w14:textFill>
                  <w14:solidFill>
                    <w14:schemeClr w14:val="tx1"/>
                  </w14:solidFill>
                </w14:textFill>
              </w:rPr>
              <w:t>项目施工活动使得部分地表植被清除，构筑物增加使土地的硬化度加大，减少了生物量，降低生态质量，对生态环境有一定的影响；施工期间在场地开挖、场地平整，管沟砌筑与回填、材料的堆放等，若处理不当会产生水土流失。在施工过程中，</w:t>
            </w:r>
            <w:r>
              <w:rPr>
                <w:rFonts w:hint="eastAsia" w:ascii="Times New Roman" w:cs="宋体"/>
                <w:b w:val="0"/>
                <w:bCs w:val="0"/>
                <w:color w:val="000000" w:themeColor="text1"/>
                <w:sz w:val="24"/>
                <w:szCs w:val="24"/>
                <w:lang w:val="en-US"/>
                <w14:textFill>
                  <w14:solidFill>
                    <w14:schemeClr w14:val="tx1"/>
                  </w14:solidFill>
                </w14:textFill>
              </w:rPr>
              <w:t>破坏的植被在工程竣工后应尽快恢复，并严格控制临时占地；在开挖地表土壤时，尽可能将表土堆在一旁，施工完毕，应尽快整理施工现场，将表土覆盖原地表，以恢复植被；弃土堆放点应采取防护措施，尽量避免在降雨期间挖填土方，以防雨水冲刷造成水土流失；合理安排施工作业时间，避开雨季施工作业。</w:t>
            </w:r>
            <w:r>
              <w:rPr>
                <w:rFonts w:hint="eastAsia" w:ascii="Times New Roman"/>
                <w:b w:val="0"/>
                <w:bCs w:val="0"/>
                <w:snapToGrid w:val="0"/>
                <w:color w:val="000000" w:themeColor="text1"/>
                <w:kern w:val="0"/>
                <w:sz w:val="24"/>
                <w:szCs w:val="24"/>
                <w:lang w:val="en-US"/>
                <w14:textFill>
                  <w14:solidFill>
                    <w14:schemeClr w14:val="tx1"/>
                  </w14:solidFill>
                </w14:textFill>
              </w:rPr>
              <w:t>通过系列措施后，施工期对生态环境影响较小。</w:t>
            </w:r>
          </w:p>
          <w:p>
            <w:pPr>
              <w:spacing w:before="156" w:beforeLines="50" w:after="156" w:afterLines="50" w:line="500" w:lineRule="exact"/>
              <w:ind w:firstLine="482" w:firstLineChars="200"/>
              <w:rPr>
                <w:rFonts w:eastAsia="宋体"/>
                <w:b/>
                <w:color w:val="000000" w:themeColor="text1"/>
                <w:sz w:val="24"/>
                <w14:textFill>
                  <w14:solidFill>
                    <w14:schemeClr w14:val="tx1"/>
                  </w14:solidFill>
                </w14:textFill>
              </w:rPr>
            </w:pPr>
            <w:r>
              <w:rPr>
                <w:rFonts w:hint="eastAsia" w:eastAsia="宋体"/>
                <w:b/>
                <w:color w:val="000000" w:themeColor="text1"/>
                <w:sz w:val="24"/>
                <w14:textFill>
                  <w14:solidFill>
                    <w14:schemeClr w14:val="tx1"/>
                  </w14:solidFill>
                </w14:textFill>
              </w:rPr>
              <w:t>5、运行期环境影响分析</w:t>
            </w:r>
          </w:p>
          <w:p>
            <w:pPr>
              <w:pStyle w:val="2"/>
              <w:spacing w:line="520" w:lineRule="exact"/>
              <w:ind w:firstLine="480" w:firstLineChars="200"/>
              <w:jc w:val="both"/>
              <w:rPr>
                <w:rFonts w:eastAsia="宋体"/>
                <w:snapToGrid/>
                <w:color w:val="000000" w:themeColor="text1"/>
                <w:kern w:val="2"/>
                <w:sz w:val="24"/>
                <w:szCs w:val="24"/>
                <w:lang w:val="en-US"/>
                <w14:textFill>
                  <w14:solidFill>
                    <w14:schemeClr w14:val="tx1"/>
                  </w14:solidFill>
                </w14:textFill>
              </w:rPr>
            </w:pPr>
            <w:r>
              <w:rPr>
                <w:rFonts w:eastAsia="宋体"/>
                <w:snapToGrid/>
                <w:color w:val="000000" w:themeColor="text1"/>
                <w:kern w:val="2"/>
                <w:sz w:val="24"/>
                <w:szCs w:val="24"/>
                <w:lang w:val="en-US"/>
                <w14:textFill>
                  <w14:solidFill>
                    <w14:schemeClr w14:val="tx1"/>
                  </w14:solidFill>
                </w14:textFill>
              </w:rPr>
              <w:t>（1）</w:t>
            </w:r>
            <w:r>
              <w:rPr>
                <w:rFonts w:hint="eastAsia" w:eastAsia="宋体"/>
                <w:snapToGrid/>
                <w:color w:val="000000" w:themeColor="text1"/>
                <w:kern w:val="2"/>
                <w:sz w:val="24"/>
                <w:szCs w:val="24"/>
                <w:lang w:val="en-US"/>
                <w14:textFill>
                  <w14:solidFill>
                    <w14:schemeClr w14:val="tx1"/>
                  </w14:solidFill>
                </w14:textFill>
              </w:rPr>
              <w:t>大气环境</w:t>
            </w:r>
          </w:p>
          <w:p>
            <w:pPr>
              <w:pStyle w:val="95"/>
              <w:spacing w:line="560" w:lineRule="exact"/>
              <w:rPr>
                <w:rFonts w:hAnsi="Times New Roman"/>
                <w:color w:val="000000" w:themeColor="text1"/>
                <w:lang w:val="en-US"/>
                <w14:textFill>
                  <w14:solidFill>
                    <w14:schemeClr w14:val="tx1"/>
                  </w14:solidFill>
                </w14:textFill>
              </w:rPr>
            </w:pPr>
            <w:r>
              <w:rPr>
                <w:rFonts w:hint="eastAsia" w:hAnsi="Times New Roman"/>
                <w:color w:val="000000" w:themeColor="text1"/>
                <w:lang w:val="en-US"/>
                <w14:textFill>
                  <w14:solidFill>
                    <w14:schemeClr w14:val="tx1"/>
                  </w14:solidFill>
                </w14:textFill>
              </w:rPr>
              <w:t>本项目运营期</w:t>
            </w:r>
            <w:r>
              <w:rPr>
                <w:rFonts w:hAnsi="Times New Roman"/>
                <w:color w:val="000000" w:themeColor="text1"/>
                <w:lang w:val="en-US"/>
                <w14:textFill>
                  <w14:solidFill>
                    <w14:schemeClr w14:val="tx1"/>
                  </w14:solidFill>
                </w14:textFill>
              </w:rPr>
              <w:t>NH</w:t>
            </w:r>
            <w:r>
              <w:rPr>
                <w:rFonts w:hAnsi="Times New Roman"/>
                <w:color w:val="000000" w:themeColor="text1"/>
                <w:vertAlign w:val="subscript"/>
                <w:lang w:val="en-US"/>
                <w14:textFill>
                  <w14:solidFill>
                    <w14:schemeClr w14:val="tx1"/>
                  </w14:solidFill>
                </w14:textFill>
              </w:rPr>
              <w:t>3</w:t>
            </w:r>
            <w:r>
              <w:rPr>
                <w:rFonts w:hint="eastAsia" w:hAnsi="Times New Roman"/>
                <w:color w:val="000000" w:themeColor="text1"/>
                <w:lang w:val="en-US"/>
                <w14:textFill>
                  <w14:solidFill>
                    <w14:schemeClr w14:val="tx1"/>
                  </w14:solidFill>
                </w14:textFill>
              </w:rPr>
              <w:t>产生</w:t>
            </w:r>
            <w:r>
              <w:rPr>
                <w:rFonts w:hAnsi="Times New Roman"/>
                <w:color w:val="000000" w:themeColor="text1"/>
                <w:lang w:val="en-US"/>
                <w14:textFill>
                  <w14:solidFill>
                    <w14:schemeClr w14:val="tx1"/>
                  </w14:solidFill>
                </w14:textFill>
              </w:rPr>
              <w:t>量为</w:t>
            </w:r>
            <w:r>
              <w:rPr>
                <w:rFonts w:hint="eastAsia" w:hAnsi="Times New Roman"/>
                <w:color w:val="000000" w:themeColor="text1"/>
                <w:lang w:val="en-US"/>
                <w14:textFill>
                  <w14:solidFill>
                    <w14:schemeClr w14:val="tx1"/>
                  </w14:solidFill>
                </w14:textFill>
              </w:rPr>
              <w:t>0.</w:t>
            </w:r>
            <w:r>
              <w:rPr>
                <w:rFonts w:hint="eastAsia" w:hAnsi="Times New Roman"/>
                <w:color w:val="000000" w:themeColor="text1"/>
                <w:lang w:val="en-US" w:eastAsia="zh-CN"/>
                <w14:textFill>
                  <w14:solidFill>
                    <w14:schemeClr w14:val="tx1"/>
                  </w14:solidFill>
                </w14:textFill>
              </w:rPr>
              <w:t>0399</w:t>
            </w:r>
            <w:r>
              <w:rPr>
                <w:rFonts w:hAnsi="Times New Roman"/>
                <w:color w:val="000000" w:themeColor="text1"/>
                <w:lang w:val="en-US"/>
                <w14:textFill>
                  <w14:solidFill>
                    <w14:schemeClr w14:val="tx1"/>
                  </w14:solidFill>
                </w14:textFill>
              </w:rPr>
              <w:t>t/a，H</w:t>
            </w:r>
            <w:r>
              <w:rPr>
                <w:rFonts w:hAnsi="Times New Roman"/>
                <w:color w:val="000000" w:themeColor="text1"/>
                <w:vertAlign w:val="subscript"/>
                <w:lang w:val="en-US"/>
                <w14:textFill>
                  <w14:solidFill>
                    <w14:schemeClr w14:val="tx1"/>
                  </w14:solidFill>
                </w14:textFill>
              </w:rPr>
              <w:t>2</w:t>
            </w:r>
            <w:r>
              <w:rPr>
                <w:rFonts w:hAnsi="Times New Roman"/>
                <w:color w:val="000000" w:themeColor="text1"/>
                <w:lang w:val="en-US"/>
                <w14:textFill>
                  <w14:solidFill>
                    <w14:schemeClr w14:val="tx1"/>
                  </w14:solidFill>
                </w14:textFill>
              </w:rPr>
              <w:t>S</w:t>
            </w:r>
            <w:r>
              <w:rPr>
                <w:rFonts w:hint="eastAsia" w:hAnsi="Times New Roman"/>
                <w:color w:val="000000" w:themeColor="text1"/>
                <w:lang w:val="en-US"/>
                <w14:textFill>
                  <w14:solidFill>
                    <w14:schemeClr w14:val="tx1"/>
                  </w14:solidFill>
                </w14:textFill>
              </w:rPr>
              <w:t>产生</w:t>
            </w:r>
            <w:r>
              <w:rPr>
                <w:rFonts w:hAnsi="Times New Roman"/>
                <w:color w:val="000000" w:themeColor="text1"/>
                <w:lang w:val="en-US"/>
                <w14:textFill>
                  <w14:solidFill>
                    <w14:schemeClr w14:val="tx1"/>
                  </w14:solidFill>
                </w14:textFill>
              </w:rPr>
              <w:t>量为0.01</w:t>
            </w:r>
            <w:r>
              <w:rPr>
                <w:rFonts w:hint="eastAsia" w:hAnsi="Times New Roman"/>
                <w:color w:val="000000" w:themeColor="text1"/>
                <w:lang w:val="en-US" w:eastAsia="zh-CN"/>
                <w14:textFill>
                  <w14:solidFill>
                    <w14:schemeClr w14:val="tx1"/>
                  </w14:solidFill>
                </w14:textFill>
              </w:rPr>
              <w:t>54</w:t>
            </w:r>
            <w:r>
              <w:rPr>
                <w:rFonts w:hAnsi="Times New Roman"/>
                <w:color w:val="000000" w:themeColor="text1"/>
                <w:lang w:val="en-US"/>
                <w14:textFill>
                  <w14:solidFill>
                    <w14:schemeClr w14:val="tx1"/>
                  </w14:solidFill>
                </w14:textFill>
              </w:rPr>
              <w:t>t/a。</w:t>
            </w:r>
            <w:r>
              <w:rPr>
                <w:rFonts w:hint="eastAsia" w:hAnsi="Times New Roman"/>
                <w:color w:val="000000" w:themeColor="text1"/>
                <w:szCs w:val="24"/>
                <w:lang w:val="en-US"/>
                <w14:textFill>
                  <w14:solidFill>
                    <w14:schemeClr w14:val="tx1"/>
                  </w14:solidFill>
                </w14:textFill>
              </w:rPr>
              <w:t>本环评要求对收集池、调节池、MBR综合池和污泥池等产生恶臭气体的构筑物采用全封闭处理，采用离子除臭器法去除臭气，再通过15m排气筒达标排放。</w:t>
            </w:r>
            <w:r>
              <w:rPr>
                <w:rFonts w:hAnsi="Times New Roman"/>
                <w:color w:val="000000" w:themeColor="text1"/>
                <w:lang w:val="en-US"/>
                <w14:textFill>
                  <w14:solidFill>
                    <w14:schemeClr w14:val="tx1"/>
                  </w14:solidFill>
                </w14:textFill>
              </w:rPr>
              <w:t>NH</w:t>
            </w:r>
            <w:r>
              <w:rPr>
                <w:rFonts w:hAnsi="Times New Roman"/>
                <w:color w:val="000000" w:themeColor="text1"/>
                <w:vertAlign w:val="subscript"/>
                <w:lang w:val="en-US"/>
                <w14:textFill>
                  <w14:solidFill>
                    <w14:schemeClr w14:val="tx1"/>
                  </w14:solidFill>
                </w14:textFill>
              </w:rPr>
              <w:t>3</w:t>
            </w:r>
            <w:r>
              <w:rPr>
                <w:rFonts w:hint="eastAsia" w:hAnsi="Times New Roman"/>
                <w:color w:val="000000" w:themeColor="text1"/>
                <w:lang w:val="en-US"/>
                <w14:textFill>
                  <w14:solidFill>
                    <w14:schemeClr w14:val="tx1"/>
                  </w14:solidFill>
                </w14:textFill>
              </w:rPr>
              <w:t>有组织排放量为</w:t>
            </w:r>
            <w:r>
              <w:rPr>
                <w:rFonts w:hAnsi="Times New Roman"/>
                <w:color w:val="000000" w:themeColor="text1"/>
                <w:lang w:val="en-US"/>
                <w14:textFill>
                  <w14:solidFill>
                    <w14:schemeClr w14:val="tx1"/>
                  </w14:solidFill>
                </w14:textFill>
              </w:rPr>
              <w:t>0.0</w:t>
            </w:r>
            <w:r>
              <w:rPr>
                <w:rFonts w:hint="eastAsia" w:hAnsi="Times New Roman"/>
                <w:color w:val="000000" w:themeColor="text1"/>
                <w:lang w:val="en-US" w:eastAsia="zh-CN"/>
                <w14:textFill>
                  <w14:solidFill>
                    <w14:schemeClr w14:val="tx1"/>
                  </w14:solidFill>
                </w14:textFill>
              </w:rPr>
              <w:t>072</w:t>
            </w:r>
            <w:r>
              <w:rPr>
                <w:rFonts w:hint="eastAsia" w:hAnsi="Times New Roman"/>
                <w:color w:val="000000" w:themeColor="text1"/>
                <w:lang w:val="en-US"/>
                <w14:textFill>
                  <w14:solidFill>
                    <w14:schemeClr w14:val="tx1"/>
                  </w14:solidFill>
                </w14:textFill>
              </w:rPr>
              <w:t>t/a，无组织</w:t>
            </w:r>
            <w:r>
              <w:rPr>
                <w:rFonts w:hAnsi="Times New Roman"/>
                <w:color w:val="000000" w:themeColor="text1"/>
                <w:lang w:val="en-US"/>
                <w14:textFill>
                  <w14:solidFill>
                    <w14:schemeClr w14:val="tx1"/>
                  </w14:solidFill>
                </w14:textFill>
              </w:rPr>
              <w:t>0.</w:t>
            </w:r>
            <w:r>
              <w:rPr>
                <w:rFonts w:hint="eastAsia" w:hAnsi="Times New Roman"/>
                <w:color w:val="000000" w:themeColor="text1"/>
                <w:lang w:val="en-US" w:eastAsia="zh-CN"/>
                <w14:textFill>
                  <w14:solidFill>
                    <w14:schemeClr w14:val="tx1"/>
                  </w14:solidFill>
                </w14:textFill>
              </w:rPr>
              <w:t>0040</w:t>
            </w:r>
            <w:r>
              <w:rPr>
                <w:rFonts w:hint="eastAsia" w:hAnsi="Times New Roman"/>
                <w:color w:val="000000" w:themeColor="text1"/>
                <w:lang w:val="en-US"/>
                <w14:textFill>
                  <w14:solidFill>
                    <w14:schemeClr w14:val="tx1"/>
                  </w14:solidFill>
                </w14:textFill>
              </w:rPr>
              <w:t>t/a；</w:t>
            </w:r>
            <w:r>
              <w:rPr>
                <w:rFonts w:hAnsi="Times New Roman"/>
                <w:color w:val="000000" w:themeColor="text1"/>
                <w:lang w:val="en-US"/>
                <w14:textFill>
                  <w14:solidFill>
                    <w14:schemeClr w14:val="tx1"/>
                  </w14:solidFill>
                </w14:textFill>
              </w:rPr>
              <w:t>H</w:t>
            </w:r>
            <w:r>
              <w:rPr>
                <w:rFonts w:hAnsi="Times New Roman"/>
                <w:color w:val="000000" w:themeColor="text1"/>
                <w:vertAlign w:val="subscript"/>
                <w:lang w:val="en-US"/>
                <w14:textFill>
                  <w14:solidFill>
                    <w14:schemeClr w14:val="tx1"/>
                  </w14:solidFill>
                </w14:textFill>
              </w:rPr>
              <w:t>2</w:t>
            </w:r>
            <w:r>
              <w:rPr>
                <w:rFonts w:hAnsi="Times New Roman"/>
                <w:color w:val="000000" w:themeColor="text1"/>
                <w:lang w:val="en-US"/>
                <w14:textFill>
                  <w14:solidFill>
                    <w14:schemeClr w14:val="tx1"/>
                  </w14:solidFill>
                </w14:textFill>
              </w:rPr>
              <w:t>S</w:t>
            </w:r>
            <w:r>
              <w:rPr>
                <w:rFonts w:hint="eastAsia" w:hAnsi="Times New Roman"/>
                <w:color w:val="000000" w:themeColor="text1"/>
                <w:lang w:val="en-US"/>
                <w14:textFill>
                  <w14:solidFill>
                    <w14:schemeClr w14:val="tx1"/>
                  </w14:solidFill>
                </w14:textFill>
              </w:rPr>
              <w:t>有组织排放量为</w:t>
            </w:r>
            <w:r>
              <w:rPr>
                <w:rFonts w:hAnsi="Times New Roman"/>
                <w:color w:val="000000" w:themeColor="text1"/>
                <w:lang w:val="en-US"/>
                <w14:textFill>
                  <w14:solidFill>
                    <w14:schemeClr w14:val="tx1"/>
                  </w14:solidFill>
                </w14:textFill>
              </w:rPr>
              <w:t>0.00</w:t>
            </w:r>
            <w:r>
              <w:rPr>
                <w:rFonts w:hint="eastAsia" w:hAnsi="Times New Roman"/>
                <w:color w:val="000000" w:themeColor="text1"/>
                <w:lang w:val="en-US" w:eastAsia="zh-CN"/>
                <w14:textFill>
                  <w14:solidFill>
                    <w14:schemeClr w14:val="tx1"/>
                  </w14:solidFill>
                </w14:textFill>
              </w:rPr>
              <w:t>28</w:t>
            </w:r>
            <w:r>
              <w:rPr>
                <w:rFonts w:hint="eastAsia" w:hAnsi="Times New Roman"/>
                <w:color w:val="000000" w:themeColor="text1"/>
                <w:lang w:val="en-US"/>
                <w14:textFill>
                  <w14:solidFill>
                    <w14:schemeClr w14:val="tx1"/>
                  </w14:solidFill>
                </w14:textFill>
              </w:rPr>
              <w:t>t/a，</w:t>
            </w:r>
            <w:r>
              <w:rPr>
                <w:rFonts w:hAnsi="Times New Roman"/>
                <w:color w:val="000000" w:themeColor="text1"/>
                <w:lang w:val="en-US"/>
                <w14:textFill>
                  <w14:solidFill>
                    <w14:schemeClr w14:val="tx1"/>
                  </w14:solidFill>
                </w14:textFill>
              </w:rPr>
              <w:t>无组织0.001</w:t>
            </w:r>
            <w:r>
              <w:rPr>
                <w:rFonts w:hint="eastAsia" w:hAnsi="Times New Roman"/>
                <w:color w:val="000000" w:themeColor="text1"/>
                <w:lang w:val="en-US" w:eastAsia="zh-CN"/>
                <w14:textFill>
                  <w14:solidFill>
                    <w14:schemeClr w14:val="tx1"/>
                  </w14:solidFill>
                </w14:textFill>
              </w:rPr>
              <w:t>5</w:t>
            </w:r>
            <w:r>
              <w:rPr>
                <w:rFonts w:hint="eastAsia" w:hAnsi="Times New Roman"/>
                <w:color w:val="000000" w:themeColor="text1"/>
                <w:lang w:val="en-US"/>
                <w14:textFill>
                  <w14:solidFill>
                    <w14:schemeClr w14:val="tx1"/>
                  </w14:solidFill>
                </w14:textFill>
              </w:rPr>
              <w:t>t/a。</w:t>
            </w:r>
          </w:p>
          <w:p>
            <w:pPr>
              <w:snapToGrid w:val="0"/>
              <w:spacing w:line="560" w:lineRule="exact"/>
              <w:ind w:firstLine="456" w:firstLineChars="200"/>
              <w:rPr>
                <w:rFonts w:eastAsia="宋体"/>
                <w:color w:val="000000" w:themeColor="text1"/>
                <w:sz w:val="24"/>
                <w:szCs w:val="24"/>
                <w14:textFill>
                  <w14:solidFill>
                    <w14:schemeClr w14:val="tx1"/>
                  </w14:solidFill>
                </w14:textFill>
              </w:rPr>
            </w:pPr>
            <w:r>
              <w:rPr>
                <w:rFonts w:hint="eastAsia" w:eastAsia="宋体"/>
                <w:color w:val="000000" w:themeColor="text1"/>
                <w:spacing w:val="-6"/>
                <w:sz w:val="24"/>
                <w14:textFill>
                  <w14:solidFill>
                    <w14:schemeClr w14:val="tx1"/>
                  </w14:solidFill>
                </w14:textFill>
              </w:rPr>
              <w:t>根据《关于玛纳斯县城生活垃圾处理工程环境影响报告书的批复》（见附件）可知，该垃圾填埋场须设置500m卫生防护距离，故本环评要求本项目卫生防护距离应不少于500m，在防护距离范围内不得规划建设居民区、学校、医院等大气环境敏感目标。经现场踏勘，项目区周围500m内均是空地和其他公企业，无居民住宅区，对</w:t>
            </w:r>
            <w:r>
              <w:rPr>
                <w:rFonts w:hint="eastAsia" w:eastAsia="宋体"/>
                <w:color w:val="000000" w:themeColor="text1"/>
                <w:sz w:val="24"/>
                <w:szCs w:val="24"/>
                <w14:textFill>
                  <w14:solidFill>
                    <w14:schemeClr w14:val="tx1"/>
                  </w14:solidFill>
                </w14:textFill>
              </w:rPr>
              <w:t>距离本项目最近的环境敏感点为西侧500m的</w:t>
            </w:r>
            <w:r>
              <w:rPr>
                <w:rFonts w:hint="eastAsia" w:eastAsia="宋体"/>
                <w:color w:val="000000" w:themeColor="text1"/>
                <w:sz w:val="24"/>
                <w14:textFill>
                  <w14:solidFill>
                    <w14:schemeClr w14:val="tx1"/>
                  </w14:solidFill>
                </w14:textFill>
              </w:rPr>
              <w:t>兰州湾镇（属于项目区上风向）</w:t>
            </w:r>
            <w:r>
              <w:rPr>
                <w:rFonts w:hint="eastAsia" w:eastAsia="宋体"/>
                <w:color w:val="000000" w:themeColor="text1"/>
                <w:sz w:val="24"/>
                <w:szCs w:val="24"/>
                <w14:textFill>
                  <w14:solidFill>
                    <w14:schemeClr w14:val="tx1"/>
                  </w14:solidFill>
                </w14:textFill>
              </w:rPr>
              <w:t>影响较小，卫生防护距离设置较为合理</w:t>
            </w:r>
            <w:r>
              <w:rPr>
                <w:rFonts w:hint="eastAsia" w:eastAsia="宋体"/>
                <w:color w:val="000000" w:themeColor="text1"/>
                <w:spacing w:val="-6"/>
                <w:sz w:val="24"/>
                <w14:textFill>
                  <w14:solidFill>
                    <w14:schemeClr w14:val="tx1"/>
                  </w14:solidFill>
                </w14:textFill>
              </w:rPr>
              <w:t>。</w:t>
            </w:r>
          </w:p>
          <w:p>
            <w:pPr>
              <w:snapToGrid w:val="0"/>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本项目恶臭防治措施主要有：</w:t>
            </w:r>
            <w:r>
              <w:rPr>
                <w:rFonts w:eastAsia="宋体"/>
                <w:color w:val="000000" w:themeColor="text1"/>
                <w:sz w:val="24"/>
                <w:szCs w:val="24"/>
                <w14:textFill>
                  <w14:solidFill>
                    <w14:schemeClr w14:val="tx1"/>
                  </w14:solidFill>
                </w14:textFill>
              </w:rPr>
              <w:t>对于</w:t>
            </w:r>
            <w:r>
              <w:rPr>
                <w:rFonts w:hint="eastAsia" w:eastAsia="宋体"/>
                <w:color w:val="000000" w:themeColor="text1"/>
                <w:sz w:val="24"/>
                <w:szCs w:val="24"/>
                <w14:textFill>
                  <w14:solidFill>
                    <w14:schemeClr w14:val="tx1"/>
                  </w14:solidFill>
                </w14:textFill>
              </w:rPr>
              <w:t>收集池、调节池、MBR综合池和污泥池等产生恶臭气体的构筑物</w:t>
            </w:r>
            <w:r>
              <w:rPr>
                <w:rFonts w:eastAsia="宋体"/>
                <w:color w:val="000000" w:themeColor="text1"/>
                <w:sz w:val="24"/>
                <w:szCs w:val="24"/>
                <w14:textFill>
                  <w14:solidFill>
                    <w14:schemeClr w14:val="tx1"/>
                  </w14:solidFill>
                </w14:textFill>
              </w:rPr>
              <w:t>加盖密封</w:t>
            </w:r>
            <w:r>
              <w:rPr>
                <w:rFonts w:hint="eastAsia" w:eastAsia="宋体"/>
                <w:color w:val="000000" w:themeColor="text1"/>
                <w:sz w:val="24"/>
                <w:szCs w:val="24"/>
                <w14:textFill>
                  <w14:solidFill>
                    <w14:schemeClr w14:val="tx1"/>
                  </w14:solidFill>
                </w14:textFill>
              </w:rPr>
              <w:t>，采用离子除臭法去除臭气，再通过</w:t>
            </w:r>
            <w:r>
              <w:rPr>
                <w:rFonts w:eastAsia="宋体"/>
                <w:color w:val="000000" w:themeColor="text1"/>
                <w:sz w:val="24"/>
                <w:szCs w:val="24"/>
                <w14:textFill>
                  <w14:solidFill>
                    <w14:schemeClr w14:val="tx1"/>
                  </w14:solidFill>
                </w14:textFill>
              </w:rPr>
              <w:t>加强厂区绿化，多种植具有吸味作用的植物</w:t>
            </w:r>
            <w:r>
              <w:rPr>
                <w:rFonts w:hint="eastAsia" w:eastAsia="宋体"/>
                <w:color w:val="000000" w:themeColor="text1"/>
                <w:sz w:val="24"/>
                <w:szCs w:val="24"/>
                <w14:textFill>
                  <w14:solidFill>
                    <w14:schemeClr w14:val="tx1"/>
                  </w14:solidFill>
                </w14:textFill>
              </w:rPr>
              <w:t>，降低臭气对环境的影响</w:t>
            </w:r>
            <w:r>
              <w:rPr>
                <w:rFonts w:eastAsia="宋体"/>
                <w:color w:val="000000" w:themeColor="text1"/>
                <w:sz w:val="24"/>
                <w:szCs w:val="24"/>
                <w14:textFill>
                  <w14:solidFill>
                    <w14:schemeClr w14:val="tx1"/>
                  </w14:solidFill>
                </w14:textFill>
              </w:rPr>
              <w:t>。</w:t>
            </w:r>
          </w:p>
          <w:p>
            <w:pPr>
              <w:pStyle w:val="15"/>
              <w:numPr>
                <w:ilvl w:val="0"/>
                <w:numId w:val="9"/>
              </w:numPr>
              <w:spacing w:line="560" w:lineRule="exact"/>
              <w:ind w:firstLine="480" w:firstLineChars="20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水环境</w:t>
            </w:r>
          </w:p>
          <w:p>
            <w:pPr>
              <w:snapToGrid w:val="0"/>
              <w:spacing w:line="560" w:lineRule="exact"/>
              <w:ind w:firstLine="480" w:firstLineChars="200"/>
              <w:rPr>
                <w:rFonts w:eastAsia="宋体"/>
                <w:color w:val="000000" w:themeColor="text1"/>
                <w:kern w:val="0"/>
                <w:sz w:val="24"/>
                <w:szCs w:val="24"/>
                <w14:textFill>
                  <w14:solidFill>
                    <w14:schemeClr w14:val="tx1"/>
                  </w14:solidFill>
                </w14:textFill>
              </w:rPr>
            </w:pPr>
            <w:r>
              <w:rPr>
                <w:rFonts w:eastAsia="宋体"/>
                <w:color w:val="000000" w:themeColor="text1"/>
                <w:kern w:val="0"/>
                <w:sz w:val="24"/>
                <w:szCs w:val="24"/>
                <w14:textFill>
                  <w14:solidFill>
                    <w14:schemeClr w14:val="tx1"/>
                  </w14:solidFill>
                </w14:textFill>
              </w:rPr>
              <w:t>本项目废水主要是垃圾渗滤液和工作人员生活污水，全部进入拟建的渗滤液处理</w:t>
            </w:r>
            <w:r>
              <w:rPr>
                <w:rFonts w:hint="eastAsia" w:eastAsia="宋体"/>
                <w:color w:val="000000" w:themeColor="text1"/>
                <w:kern w:val="0"/>
                <w:sz w:val="24"/>
                <w:szCs w:val="24"/>
                <w14:textFill>
                  <w14:solidFill>
                    <w14:schemeClr w14:val="tx1"/>
                  </w14:solidFill>
                </w14:textFill>
              </w:rPr>
              <w:t>厂</w:t>
            </w:r>
            <w:r>
              <w:rPr>
                <w:rFonts w:eastAsia="宋体"/>
                <w:color w:val="000000" w:themeColor="text1"/>
                <w:kern w:val="0"/>
                <w:sz w:val="24"/>
                <w:szCs w:val="24"/>
                <w14:textFill>
                  <w14:solidFill>
                    <w14:schemeClr w14:val="tx1"/>
                  </w14:solidFill>
                </w14:textFill>
              </w:rPr>
              <w:t>处理，处理达到《生活垃圾填埋场污染控制标准》（GB16889-2008）中表2</w:t>
            </w:r>
            <w:r>
              <w:rPr>
                <w:rFonts w:hint="eastAsia" w:eastAsia="宋体"/>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 xml:space="preserve">同时，该尾水能够满足《城市污水再生利用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绿地灌溉</w:t>
            </w:r>
            <w:r>
              <w:rPr>
                <w:rFonts w:hint="default" w:ascii="Times New Roman" w:hAnsi="Times New Roman" w:eastAsia="宋体" w:cs="Times New Roman"/>
                <w:color w:val="000000" w:themeColor="text1"/>
                <w:sz w:val="24"/>
                <w:szCs w:val="24"/>
                <w14:textFill>
                  <w14:solidFill>
                    <w14:schemeClr w14:val="tx1"/>
                  </w14:solidFill>
                </w14:textFill>
              </w:rPr>
              <w:t>水质》（GB2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5499</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）中浓度限值，可</w:t>
            </w:r>
            <w:r>
              <w:rPr>
                <w:rFonts w:hint="eastAsia" w:eastAsia="宋体" w:cs="Times New Roman"/>
                <w:color w:val="000000" w:themeColor="text1"/>
                <w:sz w:val="24"/>
                <w:szCs w:val="24"/>
                <w:lang w:eastAsia="zh-CN"/>
                <w14:textFill>
                  <w14:solidFill>
                    <w14:schemeClr w14:val="tx1"/>
                  </w14:solidFill>
                </w14:textFill>
              </w:rPr>
              <w:t>用于生活垃圾填埋场场区绿化</w:t>
            </w:r>
            <w:r>
              <w:rPr>
                <w:rFonts w:hint="eastAsia" w:eastAsia="宋体"/>
                <w:color w:val="000000" w:themeColor="text1"/>
                <w:kern w:val="0"/>
                <w:sz w:val="24"/>
                <w:szCs w:val="24"/>
                <w14:textFill>
                  <w14:solidFill>
                    <w14:schemeClr w14:val="tx1"/>
                  </w14:solidFill>
                </w14:textFill>
              </w:rPr>
              <w:t>，因此</w:t>
            </w:r>
            <w:r>
              <w:rPr>
                <w:rFonts w:eastAsia="宋体"/>
                <w:color w:val="000000" w:themeColor="text1"/>
                <w:kern w:val="0"/>
                <w:sz w:val="24"/>
                <w:szCs w:val="24"/>
                <w14:textFill>
                  <w14:solidFill>
                    <w14:schemeClr w14:val="tx1"/>
                  </w14:solidFill>
                </w14:textFill>
              </w:rPr>
              <w:t>对地表水环境的影响小。</w:t>
            </w:r>
          </w:p>
          <w:p>
            <w:pPr>
              <w:spacing w:line="560" w:lineRule="exact"/>
              <w:ind w:firstLine="480" w:firstLineChars="200"/>
              <w:rPr>
                <w:rFonts w:eastAsia="宋体"/>
                <w:bCs/>
                <w:color w:val="000000" w:themeColor="text1"/>
                <w:sz w:val="24"/>
                <w:szCs w:val="24"/>
                <w14:textFill>
                  <w14:solidFill>
                    <w14:schemeClr w14:val="tx1"/>
                  </w14:solidFill>
                </w14:textFill>
              </w:rPr>
            </w:pPr>
            <w:r>
              <w:rPr>
                <w:rFonts w:hint="eastAsia" w:eastAsia="宋体"/>
                <w:bCs/>
                <w:color w:val="000000" w:themeColor="text1"/>
                <w:sz w:val="24"/>
                <w:szCs w:val="24"/>
                <w14:textFill>
                  <w14:solidFill>
                    <w14:schemeClr w14:val="tx1"/>
                  </w14:solidFill>
                </w14:textFill>
              </w:rPr>
              <w:t>本项目采取</w:t>
            </w:r>
            <w:r>
              <w:rPr>
                <w:rFonts w:eastAsia="宋体"/>
                <w:bCs/>
                <w:color w:val="000000" w:themeColor="text1"/>
                <w:sz w:val="24"/>
                <w:szCs w:val="24"/>
                <w14:textFill>
                  <w14:solidFill>
                    <w14:schemeClr w14:val="tx1"/>
                  </w14:solidFill>
                </w14:textFill>
              </w:rPr>
              <w:t>分区</w:t>
            </w:r>
            <w:r>
              <w:rPr>
                <w:rFonts w:hint="eastAsia" w:eastAsia="宋体"/>
                <w:bCs/>
                <w:color w:val="000000" w:themeColor="text1"/>
                <w:sz w:val="24"/>
                <w:szCs w:val="24"/>
                <w14:textFill>
                  <w14:solidFill>
                    <w14:schemeClr w14:val="tx1"/>
                  </w14:solidFill>
                </w14:textFill>
              </w:rPr>
              <w:t>防渗</w:t>
            </w:r>
            <w:r>
              <w:rPr>
                <w:rFonts w:eastAsia="宋体"/>
                <w:bCs/>
                <w:color w:val="000000" w:themeColor="text1"/>
                <w:sz w:val="24"/>
                <w:szCs w:val="24"/>
                <w14:textFill>
                  <w14:solidFill>
                    <w14:schemeClr w14:val="tx1"/>
                  </w14:solidFill>
                </w14:textFill>
              </w:rPr>
              <w:t>控制措施</w:t>
            </w:r>
            <w:r>
              <w:rPr>
                <w:rFonts w:hint="eastAsia" w:eastAsia="宋体"/>
                <w:bCs/>
                <w:color w:val="000000" w:themeColor="text1"/>
                <w:sz w:val="24"/>
                <w:szCs w:val="24"/>
                <w14:textFill>
                  <w14:solidFill>
                    <w14:schemeClr w14:val="tx1"/>
                  </w14:solidFill>
                </w14:textFill>
              </w:rPr>
              <w:t>：</w:t>
            </w:r>
          </w:p>
          <w:p>
            <w:pPr>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重点</w:t>
            </w:r>
            <w:r>
              <w:rPr>
                <w:rFonts w:eastAsia="宋体"/>
                <w:color w:val="000000" w:themeColor="text1"/>
                <w:kern w:val="0"/>
                <w:sz w:val="24"/>
                <w:szCs w:val="24"/>
                <w14:textFill>
                  <w14:solidFill>
                    <w14:schemeClr w14:val="tx1"/>
                  </w14:solidFill>
                </w14:textFill>
              </w:rPr>
              <w:t>防渗</w:t>
            </w:r>
            <w:r>
              <w:rPr>
                <w:rFonts w:eastAsia="宋体"/>
                <w:color w:val="000000" w:themeColor="text1"/>
                <w:sz w:val="24"/>
                <w:szCs w:val="24"/>
                <w14:textFill>
                  <w14:solidFill>
                    <w14:schemeClr w14:val="tx1"/>
                  </w14:solidFill>
                </w14:textFill>
              </w:rPr>
              <w:t>区</w:t>
            </w:r>
            <w:r>
              <w:rPr>
                <w:rFonts w:eastAsia="宋体"/>
                <w:color w:val="000000" w:themeColor="text1"/>
                <w:sz w:val="24"/>
                <w:szCs w:val="24"/>
                <w:lang w:val="en-GB"/>
                <w14:textFill>
                  <w14:solidFill>
                    <w14:schemeClr w14:val="tx1"/>
                  </w14:solidFill>
                </w14:textFill>
              </w:rPr>
              <w:t>包括调节池</w:t>
            </w:r>
            <w:r>
              <w:rPr>
                <w:rFonts w:eastAsia="宋体"/>
                <w:color w:val="000000" w:themeColor="text1"/>
                <w:sz w:val="24"/>
                <w:szCs w:val="24"/>
                <w14:textFill>
                  <w14:solidFill>
                    <w14:schemeClr w14:val="tx1"/>
                  </w14:solidFill>
                </w14:textFill>
              </w:rPr>
              <w:t>、MBR综合池、污泥池等</w:t>
            </w:r>
            <w:r>
              <w:rPr>
                <w:rFonts w:eastAsia="宋体"/>
                <w:color w:val="000000" w:themeColor="text1"/>
                <w:sz w:val="24"/>
                <w:szCs w:val="24"/>
                <w:lang w:val="en-GB"/>
                <w14:textFill>
                  <w14:solidFill>
                    <w14:schemeClr w14:val="tx1"/>
                  </w14:solidFill>
                </w14:textFill>
              </w:rPr>
              <w:t>，</w:t>
            </w:r>
            <w:r>
              <w:rPr>
                <w:rFonts w:eastAsia="宋体"/>
                <w:color w:val="000000" w:themeColor="text1"/>
                <w:sz w:val="24"/>
                <w:szCs w:val="24"/>
                <w14:textFill>
                  <w14:solidFill>
                    <w14:schemeClr w14:val="tx1"/>
                  </w14:solidFill>
                </w14:textFill>
              </w:rPr>
              <w:t>在运行过程中可能发生渗漏，并会对地下水水质造成污染的装置区有必要进行重点防渗，其防渗层要求不低于</w:t>
            </w:r>
            <w:r>
              <w:rPr>
                <w:rFonts w:hint="eastAsia" w:eastAsia="宋体"/>
                <w:color w:val="000000" w:themeColor="text1"/>
                <w:sz w:val="24"/>
                <w:szCs w:val="24"/>
                <w14:textFill>
                  <w14:solidFill>
                    <w14:schemeClr w14:val="tx1"/>
                  </w14:solidFill>
                </w14:textFill>
              </w:rPr>
              <w:t>6</w:t>
            </w:r>
            <w:r>
              <w:rPr>
                <w:rFonts w:eastAsia="宋体"/>
                <w:color w:val="000000" w:themeColor="text1"/>
                <w:sz w:val="24"/>
                <w:szCs w:val="24"/>
                <w14:textFill>
                  <w14:solidFill>
                    <w14:schemeClr w14:val="tx1"/>
                  </w14:solidFill>
                </w14:textFill>
              </w:rPr>
              <w:t>.0m厚渗透系数1×10</w:t>
            </w:r>
            <w:r>
              <w:rPr>
                <w:rFonts w:eastAsia="宋体"/>
                <w:color w:val="000000" w:themeColor="text1"/>
                <w:sz w:val="24"/>
                <w:szCs w:val="24"/>
                <w:vertAlign w:val="superscript"/>
                <w14:textFill>
                  <w14:solidFill>
                    <w14:schemeClr w14:val="tx1"/>
                  </w14:solidFill>
                </w14:textFill>
              </w:rPr>
              <w:t>-</w:t>
            </w:r>
            <w:r>
              <w:rPr>
                <w:rFonts w:hint="eastAsia" w:eastAsia="宋体"/>
                <w:color w:val="000000" w:themeColor="text1"/>
                <w:sz w:val="24"/>
                <w:szCs w:val="24"/>
                <w:vertAlign w:val="superscript"/>
                <w14:textFill>
                  <w14:solidFill>
                    <w14:schemeClr w14:val="tx1"/>
                  </w14:solidFill>
                </w14:textFill>
              </w:rPr>
              <w:t>7</w:t>
            </w:r>
            <w:r>
              <w:rPr>
                <w:rFonts w:eastAsia="宋体"/>
                <w:color w:val="000000" w:themeColor="text1"/>
                <w:sz w:val="24"/>
                <w:szCs w:val="24"/>
                <w14:textFill>
                  <w14:solidFill>
                    <w14:schemeClr w14:val="tx1"/>
                  </w14:solidFill>
                </w14:textFill>
              </w:rPr>
              <w:t>cm/s的等效黏土层的防渗性能。</w:t>
            </w:r>
          </w:p>
          <w:p>
            <w:pPr>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一般防渗区</w:t>
            </w:r>
            <w:r>
              <w:rPr>
                <w:rFonts w:eastAsia="宋体"/>
                <w:color w:val="000000" w:themeColor="text1"/>
                <w:kern w:val="0"/>
                <w:sz w:val="24"/>
                <w:szCs w:val="24"/>
                <w14:textFill>
                  <w14:solidFill>
                    <w14:schemeClr w14:val="tx1"/>
                  </w14:solidFill>
                </w14:textFill>
              </w:rPr>
              <w:t>包括</w:t>
            </w:r>
            <w:r>
              <w:rPr>
                <w:rFonts w:hint="eastAsia" w:eastAsia="宋体"/>
                <w:color w:val="000000" w:themeColor="text1"/>
                <w:sz w:val="24"/>
                <w:szCs w:val="24"/>
                <w14:textFill>
                  <w14:solidFill>
                    <w14:schemeClr w14:val="tx1"/>
                  </w14:solidFill>
                </w14:textFill>
              </w:rPr>
              <w:t>综合用房</w:t>
            </w:r>
            <w:r>
              <w:rPr>
                <w:rFonts w:eastAsia="宋体"/>
                <w:color w:val="000000" w:themeColor="text1"/>
                <w:sz w:val="24"/>
                <w:szCs w:val="24"/>
                <w14:textFill>
                  <w14:solidFill>
                    <w14:schemeClr w14:val="tx1"/>
                  </w14:solidFill>
                </w14:textFill>
              </w:rPr>
              <w:t>等，</w:t>
            </w:r>
            <w:r>
              <w:rPr>
                <w:rFonts w:eastAsia="宋体"/>
                <w:color w:val="000000" w:themeColor="text1"/>
                <w:sz w:val="24"/>
                <w:szCs w:val="24"/>
                <w:lang w:val="en-GB"/>
                <w14:textFill>
                  <w14:solidFill>
                    <w14:schemeClr w14:val="tx1"/>
                  </w14:solidFill>
                </w14:textFill>
              </w:rPr>
              <w:t>防渗层要求不低于</w:t>
            </w:r>
            <w:r>
              <w:rPr>
                <w:rFonts w:eastAsia="宋体"/>
                <w:color w:val="000000" w:themeColor="text1"/>
                <w:sz w:val="24"/>
                <w:szCs w:val="24"/>
                <w14:textFill>
                  <w14:solidFill>
                    <w14:schemeClr w14:val="tx1"/>
                  </w14:solidFill>
                </w14:textFill>
              </w:rPr>
              <w:t>1.5m厚渗透系数1×10</w:t>
            </w:r>
            <w:r>
              <w:rPr>
                <w:rFonts w:eastAsia="宋体"/>
                <w:color w:val="000000" w:themeColor="text1"/>
                <w:sz w:val="24"/>
                <w:szCs w:val="24"/>
                <w:vertAlign w:val="superscript"/>
                <w14:textFill>
                  <w14:solidFill>
                    <w14:schemeClr w14:val="tx1"/>
                  </w14:solidFill>
                </w14:textFill>
              </w:rPr>
              <w:t>-7</w:t>
            </w:r>
            <w:r>
              <w:rPr>
                <w:rFonts w:eastAsia="宋体"/>
                <w:color w:val="000000" w:themeColor="text1"/>
                <w:sz w:val="24"/>
                <w:szCs w:val="24"/>
                <w14:textFill>
                  <w14:solidFill>
                    <w14:schemeClr w14:val="tx1"/>
                  </w14:solidFill>
                </w14:textFill>
              </w:rPr>
              <w:t>cm/s的等效黏土层的防渗性能。</w:t>
            </w:r>
          </w:p>
          <w:p>
            <w:pPr>
              <w:snapToGrid w:val="0"/>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重点防渗区和一般防渗区之外的区域为简单防渗区，只需要进行一般地面硬化即可。</w:t>
            </w:r>
          </w:p>
          <w:p>
            <w:pPr>
              <w:pStyle w:val="15"/>
              <w:numPr>
                <w:ilvl w:val="0"/>
                <w:numId w:val="9"/>
              </w:numPr>
              <w:spacing w:line="560" w:lineRule="exact"/>
              <w:ind w:firstLine="480" w:firstLineChars="20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声环境</w:t>
            </w:r>
          </w:p>
          <w:p>
            <w:pPr>
              <w:pStyle w:val="15"/>
              <w:spacing w:line="560" w:lineRule="exact"/>
              <w:ind w:firstLine="480" w:firstLineChars="200"/>
              <w:jc w:val="left"/>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根据预测，本项目营运期评价范围内噪声级增量较小，设备噪声经采取消声降噪措施及距离衰减后能够满足《工业企业厂界环境噪声排放标准》（GB12348-2008）中2类标准，对周围声环境质量影响较小。</w:t>
            </w:r>
          </w:p>
          <w:p>
            <w:pPr>
              <w:pStyle w:val="15"/>
              <w:numPr>
                <w:ilvl w:val="0"/>
                <w:numId w:val="9"/>
              </w:numPr>
              <w:spacing w:line="560" w:lineRule="exact"/>
              <w:ind w:firstLine="480" w:firstLineChars="20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固体废物环境</w:t>
            </w:r>
          </w:p>
          <w:p>
            <w:pPr>
              <w:spacing w:line="56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本项目运营期</w:t>
            </w:r>
            <w:r>
              <w:rPr>
                <w:rFonts w:eastAsia="宋体"/>
                <w:color w:val="000000" w:themeColor="text1"/>
                <w:sz w:val="24"/>
                <w:szCs w:val="24"/>
                <w14:textFill>
                  <w14:solidFill>
                    <w14:schemeClr w14:val="tx1"/>
                  </w14:solidFill>
                </w14:textFill>
              </w:rPr>
              <w:t>剩余污泥产生量为</w:t>
            </w:r>
            <w:r>
              <w:rPr>
                <w:rFonts w:hint="eastAsia" w:eastAsia="宋体"/>
                <w:color w:val="000000" w:themeColor="text1"/>
                <w:sz w:val="24"/>
                <w:szCs w:val="24"/>
                <w14:textFill>
                  <w14:solidFill>
                    <w14:schemeClr w14:val="tx1"/>
                  </w14:solidFill>
                </w14:textFill>
              </w:rPr>
              <w:t>10.50</w:t>
            </w:r>
            <w:r>
              <w:rPr>
                <w:rFonts w:eastAsia="宋体"/>
                <w:color w:val="000000" w:themeColor="text1"/>
                <w:sz w:val="24"/>
                <w:szCs w:val="24"/>
                <w14:textFill>
                  <w14:solidFill>
                    <w14:schemeClr w14:val="tx1"/>
                  </w14:solidFill>
                </w14:textFill>
              </w:rPr>
              <w:t>t/</w:t>
            </w:r>
            <w:r>
              <w:rPr>
                <w:rFonts w:hint="eastAsia" w:eastAsia="宋体"/>
                <w:color w:val="000000" w:themeColor="text1"/>
                <w:sz w:val="24"/>
                <w:szCs w:val="24"/>
                <w14:textFill>
                  <w14:solidFill>
                    <w14:schemeClr w14:val="tx1"/>
                  </w14:solidFill>
                </w14:textFill>
              </w:rPr>
              <w:t>a，脱水至</w:t>
            </w:r>
            <w:r>
              <w:rPr>
                <w:rFonts w:eastAsia="宋体"/>
                <w:color w:val="000000" w:themeColor="text1"/>
                <w:sz w:val="24"/>
                <w:szCs w:val="24"/>
                <w14:textFill>
                  <w14:solidFill>
                    <w14:schemeClr w14:val="tx1"/>
                  </w14:solidFill>
                </w14:textFill>
              </w:rPr>
              <w:t>含水率小于</w:t>
            </w:r>
            <w:r>
              <w:rPr>
                <w:rFonts w:hint="eastAsia" w:eastAsia="宋体"/>
                <w:color w:val="000000" w:themeColor="text1"/>
                <w:sz w:val="24"/>
                <w:szCs w:val="24"/>
                <w14:textFill>
                  <w14:solidFill>
                    <w14:schemeClr w14:val="tx1"/>
                  </w14:solidFill>
                </w14:textFill>
              </w:rPr>
              <w:t>6</w:t>
            </w:r>
            <w:r>
              <w:rPr>
                <w:rFonts w:eastAsia="宋体"/>
                <w:color w:val="000000" w:themeColor="text1"/>
                <w:sz w:val="24"/>
                <w:szCs w:val="24"/>
                <w14:textFill>
                  <w14:solidFill>
                    <w14:schemeClr w14:val="tx1"/>
                  </w14:solidFill>
                </w14:textFill>
              </w:rPr>
              <w:t>0%，</w:t>
            </w:r>
            <w:r>
              <w:rPr>
                <w:rFonts w:hint="eastAsia" w:eastAsia="宋体"/>
                <w:color w:val="000000" w:themeColor="text1"/>
                <w:sz w:val="24"/>
                <w:szCs w:val="24"/>
                <w14:textFill>
                  <w14:solidFill>
                    <w14:schemeClr w14:val="tx1"/>
                  </w14:solidFill>
                </w14:textFill>
              </w:rPr>
              <w:t>由污泥螺杆泵排至填埋场填埋处理。处置方式符合</w:t>
            </w:r>
            <w:r>
              <w:rPr>
                <w:rFonts w:eastAsia="宋体"/>
                <w:color w:val="000000" w:themeColor="text1"/>
                <w:sz w:val="24"/>
                <w:szCs w:val="24"/>
                <w14:textFill>
                  <w14:solidFill>
                    <w14:schemeClr w14:val="tx1"/>
                  </w14:solidFill>
                </w14:textFill>
              </w:rPr>
              <w:t>《生活垃圾填埋场污染控制标准》（GB16889-2008）和《生活垃圾填埋场渗滤液处理工程技术规范 试行》（HJ564-2010）</w:t>
            </w:r>
            <w:r>
              <w:rPr>
                <w:rFonts w:hint="eastAsia" w:eastAsia="宋体"/>
                <w:color w:val="000000" w:themeColor="text1"/>
                <w:sz w:val="24"/>
                <w:szCs w:val="24"/>
                <w14:textFill>
                  <w14:solidFill>
                    <w14:schemeClr w14:val="tx1"/>
                  </w14:solidFill>
                </w14:textFill>
              </w:rPr>
              <w:t>中相关要求，</w:t>
            </w:r>
            <w:r>
              <w:rPr>
                <w:rFonts w:eastAsia="宋体"/>
                <w:color w:val="000000" w:themeColor="text1"/>
                <w:sz w:val="24"/>
                <w:szCs w:val="24"/>
                <w14:textFill>
                  <w14:solidFill>
                    <w14:schemeClr w14:val="tx1"/>
                  </w14:solidFill>
                </w14:textFill>
              </w:rPr>
              <w:t>不含有毒有害物质，经脱水后其含水率</w:t>
            </w:r>
            <w:r>
              <w:rPr>
                <w:rFonts w:hint="eastAsia" w:eastAsia="宋体"/>
                <w:color w:val="000000" w:themeColor="text1"/>
                <w:sz w:val="24"/>
                <w:szCs w:val="24"/>
                <w14:textFill>
                  <w14:solidFill>
                    <w14:schemeClr w14:val="tx1"/>
                  </w14:solidFill>
                </w14:textFill>
              </w:rPr>
              <w:t>大大降低，</w:t>
            </w:r>
            <w:r>
              <w:rPr>
                <w:rFonts w:eastAsia="宋体"/>
                <w:color w:val="000000" w:themeColor="text1"/>
                <w:sz w:val="24"/>
                <w:szCs w:val="24"/>
                <w14:textFill>
                  <w14:solidFill>
                    <w14:schemeClr w14:val="tx1"/>
                  </w14:solidFill>
                </w14:textFill>
              </w:rPr>
              <w:t>可以进入垃圾填埋场</w:t>
            </w:r>
            <w:r>
              <w:rPr>
                <w:rFonts w:hint="eastAsia" w:eastAsia="宋体"/>
                <w:color w:val="000000" w:themeColor="text1"/>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对环境影响很小。</w:t>
            </w:r>
            <w:r>
              <w:rPr>
                <w:rFonts w:hint="eastAsia" w:eastAsia="宋体"/>
                <w:color w:val="000000" w:themeColor="text1"/>
                <w:sz w:val="24"/>
                <w:szCs w:val="24"/>
                <w14:textFill>
                  <w14:solidFill>
                    <w14:schemeClr w14:val="tx1"/>
                  </w14:solidFill>
                </w14:textFill>
              </w:rPr>
              <w:t>另外，栅渣产生量0.5t/a，废渗透膜产生量0.3t/a，</w:t>
            </w:r>
            <w:r>
              <w:rPr>
                <w:rFonts w:eastAsia="宋体"/>
                <w:color w:val="000000" w:themeColor="text1"/>
                <w:sz w:val="24"/>
                <w:szCs w:val="24"/>
                <w14:textFill>
                  <w14:solidFill>
                    <w14:schemeClr w14:val="tx1"/>
                  </w14:solidFill>
                </w14:textFill>
              </w:rPr>
              <w:t>生活垃圾</w:t>
            </w:r>
            <w:r>
              <w:rPr>
                <w:rFonts w:hint="eastAsia" w:eastAsia="宋体"/>
                <w:color w:val="000000" w:themeColor="text1"/>
                <w:sz w:val="24"/>
                <w:szCs w:val="24"/>
                <w14:textFill>
                  <w14:solidFill>
                    <w14:schemeClr w14:val="tx1"/>
                  </w14:solidFill>
                </w14:textFill>
              </w:rPr>
              <w:t>产生量0.37t/a，均属于一般固体废物，集中收集后在填埋场进行填埋处理，对环境影响较小。</w:t>
            </w:r>
          </w:p>
          <w:p>
            <w:pPr>
              <w:pStyle w:val="15"/>
              <w:numPr>
                <w:ilvl w:val="0"/>
                <w:numId w:val="9"/>
              </w:numPr>
              <w:spacing w:line="560" w:lineRule="exact"/>
              <w:ind w:firstLine="480" w:firstLineChars="20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生态环境</w:t>
            </w:r>
          </w:p>
          <w:p>
            <w:pPr>
              <w:spacing w:line="560" w:lineRule="exact"/>
              <w:ind w:firstLine="480" w:firstLineChars="200"/>
              <w:textAlignment w:val="baseline"/>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本项目运营期对生态环境的影响主要是占地影响，影响范围为项目所在区域。</w:t>
            </w:r>
            <w:r>
              <w:rPr>
                <w:rFonts w:eastAsia="宋体"/>
                <w:color w:val="000000" w:themeColor="text1"/>
                <w:sz w:val="24"/>
                <w14:textFill>
                  <w14:solidFill>
                    <w14:schemeClr w14:val="tx1"/>
                  </w14:solidFill>
                </w14:textFill>
              </w:rPr>
              <w:t>在主体工程施工完毕后，尽早对工程内外、裸露面、空隙用地进行绿化，加强绿化管理与植被养护，通过营造绿地</w:t>
            </w:r>
            <w:r>
              <w:rPr>
                <w:rFonts w:hint="eastAsia" w:eastAsia="宋体"/>
                <w:color w:val="000000" w:themeColor="text1"/>
                <w:sz w:val="24"/>
                <w14:textFill>
                  <w14:solidFill>
                    <w14:schemeClr w14:val="tx1"/>
                  </w14:solidFill>
                </w14:textFill>
              </w:rPr>
              <w:t>达到</w:t>
            </w:r>
            <w:r>
              <w:rPr>
                <w:rFonts w:eastAsia="宋体"/>
                <w:color w:val="000000" w:themeColor="text1"/>
                <w:sz w:val="24"/>
                <w14:textFill>
                  <w14:solidFill>
                    <w14:schemeClr w14:val="tx1"/>
                  </w14:solidFill>
                </w14:textFill>
              </w:rPr>
              <w:t>恢复植被、保持水土、净化空气、改善生态、美化环境、保护景观</w:t>
            </w:r>
            <w:r>
              <w:rPr>
                <w:rFonts w:hint="eastAsia" w:eastAsia="宋体"/>
                <w:color w:val="000000" w:themeColor="text1"/>
                <w:sz w:val="24"/>
                <w14:textFill>
                  <w14:solidFill>
                    <w14:schemeClr w14:val="tx1"/>
                  </w14:solidFill>
                </w14:textFill>
              </w:rPr>
              <w:t>的目的，</w:t>
            </w:r>
            <w:r>
              <w:rPr>
                <w:rFonts w:eastAsia="宋体"/>
                <w:color w:val="000000" w:themeColor="text1"/>
                <w:sz w:val="24"/>
                <w:szCs w:val="24"/>
                <w14:textFill>
                  <w14:solidFill>
                    <w14:schemeClr w14:val="tx1"/>
                  </w14:solidFill>
                </w14:textFill>
              </w:rPr>
              <w:t>生态环境将逐渐好转</w:t>
            </w:r>
            <w:r>
              <w:rPr>
                <w:rFonts w:hint="eastAsia" w:eastAsia="宋体"/>
                <w:color w:val="000000" w:themeColor="text1"/>
                <w:sz w:val="24"/>
                <w:szCs w:val="24"/>
                <w14:textFill>
                  <w14:solidFill>
                    <w14:schemeClr w14:val="tx1"/>
                  </w14:solidFill>
                </w14:textFill>
              </w:rPr>
              <w:t>，影响较小</w:t>
            </w:r>
            <w:r>
              <w:rPr>
                <w:rFonts w:eastAsia="宋体"/>
                <w:color w:val="000000" w:themeColor="text1"/>
                <w:sz w:val="24"/>
                <w:szCs w:val="24"/>
                <w14:textFill>
                  <w14:solidFill>
                    <w14:schemeClr w14:val="tx1"/>
                  </w14:solidFill>
                </w14:textFill>
              </w:rPr>
              <w:t>。</w:t>
            </w:r>
          </w:p>
          <w:p>
            <w:pPr>
              <w:pStyle w:val="15"/>
              <w:numPr>
                <w:ilvl w:val="0"/>
                <w:numId w:val="9"/>
              </w:numPr>
              <w:spacing w:line="560" w:lineRule="exact"/>
              <w:ind w:firstLine="480" w:firstLineChars="20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环境风险</w:t>
            </w:r>
          </w:p>
          <w:p>
            <w:pPr>
              <w:pStyle w:val="15"/>
              <w:spacing w:line="560" w:lineRule="exact"/>
              <w:ind w:firstLine="480" w:firstLineChars="20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本项目无重大危险源，虽然有次氯酸钠等化学品，但其用量少，在经过安全防范措施后能够基本杜绝风险事故发生，经认真贯彻预案中的应急措施，可将风险降至接受水平内，故本项目的环境风险是可接受的。</w:t>
            </w:r>
          </w:p>
          <w:p>
            <w:pPr>
              <w:pStyle w:val="15"/>
              <w:spacing w:line="560" w:lineRule="exact"/>
              <w:ind w:firstLine="482" w:firstLineChars="200"/>
              <w:jc w:val="left"/>
              <w:rPr>
                <w:rFonts w:ascii="Times New Roman" w:hAnsi="Times New Roman" w:eastAsia="宋体"/>
                <w:b/>
                <w:color w:val="000000" w:themeColor="text1"/>
                <w:sz w:val="24"/>
                <w14:textFill>
                  <w14:solidFill>
                    <w14:schemeClr w14:val="tx1"/>
                  </w14:solidFill>
                </w14:textFill>
              </w:rPr>
            </w:pPr>
            <w:r>
              <w:rPr>
                <w:rFonts w:ascii="Times New Roman" w:hAnsi="Times New Roman" w:eastAsia="宋体"/>
                <w:b/>
                <w:color w:val="000000" w:themeColor="text1"/>
                <w:sz w:val="24"/>
                <w14:textFill>
                  <w14:solidFill>
                    <w14:schemeClr w14:val="tx1"/>
                  </w14:solidFill>
                </w14:textFill>
              </w:rPr>
              <w:t>综上所述，</w:t>
            </w:r>
            <w:r>
              <w:rPr>
                <w:rFonts w:hint="eastAsia" w:ascii="Times New Roman" w:hAnsi="Times New Roman" w:eastAsia="宋体"/>
                <w:b/>
                <w:color w:val="000000" w:themeColor="text1"/>
                <w:sz w:val="24"/>
                <w14:textFill>
                  <w14:solidFill>
                    <w14:schemeClr w14:val="tx1"/>
                  </w14:solidFill>
                </w14:textFill>
              </w:rPr>
              <w:t>《</w:t>
            </w:r>
            <w:r>
              <w:rPr>
                <w:rFonts w:hint="eastAsia" w:ascii="Times New Roman" w:hAnsi="Times New Roman" w:eastAsia="宋体"/>
                <w:b/>
                <w:color w:val="000000" w:themeColor="text1"/>
                <w:sz w:val="24"/>
                <w:lang w:eastAsia="zh-CN"/>
                <w14:textFill>
                  <w14:solidFill>
                    <w14:schemeClr w14:val="tx1"/>
                  </w14:solidFill>
                </w14:textFill>
              </w:rPr>
              <w:t>玛纳斯县生活垃圾渗滤液处理设备购置及安装项目</w:t>
            </w:r>
            <w:r>
              <w:rPr>
                <w:rFonts w:hint="eastAsia" w:ascii="Times New Roman" w:hAnsi="Times New Roman" w:eastAsia="宋体"/>
                <w:b/>
                <w:color w:val="000000" w:themeColor="text1"/>
                <w:sz w:val="24"/>
                <w14:textFill>
                  <w14:solidFill>
                    <w14:schemeClr w14:val="tx1"/>
                  </w14:solidFill>
                </w14:textFill>
              </w:rPr>
              <w:t>》</w:t>
            </w:r>
            <w:r>
              <w:rPr>
                <w:rFonts w:ascii="Times New Roman" w:hAnsi="Times New Roman" w:eastAsia="宋体"/>
                <w:b/>
                <w:color w:val="000000" w:themeColor="text1"/>
                <w:sz w:val="24"/>
                <w14:textFill>
                  <w14:solidFill>
                    <w14:schemeClr w14:val="tx1"/>
                  </w14:solidFill>
                </w14:textFill>
              </w:rPr>
              <w:t>符合国家有关产业政策，采取“三废”及噪声的治理措施经济技术可行，措施有效。运行后对周围环境质量影响较小。从环境保护角度而言，本项目是可行的。</w:t>
            </w:r>
          </w:p>
          <w:p>
            <w:pPr>
              <w:snapToGrid w:val="0"/>
              <w:spacing w:before="312" w:beforeLines="100" w:line="360" w:lineRule="auto"/>
              <w:rPr>
                <w:rFonts w:eastAsia="宋体"/>
                <w:b/>
                <w:color w:val="000000" w:themeColor="text1"/>
                <w:szCs w:val="28"/>
                <w14:textFill>
                  <w14:solidFill>
                    <w14:schemeClr w14:val="tx1"/>
                  </w14:solidFill>
                </w14:textFill>
              </w:rPr>
            </w:pPr>
            <w:r>
              <w:rPr>
                <w:rFonts w:hint="eastAsia" w:eastAsia="宋体"/>
                <w:b/>
                <w:color w:val="000000" w:themeColor="text1"/>
                <w:szCs w:val="28"/>
                <w14:textFill>
                  <w14:solidFill>
                    <w14:schemeClr w14:val="tx1"/>
                  </w14:solidFill>
                </w14:textFill>
              </w:rPr>
              <w:t>二</w:t>
            </w:r>
            <w:r>
              <w:rPr>
                <w:rFonts w:eastAsia="宋体"/>
                <w:b/>
                <w:color w:val="000000" w:themeColor="text1"/>
                <w:szCs w:val="28"/>
                <w14:textFill>
                  <w14:solidFill>
                    <w14:schemeClr w14:val="tx1"/>
                  </w14:solidFill>
                </w14:textFill>
              </w:rPr>
              <w:t>、要求与建议</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1</w:t>
            </w:r>
            <w:r>
              <w:rPr>
                <w:rFonts w:hint="eastAsia" w:eastAsia="宋体"/>
                <w:color w:val="000000" w:themeColor="text1"/>
                <w:sz w:val="24"/>
                <w:szCs w:val="24"/>
                <w14:textFill>
                  <w14:solidFill>
                    <w14:schemeClr w14:val="tx1"/>
                  </w14:solidFill>
                </w14:textFill>
              </w:rPr>
              <w:t>、</w:t>
            </w:r>
            <w:r>
              <w:rPr>
                <w:rFonts w:hint="eastAsia" w:eastAsia="宋体"/>
                <w:color w:val="000000" w:themeColor="text1"/>
                <w:sz w:val="24"/>
                <w14:textFill>
                  <w14:solidFill>
                    <w14:schemeClr w14:val="tx1"/>
                  </w14:solidFill>
                </w14:textFill>
              </w:rPr>
              <w:t>施工期须进行工程监理和环境监理，保证施工质量，确保各构筑物做好防渗措施，防止渗滤液泄漏污染周边地下水环境。</w:t>
            </w:r>
          </w:p>
          <w:p>
            <w:pPr>
              <w:spacing w:line="56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2</w:t>
            </w:r>
            <w:r>
              <w:rPr>
                <w:rFonts w:hint="eastAsia" w:eastAsia="宋体"/>
                <w:color w:val="000000" w:themeColor="text1"/>
                <w:sz w:val="24"/>
                <w:szCs w:val="24"/>
                <w14:textFill>
                  <w14:solidFill>
                    <w14:schemeClr w14:val="tx1"/>
                  </w14:solidFill>
                </w14:textFill>
              </w:rPr>
              <w:t>、须加强运行设备及人员管理，</w:t>
            </w:r>
            <w:r>
              <w:rPr>
                <w:rFonts w:eastAsia="宋体"/>
                <w:color w:val="000000" w:themeColor="text1"/>
                <w:sz w:val="24"/>
                <w:szCs w:val="24"/>
                <w14:textFill>
                  <w14:solidFill>
                    <w14:schemeClr w14:val="tx1"/>
                  </w14:solidFill>
                </w14:textFill>
              </w:rPr>
              <w:t>做好应急措施，</w:t>
            </w:r>
            <w:r>
              <w:rPr>
                <w:rFonts w:hint="eastAsia" w:eastAsia="宋体"/>
                <w:color w:val="000000" w:themeColor="text1"/>
                <w:sz w:val="24"/>
                <w:szCs w:val="24"/>
                <w14:textFill>
                  <w14:solidFill>
                    <w14:schemeClr w14:val="tx1"/>
                  </w14:solidFill>
                </w14:textFill>
              </w:rPr>
              <w:t>一旦设备故障须及时</w:t>
            </w:r>
            <w:r>
              <w:rPr>
                <w:rFonts w:eastAsia="宋体"/>
                <w:color w:val="000000" w:themeColor="text1"/>
                <w:sz w:val="24"/>
                <w:szCs w:val="24"/>
                <w14:textFill>
                  <w14:solidFill>
                    <w14:schemeClr w14:val="tx1"/>
                  </w14:solidFill>
                </w14:textFill>
              </w:rPr>
              <w:t>检修</w:t>
            </w:r>
            <w:r>
              <w:rPr>
                <w:rFonts w:hint="eastAsia" w:eastAsia="宋体"/>
                <w:color w:val="000000" w:themeColor="text1"/>
                <w:sz w:val="24"/>
                <w:szCs w:val="24"/>
                <w14:textFill>
                  <w14:solidFill>
                    <w14:schemeClr w14:val="tx1"/>
                  </w14:solidFill>
                </w14:textFill>
              </w:rPr>
              <w:t>，确保</w:t>
            </w:r>
            <w:r>
              <w:rPr>
                <w:rFonts w:eastAsia="宋体"/>
                <w:color w:val="000000" w:themeColor="text1"/>
                <w:sz w:val="24"/>
                <w:szCs w:val="24"/>
                <w14:textFill>
                  <w14:solidFill>
                    <w14:schemeClr w14:val="tx1"/>
                  </w14:solidFill>
                </w14:textFill>
              </w:rPr>
              <w:t>出水达标。</w:t>
            </w:r>
          </w:p>
          <w:p>
            <w:pPr>
              <w:spacing w:line="560" w:lineRule="exact"/>
              <w:ind w:firstLine="480" w:firstLineChars="200"/>
              <w:rPr>
                <w:rFonts w:eastAsia="宋体"/>
                <w:color w:val="000000" w:themeColor="text1"/>
                <w:sz w:val="22"/>
                <w:szCs w:val="24"/>
                <w14:textFill>
                  <w14:solidFill>
                    <w14:schemeClr w14:val="tx1"/>
                  </w14:solidFill>
                </w14:textFill>
              </w:rPr>
            </w:pPr>
            <w:r>
              <w:rPr>
                <w:rFonts w:hint="eastAsia" w:eastAsia="宋体"/>
                <w:color w:val="000000" w:themeColor="text1"/>
                <w:sz w:val="24"/>
                <w14:textFill>
                  <w14:solidFill>
                    <w14:schemeClr w14:val="tx1"/>
                  </w14:solidFill>
                </w14:textFill>
              </w:rPr>
              <w:t>3、尾水排放口须根据玛纳斯县生态环境主管部门要求安装污染物排放在线监测设备，实时监控出水达标情况。</w:t>
            </w:r>
          </w:p>
          <w:p>
            <w:pPr>
              <w:pStyle w:val="2"/>
              <w:spacing w:line="520" w:lineRule="exact"/>
              <w:ind w:left="140" w:leftChars="50" w:right="140" w:rightChars="50" w:firstLine="482" w:firstLineChars="200"/>
              <w:jc w:val="both"/>
              <w:rPr>
                <w:rFonts w:eastAsia="宋体"/>
                <w:b/>
                <w:color w:val="000000" w:themeColor="text1"/>
                <w:sz w:val="24"/>
                <w:szCs w:val="24"/>
                <w:lang w:val="en-US"/>
                <w14:textFill>
                  <w14:solidFill>
                    <w14:schemeClr w14:val="tx1"/>
                  </w14:solidFill>
                </w14:textFill>
              </w:rPr>
            </w:pPr>
          </w:p>
          <w:p>
            <w:pPr>
              <w:pStyle w:val="158"/>
              <w:rPr>
                <w:rFonts w:ascii="Times New Roman" w:hAnsi="Times New Roman" w:eastAsia="宋体"/>
                <w:color w:val="000000" w:themeColor="text1"/>
                <w14:textFill>
                  <w14:solidFill>
                    <w14:schemeClr w14:val="tx1"/>
                  </w14:solidFill>
                </w14:textFill>
              </w:rPr>
            </w:pPr>
          </w:p>
          <w:p>
            <w:pPr>
              <w:pStyle w:val="158"/>
              <w:ind w:firstLine="0" w:firstLineChars="0"/>
              <w:rPr>
                <w:rFonts w:ascii="Times New Roman" w:hAnsi="Times New Roman" w:eastAsia="宋体"/>
                <w:color w:val="000000" w:themeColor="text1"/>
                <w14:textFill>
                  <w14:solidFill>
                    <w14:schemeClr w14:val="tx1"/>
                  </w14:solidFill>
                </w14:textFill>
              </w:rPr>
            </w:pPr>
          </w:p>
          <w:p>
            <w:pPr>
              <w:pStyle w:val="158"/>
              <w:ind w:firstLine="0" w:firstLineChars="0"/>
              <w:rPr>
                <w:rFonts w:ascii="Times New Roman" w:hAnsi="Times New Roman" w:eastAsia="宋体"/>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108" w:type="dxa"/>
            <w:bottom w:w="0" w:type="dxa"/>
            <w:right w:w="108" w:type="dxa"/>
          </w:tblCellMar>
        </w:tblPrEx>
        <w:trPr>
          <w:trHeight w:val="4817" w:hRule="atLeast"/>
        </w:trPr>
        <w:tc>
          <w:tcPr>
            <w:tcW w:w="9288" w:type="dxa"/>
            <w:vAlign w:val="bottom"/>
          </w:tcPr>
          <w:p>
            <w:pPr>
              <w:adjustRightInd w:val="0"/>
              <w:snapToGrid w:val="0"/>
              <w:spacing w:line="360" w:lineRule="auto"/>
              <w:rPr>
                <w:rFonts w:eastAsia="宋体"/>
                <w:color w:val="000000" w:themeColor="text1"/>
                <w:szCs w:val="28"/>
                <w14:textFill>
                  <w14:solidFill>
                    <w14:schemeClr w14:val="tx1"/>
                  </w14:solidFill>
                </w14:textFill>
              </w:rPr>
            </w:pPr>
            <w:r>
              <w:rPr>
                <w:rFonts w:eastAsia="宋体"/>
                <w:color w:val="000000" w:themeColor="text1"/>
                <w:szCs w:val="28"/>
                <w14:textFill>
                  <w14:solidFill>
                    <w14:schemeClr w14:val="tx1"/>
                  </w14:solidFill>
                </w14:textFill>
              </w:rPr>
              <w:t>预审意见：</w:t>
            </w: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ind w:firstLine="6580" w:firstLineChars="2350"/>
              <w:rPr>
                <w:rFonts w:eastAsia="宋体"/>
                <w:color w:val="000000" w:themeColor="text1"/>
                <w:szCs w:val="28"/>
                <w14:textFill>
                  <w14:solidFill>
                    <w14:schemeClr w14:val="tx1"/>
                  </w14:solidFill>
                </w14:textFill>
              </w:rPr>
            </w:pPr>
            <w:r>
              <w:rPr>
                <w:rFonts w:eastAsia="宋体"/>
                <w:color w:val="000000" w:themeColor="text1"/>
                <w:szCs w:val="28"/>
                <w14:textFill>
                  <w14:solidFill>
                    <w14:schemeClr w14:val="tx1"/>
                  </w14:solidFill>
                </w14:textFill>
              </w:rPr>
              <w:t>公章</w:t>
            </w:r>
          </w:p>
          <w:p>
            <w:pPr>
              <w:adjustRightInd w:val="0"/>
              <w:snapToGrid w:val="0"/>
              <w:spacing w:line="360" w:lineRule="auto"/>
              <w:rPr>
                <w:rFonts w:eastAsia="宋体"/>
                <w:color w:val="000000" w:themeColor="text1"/>
                <w:szCs w:val="28"/>
                <w14:textFill>
                  <w14:solidFill>
                    <w14:schemeClr w14:val="tx1"/>
                  </w14:solidFill>
                </w14:textFill>
              </w:rPr>
            </w:pPr>
            <w:r>
              <w:rPr>
                <w:rFonts w:eastAsia="宋体"/>
                <w:color w:val="000000" w:themeColor="text1"/>
                <w:szCs w:val="28"/>
                <w14:textFill>
                  <w14:solidFill>
                    <w14:schemeClr w14:val="tx1"/>
                  </w14:solidFill>
                </w14:textFill>
              </w:rPr>
              <w:t>经办人：                                年      月      日</w:t>
            </w:r>
          </w:p>
          <w:p>
            <w:pPr>
              <w:adjustRightInd w:val="0"/>
              <w:snapToGrid w:val="0"/>
              <w:spacing w:line="360" w:lineRule="auto"/>
              <w:rPr>
                <w:rFonts w:eastAsia="宋体"/>
                <w:color w:val="000000" w:themeColor="text1"/>
                <w:sz w:val="24"/>
                <w:szCs w:val="24"/>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r>
              <w:rPr>
                <w:rFonts w:eastAsia="宋体"/>
                <w:color w:val="000000" w:themeColor="text1"/>
                <w:szCs w:val="28"/>
                <w14:textFill>
                  <w14:solidFill>
                    <w14:schemeClr w14:val="tx1"/>
                  </w14:solidFill>
                </w14:textFill>
              </w:rPr>
              <w:t>下一级环境保护行政主管部门审查意见：</w:t>
            </w: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rPr>
                <w:rFonts w:eastAsia="宋体"/>
                <w:color w:val="000000" w:themeColor="text1"/>
                <w:szCs w:val="28"/>
                <w14:textFill>
                  <w14:solidFill>
                    <w14:schemeClr w14:val="tx1"/>
                  </w14:solidFill>
                </w14:textFill>
              </w:rPr>
            </w:pPr>
          </w:p>
          <w:p>
            <w:pPr>
              <w:adjustRightInd w:val="0"/>
              <w:snapToGrid w:val="0"/>
              <w:spacing w:line="360" w:lineRule="auto"/>
              <w:ind w:firstLine="6580" w:firstLineChars="2350"/>
              <w:rPr>
                <w:rFonts w:eastAsia="宋体"/>
                <w:color w:val="000000" w:themeColor="text1"/>
                <w:szCs w:val="28"/>
                <w14:textFill>
                  <w14:solidFill>
                    <w14:schemeClr w14:val="tx1"/>
                  </w14:solidFill>
                </w14:textFill>
              </w:rPr>
            </w:pPr>
            <w:r>
              <w:rPr>
                <w:rFonts w:eastAsia="宋体"/>
                <w:color w:val="000000" w:themeColor="text1"/>
                <w:szCs w:val="28"/>
                <w14:textFill>
                  <w14:solidFill>
                    <w14:schemeClr w14:val="tx1"/>
                  </w14:solidFill>
                </w14:textFill>
              </w:rPr>
              <w:t>公章</w:t>
            </w:r>
          </w:p>
          <w:p>
            <w:pPr>
              <w:adjustRightInd w:val="0"/>
              <w:snapToGrid w:val="0"/>
              <w:spacing w:line="360" w:lineRule="auto"/>
              <w:rPr>
                <w:rFonts w:eastAsia="宋体"/>
                <w:color w:val="000000" w:themeColor="text1"/>
                <w:szCs w:val="28"/>
                <w14:textFill>
                  <w14:solidFill>
                    <w14:schemeClr w14:val="tx1"/>
                  </w14:solidFill>
                </w14:textFill>
              </w:rPr>
            </w:pPr>
            <w:r>
              <w:rPr>
                <w:rFonts w:eastAsia="宋体"/>
                <w:color w:val="000000" w:themeColor="text1"/>
                <w:szCs w:val="28"/>
                <w14:textFill>
                  <w14:solidFill>
                    <w14:schemeClr w14:val="tx1"/>
                  </w14:solidFill>
                </w14:textFill>
              </w:rPr>
              <w:t>经办人：                                年      月      日</w:t>
            </w:r>
          </w:p>
          <w:p>
            <w:pPr>
              <w:adjustRightInd w:val="0"/>
              <w:snapToGrid w:val="0"/>
              <w:spacing w:line="360" w:lineRule="auto"/>
              <w:rPr>
                <w:rFonts w:eastAsia="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108" w:type="dxa"/>
            <w:bottom w:w="0" w:type="dxa"/>
            <w:right w:w="108" w:type="dxa"/>
          </w:tblCellMar>
        </w:tblPrEx>
        <w:trPr>
          <w:trHeight w:val="13457" w:hRule="atLeast"/>
        </w:trPr>
        <w:tc>
          <w:tcPr>
            <w:tcW w:w="9288" w:type="dxa"/>
          </w:tcPr>
          <w:p>
            <w:pPr>
              <w:adjustRightInd w:val="0"/>
              <w:snapToGrid w:val="0"/>
              <w:spacing w:line="360" w:lineRule="auto"/>
              <w:jc w:val="left"/>
              <w:rPr>
                <w:rFonts w:eastAsia="宋体"/>
                <w:color w:val="000000" w:themeColor="text1"/>
                <w:szCs w:val="28"/>
                <w14:textFill>
                  <w14:solidFill>
                    <w14:schemeClr w14:val="tx1"/>
                  </w14:solidFill>
                </w14:textFill>
              </w:rPr>
            </w:pPr>
            <w:r>
              <w:rPr>
                <w:rFonts w:eastAsia="宋体"/>
                <w:color w:val="000000" w:themeColor="text1"/>
                <w:szCs w:val="28"/>
                <w14:textFill>
                  <w14:solidFill>
                    <w14:schemeClr w14:val="tx1"/>
                  </w14:solidFill>
                </w14:textFill>
              </w:rPr>
              <w:t>审批意见：</w:t>
            </w: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p>
          <w:p>
            <w:pPr>
              <w:adjustRightInd w:val="0"/>
              <w:snapToGrid w:val="0"/>
              <w:spacing w:line="360" w:lineRule="auto"/>
              <w:jc w:val="left"/>
              <w:rPr>
                <w:rFonts w:eastAsia="宋体"/>
                <w:color w:val="000000" w:themeColor="text1"/>
                <w:szCs w:val="28"/>
                <w14:textFill>
                  <w14:solidFill>
                    <w14:schemeClr w14:val="tx1"/>
                  </w14:solidFill>
                </w14:textFill>
              </w:rPr>
            </w:pPr>
            <w:r>
              <w:rPr>
                <w:rFonts w:eastAsia="宋体"/>
                <w:color w:val="000000" w:themeColor="text1"/>
                <w:szCs w:val="28"/>
                <w14:textFill>
                  <w14:solidFill>
                    <w14:schemeClr w14:val="tx1"/>
                  </w14:solidFill>
                </w14:textFill>
              </w:rPr>
              <w:t xml:space="preserve">                                             公章</w:t>
            </w:r>
          </w:p>
          <w:p>
            <w:pPr>
              <w:adjustRightInd w:val="0"/>
              <w:snapToGrid w:val="0"/>
              <w:spacing w:line="360" w:lineRule="auto"/>
              <w:jc w:val="left"/>
              <w:rPr>
                <w:rFonts w:eastAsia="宋体"/>
                <w:color w:val="000000" w:themeColor="text1"/>
                <w:szCs w:val="28"/>
                <w14:textFill>
                  <w14:solidFill>
                    <w14:schemeClr w14:val="tx1"/>
                  </w14:solidFill>
                </w14:textFill>
              </w:rPr>
            </w:pPr>
            <w:r>
              <w:rPr>
                <w:rFonts w:eastAsia="宋体"/>
                <w:color w:val="000000" w:themeColor="text1"/>
                <w:szCs w:val="28"/>
                <w14:textFill>
                  <w14:solidFill>
                    <w14:schemeClr w14:val="tx1"/>
                  </w14:solidFill>
                </w14:textFill>
              </w:rPr>
              <w:t>经办人：                              年      月      日</w:t>
            </w:r>
          </w:p>
          <w:p>
            <w:pPr>
              <w:adjustRightInd w:val="0"/>
              <w:snapToGrid w:val="0"/>
              <w:spacing w:line="360" w:lineRule="auto"/>
              <w:jc w:val="left"/>
              <w:rPr>
                <w:rFonts w:eastAsia="宋体"/>
                <w:color w:val="000000" w:themeColor="text1"/>
                <w:sz w:val="24"/>
                <w:szCs w:val="24"/>
                <w14:textFill>
                  <w14:solidFill>
                    <w14:schemeClr w14:val="tx1"/>
                  </w14:solidFill>
                </w14:textFill>
              </w:rPr>
            </w:pPr>
          </w:p>
        </w:tc>
      </w:tr>
    </w:tbl>
    <w:p>
      <w:pPr>
        <w:spacing w:line="0" w:lineRule="atLeast"/>
        <w:rPr>
          <w:rFonts w:eastAsia="宋体"/>
          <w:color w:val="000000" w:themeColor="text1"/>
          <w14:textFill>
            <w14:solidFill>
              <w14:schemeClr w14:val="tx1"/>
            </w14:solidFill>
          </w14:textFill>
        </w:rPr>
      </w:pPr>
    </w:p>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0" w:num="1"/>
      <w:rtlGutter w:val="0"/>
      <w:docGrid w:type="lines" w:linePitch="39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仿宋简体">
    <w:altName w:val="黑体"/>
    <w:panose1 w:val="00000000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TimesNewRoman">
    <w:altName w:val="Times New Roman"/>
    <w:panose1 w:val="00000000000000000000"/>
    <w:charset w:val="00"/>
    <w:family w:val="roman"/>
    <w:pitch w:val="default"/>
    <w:sig w:usb0="00000000" w:usb1="00000000" w:usb2="00000010" w:usb3="00000000" w:csb0="00040001" w:csb1="00000000"/>
  </w:font>
  <w:font w:name="Times">
    <w:altName w:val="Times New Roman"/>
    <w:panose1 w:val="020206030504050203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宋体"/>
    <w:panose1 w:val="00000000000000000000"/>
    <w:charset w:val="86"/>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lang w:val="en-US"/>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3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jc w:val="center"/>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3073"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hpgkvTAAAABQEAAA8AAAAAAAAAAQAgAAAAIgAAAGRycy9kb3ducmV2LnhtbFBLAQIUABQA&#10;AAAIAIdO4kB6Pi5wvAEAAFkDAAAOAAAAAAAAAAEAIAAAACIBAABkcnMvZTJvRG9jLnhtbFBLBQYA&#10;AAAABgAGAFkBAABQBQAAAAA=&#10;">
              <v:fill on="f" focussize="0,0"/>
              <v:stroke on="f" weight="1.25pt"/>
              <v:imagedata o:title=""/>
              <o:lock v:ext="edit" aspectratio="f"/>
              <v:textbox inset="0mm,0mm,0mm,0mm" style="mso-fit-shape-to-text:t;">
                <w:txbxContent>
                  <w:p>
                    <w:pPr>
                      <w:pStyle w:val="19"/>
                      <w:jc w:val="center"/>
                    </w:pPr>
                    <w:r>
                      <w:fldChar w:fldCharType="begin"/>
                    </w:r>
                    <w:r>
                      <w:instrText xml:space="preserve"> PAGE   \* MERGEFORMAT </w:instrText>
                    </w:r>
                    <w:r>
                      <w:fldChar w:fldCharType="separate"/>
                    </w:r>
                    <w:r>
                      <w:t>1</w:t>
                    </w:r>
                    <w:r>
                      <w:fldChar w:fldCharType="end"/>
                    </w:r>
                  </w:p>
                </w:txbxContent>
              </v:textbox>
            </v:shape>
          </w:pict>
        </mc:Fallback>
      </mc:AlternateContent>
    </w:r>
  </w:p>
  <w:p>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7"/>
      </w:rPr>
    </w:pPr>
    <w:r>
      <w:fldChar w:fldCharType="begin"/>
    </w:r>
    <w:r>
      <w:rPr>
        <w:rStyle w:val="37"/>
      </w:rPr>
      <w:instrText xml:space="preserve">PAGE  </w:instrText>
    </w:r>
    <w:r>
      <w:fldChar w:fldCharType="end"/>
    </w:r>
  </w:p>
  <w:p>
    <w:pPr>
      <w:pStyle w:val="1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C9A1EB"/>
    <w:multiLevelType w:val="singleLevel"/>
    <w:tmpl w:val="F8C9A1EB"/>
    <w:lvl w:ilvl="0" w:tentative="0">
      <w:start w:val="7"/>
      <w:numFmt w:val="upperLetter"/>
      <w:suff w:val="nothing"/>
      <w:lvlText w:val="%1、"/>
      <w:lvlJc w:val="left"/>
    </w:lvl>
  </w:abstractNum>
  <w:abstractNum w:abstractNumId="1">
    <w:nsid w:val="0A07A52D"/>
    <w:multiLevelType w:val="singleLevel"/>
    <w:tmpl w:val="0A07A52D"/>
    <w:lvl w:ilvl="0" w:tentative="0">
      <w:start w:val="4"/>
      <w:numFmt w:val="decimal"/>
      <w:suff w:val="nothing"/>
      <w:lvlText w:val="%1、"/>
      <w:lvlJc w:val="left"/>
    </w:lvl>
  </w:abstractNum>
  <w:abstractNum w:abstractNumId="2">
    <w:nsid w:val="410F0C23"/>
    <w:multiLevelType w:val="multilevel"/>
    <w:tmpl w:val="410F0C23"/>
    <w:lvl w:ilvl="0" w:tentative="0">
      <w:start w:val="1"/>
      <w:numFmt w:val="japaneseCounting"/>
      <w:lvlText w:val="%1、"/>
      <w:lvlJc w:val="left"/>
      <w:pPr>
        <w:ind w:left="1132" w:hanging="510"/>
      </w:pPr>
      <w:rPr>
        <w:rFonts w:hint="default"/>
      </w:rPr>
    </w:lvl>
    <w:lvl w:ilvl="1" w:tentative="0">
      <w:start w:val="1"/>
      <w:numFmt w:val="lowerLetter"/>
      <w:lvlText w:val="%2)"/>
      <w:lvlJc w:val="left"/>
      <w:pPr>
        <w:ind w:left="1462" w:hanging="420"/>
      </w:pPr>
    </w:lvl>
    <w:lvl w:ilvl="2" w:tentative="0">
      <w:start w:val="1"/>
      <w:numFmt w:val="lowerRoman"/>
      <w:lvlText w:val="%3."/>
      <w:lvlJc w:val="right"/>
      <w:pPr>
        <w:ind w:left="1882" w:hanging="420"/>
      </w:pPr>
    </w:lvl>
    <w:lvl w:ilvl="3" w:tentative="0">
      <w:start w:val="1"/>
      <w:numFmt w:val="decimal"/>
      <w:lvlText w:val="%4."/>
      <w:lvlJc w:val="left"/>
      <w:pPr>
        <w:ind w:left="2302" w:hanging="420"/>
      </w:pPr>
    </w:lvl>
    <w:lvl w:ilvl="4" w:tentative="0">
      <w:start w:val="1"/>
      <w:numFmt w:val="lowerLetter"/>
      <w:lvlText w:val="%5)"/>
      <w:lvlJc w:val="left"/>
      <w:pPr>
        <w:ind w:left="2722" w:hanging="420"/>
      </w:pPr>
    </w:lvl>
    <w:lvl w:ilvl="5" w:tentative="0">
      <w:start w:val="1"/>
      <w:numFmt w:val="lowerRoman"/>
      <w:lvlText w:val="%6."/>
      <w:lvlJc w:val="right"/>
      <w:pPr>
        <w:ind w:left="3142" w:hanging="420"/>
      </w:pPr>
    </w:lvl>
    <w:lvl w:ilvl="6" w:tentative="0">
      <w:start w:val="1"/>
      <w:numFmt w:val="decimal"/>
      <w:lvlText w:val="%7."/>
      <w:lvlJc w:val="left"/>
      <w:pPr>
        <w:ind w:left="3562" w:hanging="420"/>
      </w:pPr>
    </w:lvl>
    <w:lvl w:ilvl="7" w:tentative="0">
      <w:start w:val="1"/>
      <w:numFmt w:val="lowerLetter"/>
      <w:lvlText w:val="%8)"/>
      <w:lvlJc w:val="left"/>
      <w:pPr>
        <w:ind w:left="3982" w:hanging="420"/>
      </w:pPr>
    </w:lvl>
    <w:lvl w:ilvl="8" w:tentative="0">
      <w:start w:val="1"/>
      <w:numFmt w:val="lowerRoman"/>
      <w:lvlText w:val="%9."/>
      <w:lvlJc w:val="right"/>
      <w:pPr>
        <w:ind w:left="4402" w:hanging="420"/>
      </w:pPr>
    </w:lvl>
  </w:abstractNum>
  <w:abstractNum w:abstractNumId="3">
    <w:nsid w:val="4B00A61B"/>
    <w:multiLevelType w:val="singleLevel"/>
    <w:tmpl w:val="4B00A61B"/>
    <w:lvl w:ilvl="0" w:tentative="0">
      <w:start w:val="1"/>
      <w:numFmt w:val="chineseCounting"/>
      <w:suff w:val="nothing"/>
      <w:lvlText w:val="%1、"/>
      <w:lvlJc w:val="left"/>
      <w:rPr>
        <w:rFonts w:hint="eastAsia" w:ascii="宋体" w:hAnsi="宋体" w:eastAsia="宋体"/>
        <w:sz w:val="24"/>
      </w:rPr>
    </w:lvl>
  </w:abstractNum>
  <w:abstractNum w:abstractNumId="4">
    <w:nsid w:val="593975BB"/>
    <w:multiLevelType w:val="singleLevel"/>
    <w:tmpl w:val="593975BB"/>
    <w:lvl w:ilvl="0" w:tentative="0">
      <w:start w:val="3"/>
      <w:numFmt w:val="decimal"/>
      <w:suff w:val="nothing"/>
      <w:lvlText w:val="%1、"/>
      <w:lvlJc w:val="left"/>
    </w:lvl>
  </w:abstractNum>
  <w:abstractNum w:abstractNumId="5">
    <w:nsid w:val="5973460B"/>
    <w:multiLevelType w:val="singleLevel"/>
    <w:tmpl w:val="5973460B"/>
    <w:lvl w:ilvl="0" w:tentative="0">
      <w:start w:val="2"/>
      <w:numFmt w:val="decimal"/>
      <w:suff w:val="nothing"/>
      <w:lvlText w:val="%1、"/>
      <w:lvlJc w:val="left"/>
    </w:lvl>
  </w:abstractNum>
  <w:abstractNum w:abstractNumId="6">
    <w:nsid w:val="59749ED8"/>
    <w:multiLevelType w:val="singleLevel"/>
    <w:tmpl w:val="59749ED8"/>
    <w:lvl w:ilvl="0" w:tentative="0">
      <w:start w:val="2"/>
      <w:numFmt w:val="decimal"/>
      <w:suff w:val="nothing"/>
      <w:lvlText w:val="（%1）"/>
      <w:lvlJc w:val="left"/>
    </w:lvl>
  </w:abstractNum>
  <w:abstractNum w:abstractNumId="7">
    <w:nsid w:val="6F5C6B10"/>
    <w:multiLevelType w:val="singleLevel"/>
    <w:tmpl w:val="6F5C6B10"/>
    <w:lvl w:ilvl="0" w:tentative="0">
      <w:start w:val="5"/>
      <w:numFmt w:val="decimal"/>
      <w:suff w:val="nothing"/>
      <w:lvlText w:val="%1、"/>
      <w:lvlJc w:val="left"/>
    </w:lvl>
  </w:abstractNum>
  <w:abstractNum w:abstractNumId="8">
    <w:nsid w:val="78342F8C"/>
    <w:multiLevelType w:val="multilevel"/>
    <w:tmpl w:val="78342F8C"/>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3"/>
  </w:num>
  <w:num w:numId="2">
    <w:abstractNumId w:val="7"/>
  </w:num>
  <w:num w:numId="3">
    <w:abstractNumId w:val="1"/>
  </w:num>
  <w:num w:numId="4">
    <w:abstractNumId w:val="5"/>
  </w:num>
  <w:num w:numId="5">
    <w:abstractNumId w:val="0"/>
  </w:num>
  <w:num w:numId="6">
    <w:abstractNumId w:val="4"/>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40"/>
  <w:drawingGridVerticalSpacing w:val="19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E1"/>
    <w:rsid w:val="000003F1"/>
    <w:rsid w:val="00000636"/>
    <w:rsid w:val="0000131A"/>
    <w:rsid w:val="00002386"/>
    <w:rsid w:val="0000278E"/>
    <w:rsid w:val="00002943"/>
    <w:rsid w:val="000030B5"/>
    <w:rsid w:val="00003213"/>
    <w:rsid w:val="00003A1D"/>
    <w:rsid w:val="00003A6B"/>
    <w:rsid w:val="00003B33"/>
    <w:rsid w:val="00003CF5"/>
    <w:rsid w:val="00004727"/>
    <w:rsid w:val="00004DA2"/>
    <w:rsid w:val="0000512F"/>
    <w:rsid w:val="000055EA"/>
    <w:rsid w:val="00005C82"/>
    <w:rsid w:val="0000623F"/>
    <w:rsid w:val="00006957"/>
    <w:rsid w:val="000069C9"/>
    <w:rsid w:val="00006D81"/>
    <w:rsid w:val="00010359"/>
    <w:rsid w:val="000112EC"/>
    <w:rsid w:val="00011A7E"/>
    <w:rsid w:val="00012510"/>
    <w:rsid w:val="00012745"/>
    <w:rsid w:val="00012CF5"/>
    <w:rsid w:val="000130CB"/>
    <w:rsid w:val="00013499"/>
    <w:rsid w:val="000134AC"/>
    <w:rsid w:val="00014436"/>
    <w:rsid w:val="00014A2C"/>
    <w:rsid w:val="00014B40"/>
    <w:rsid w:val="000156AD"/>
    <w:rsid w:val="00015791"/>
    <w:rsid w:val="00015886"/>
    <w:rsid w:val="00015D1E"/>
    <w:rsid w:val="0001601E"/>
    <w:rsid w:val="00016F35"/>
    <w:rsid w:val="000171F4"/>
    <w:rsid w:val="000174C8"/>
    <w:rsid w:val="000174EA"/>
    <w:rsid w:val="00020207"/>
    <w:rsid w:val="00020A86"/>
    <w:rsid w:val="00020FED"/>
    <w:rsid w:val="000210BA"/>
    <w:rsid w:val="0002188C"/>
    <w:rsid w:val="0002234C"/>
    <w:rsid w:val="000243B9"/>
    <w:rsid w:val="000246BE"/>
    <w:rsid w:val="00024B68"/>
    <w:rsid w:val="00025261"/>
    <w:rsid w:val="00025627"/>
    <w:rsid w:val="00025DAA"/>
    <w:rsid w:val="00026485"/>
    <w:rsid w:val="00026507"/>
    <w:rsid w:val="00026C1F"/>
    <w:rsid w:val="00027208"/>
    <w:rsid w:val="00027BF3"/>
    <w:rsid w:val="00027F0D"/>
    <w:rsid w:val="00030425"/>
    <w:rsid w:val="000304C7"/>
    <w:rsid w:val="0003054D"/>
    <w:rsid w:val="00031068"/>
    <w:rsid w:val="00031998"/>
    <w:rsid w:val="000322DE"/>
    <w:rsid w:val="00033722"/>
    <w:rsid w:val="00034317"/>
    <w:rsid w:val="000347B7"/>
    <w:rsid w:val="00034BC4"/>
    <w:rsid w:val="000353E1"/>
    <w:rsid w:val="00035BCB"/>
    <w:rsid w:val="00035DC3"/>
    <w:rsid w:val="00036E50"/>
    <w:rsid w:val="00037496"/>
    <w:rsid w:val="0003761A"/>
    <w:rsid w:val="00037A94"/>
    <w:rsid w:val="00037AAA"/>
    <w:rsid w:val="00037B38"/>
    <w:rsid w:val="00037F1C"/>
    <w:rsid w:val="0004157D"/>
    <w:rsid w:val="0004194B"/>
    <w:rsid w:val="00041A02"/>
    <w:rsid w:val="0004353E"/>
    <w:rsid w:val="0004495E"/>
    <w:rsid w:val="00044AFF"/>
    <w:rsid w:val="0004527F"/>
    <w:rsid w:val="000457F0"/>
    <w:rsid w:val="00045F71"/>
    <w:rsid w:val="000461B9"/>
    <w:rsid w:val="00046C64"/>
    <w:rsid w:val="00046D8E"/>
    <w:rsid w:val="00046DF1"/>
    <w:rsid w:val="00047FA3"/>
    <w:rsid w:val="00050365"/>
    <w:rsid w:val="000503DF"/>
    <w:rsid w:val="0005059D"/>
    <w:rsid w:val="00051624"/>
    <w:rsid w:val="00052078"/>
    <w:rsid w:val="000527D8"/>
    <w:rsid w:val="00052839"/>
    <w:rsid w:val="000534C0"/>
    <w:rsid w:val="00053F49"/>
    <w:rsid w:val="00054837"/>
    <w:rsid w:val="00054A5C"/>
    <w:rsid w:val="00055092"/>
    <w:rsid w:val="00055253"/>
    <w:rsid w:val="0005528D"/>
    <w:rsid w:val="000553CF"/>
    <w:rsid w:val="0005542B"/>
    <w:rsid w:val="00055E33"/>
    <w:rsid w:val="00055E3F"/>
    <w:rsid w:val="00055FE4"/>
    <w:rsid w:val="00056088"/>
    <w:rsid w:val="000572F9"/>
    <w:rsid w:val="0005792C"/>
    <w:rsid w:val="0006049E"/>
    <w:rsid w:val="00060670"/>
    <w:rsid w:val="00061333"/>
    <w:rsid w:val="0006140B"/>
    <w:rsid w:val="0006165C"/>
    <w:rsid w:val="00061679"/>
    <w:rsid w:val="000618B0"/>
    <w:rsid w:val="00061DE5"/>
    <w:rsid w:val="00062999"/>
    <w:rsid w:val="00063645"/>
    <w:rsid w:val="000647C6"/>
    <w:rsid w:val="00064A4C"/>
    <w:rsid w:val="00064F5A"/>
    <w:rsid w:val="00066342"/>
    <w:rsid w:val="000666C8"/>
    <w:rsid w:val="000679C5"/>
    <w:rsid w:val="00067D17"/>
    <w:rsid w:val="00067D64"/>
    <w:rsid w:val="00070399"/>
    <w:rsid w:val="0007042A"/>
    <w:rsid w:val="000705AA"/>
    <w:rsid w:val="0007156D"/>
    <w:rsid w:val="0007174B"/>
    <w:rsid w:val="00072B5B"/>
    <w:rsid w:val="00073BB9"/>
    <w:rsid w:val="0007411F"/>
    <w:rsid w:val="00074978"/>
    <w:rsid w:val="00074A70"/>
    <w:rsid w:val="00074AD6"/>
    <w:rsid w:val="000756AF"/>
    <w:rsid w:val="00075E06"/>
    <w:rsid w:val="0007603C"/>
    <w:rsid w:val="000804DC"/>
    <w:rsid w:val="00080A7D"/>
    <w:rsid w:val="000817D0"/>
    <w:rsid w:val="00081C85"/>
    <w:rsid w:val="000820AB"/>
    <w:rsid w:val="000821F9"/>
    <w:rsid w:val="0008368A"/>
    <w:rsid w:val="00083B27"/>
    <w:rsid w:val="00084372"/>
    <w:rsid w:val="000848B6"/>
    <w:rsid w:val="00084902"/>
    <w:rsid w:val="00084C71"/>
    <w:rsid w:val="000855CD"/>
    <w:rsid w:val="00085728"/>
    <w:rsid w:val="0008604A"/>
    <w:rsid w:val="000864CC"/>
    <w:rsid w:val="000864EF"/>
    <w:rsid w:val="000869A6"/>
    <w:rsid w:val="00086EDE"/>
    <w:rsid w:val="00086FDB"/>
    <w:rsid w:val="000903A2"/>
    <w:rsid w:val="000907D2"/>
    <w:rsid w:val="00090815"/>
    <w:rsid w:val="00091ACF"/>
    <w:rsid w:val="00091C22"/>
    <w:rsid w:val="0009376C"/>
    <w:rsid w:val="00093FA1"/>
    <w:rsid w:val="000944BB"/>
    <w:rsid w:val="00094FE3"/>
    <w:rsid w:val="0009560B"/>
    <w:rsid w:val="00095651"/>
    <w:rsid w:val="00095943"/>
    <w:rsid w:val="00095A68"/>
    <w:rsid w:val="00095E45"/>
    <w:rsid w:val="000963A6"/>
    <w:rsid w:val="00096AA4"/>
    <w:rsid w:val="00096D13"/>
    <w:rsid w:val="0009707F"/>
    <w:rsid w:val="000971B8"/>
    <w:rsid w:val="00097744"/>
    <w:rsid w:val="00097CFA"/>
    <w:rsid w:val="00097EDA"/>
    <w:rsid w:val="00097EF0"/>
    <w:rsid w:val="000A0659"/>
    <w:rsid w:val="000A0F5F"/>
    <w:rsid w:val="000A17F9"/>
    <w:rsid w:val="000A1E5D"/>
    <w:rsid w:val="000A1EE1"/>
    <w:rsid w:val="000A3323"/>
    <w:rsid w:val="000A3605"/>
    <w:rsid w:val="000A38A6"/>
    <w:rsid w:val="000A3D58"/>
    <w:rsid w:val="000A3E1D"/>
    <w:rsid w:val="000A4A44"/>
    <w:rsid w:val="000A5D7F"/>
    <w:rsid w:val="000A6B5B"/>
    <w:rsid w:val="000A77A7"/>
    <w:rsid w:val="000A7A30"/>
    <w:rsid w:val="000A7AAB"/>
    <w:rsid w:val="000A7BF7"/>
    <w:rsid w:val="000B0292"/>
    <w:rsid w:val="000B06A7"/>
    <w:rsid w:val="000B0BFC"/>
    <w:rsid w:val="000B0FC3"/>
    <w:rsid w:val="000B301A"/>
    <w:rsid w:val="000B36EE"/>
    <w:rsid w:val="000B3C05"/>
    <w:rsid w:val="000B6387"/>
    <w:rsid w:val="000B7164"/>
    <w:rsid w:val="000B78B6"/>
    <w:rsid w:val="000B7C72"/>
    <w:rsid w:val="000C0381"/>
    <w:rsid w:val="000C16AD"/>
    <w:rsid w:val="000C2B54"/>
    <w:rsid w:val="000C38CB"/>
    <w:rsid w:val="000C3C26"/>
    <w:rsid w:val="000C438F"/>
    <w:rsid w:val="000C4502"/>
    <w:rsid w:val="000C5D37"/>
    <w:rsid w:val="000C5D3A"/>
    <w:rsid w:val="000C5F6B"/>
    <w:rsid w:val="000C6E50"/>
    <w:rsid w:val="000C724C"/>
    <w:rsid w:val="000C7436"/>
    <w:rsid w:val="000C75B7"/>
    <w:rsid w:val="000C7DFA"/>
    <w:rsid w:val="000D02FC"/>
    <w:rsid w:val="000D1CC3"/>
    <w:rsid w:val="000D1F11"/>
    <w:rsid w:val="000D21AD"/>
    <w:rsid w:val="000D2439"/>
    <w:rsid w:val="000D2C7E"/>
    <w:rsid w:val="000D35A0"/>
    <w:rsid w:val="000D3957"/>
    <w:rsid w:val="000D3CB3"/>
    <w:rsid w:val="000D3CF4"/>
    <w:rsid w:val="000D41A9"/>
    <w:rsid w:val="000D4331"/>
    <w:rsid w:val="000D517F"/>
    <w:rsid w:val="000D5880"/>
    <w:rsid w:val="000D5B4A"/>
    <w:rsid w:val="000D5B50"/>
    <w:rsid w:val="000D6416"/>
    <w:rsid w:val="000D6DDE"/>
    <w:rsid w:val="000D7301"/>
    <w:rsid w:val="000E0902"/>
    <w:rsid w:val="000E13D3"/>
    <w:rsid w:val="000E171D"/>
    <w:rsid w:val="000E1CA0"/>
    <w:rsid w:val="000E1EC5"/>
    <w:rsid w:val="000E271A"/>
    <w:rsid w:val="000E2C36"/>
    <w:rsid w:val="000E3A47"/>
    <w:rsid w:val="000E4848"/>
    <w:rsid w:val="000E4965"/>
    <w:rsid w:val="000E4CFC"/>
    <w:rsid w:val="000E4EB8"/>
    <w:rsid w:val="000E53D8"/>
    <w:rsid w:val="000E5443"/>
    <w:rsid w:val="000E5848"/>
    <w:rsid w:val="000E5AFB"/>
    <w:rsid w:val="000E5B15"/>
    <w:rsid w:val="000E5BB2"/>
    <w:rsid w:val="000E6356"/>
    <w:rsid w:val="000E64E3"/>
    <w:rsid w:val="000E6793"/>
    <w:rsid w:val="000E6CAF"/>
    <w:rsid w:val="000E6D06"/>
    <w:rsid w:val="000E7329"/>
    <w:rsid w:val="000E7574"/>
    <w:rsid w:val="000E7DD7"/>
    <w:rsid w:val="000F0176"/>
    <w:rsid w:val="000F17A5"/>
    <w:rsid w:val="000F2185"/>
    <w:rsid w:val="000F23BF"/>
    <w:rsid w:val="000F23EB"/>
    <w:rsid w:val="000F34E3"/>
    <w:rsid w:val="000F3777"/>
    <w:rsid w:val="000F382E"/>
    <w:rsid w:val="000F44D0"/>
    <w:rsid w:val="000F45A9"/>
    <w:rsid w:val="000F4CA3"/>
    <w:rsid w:val="000F4EE9"/>
    <w:rsid w:val="000F4F12"/>
    <w:rsid w:val="000F52C1"/>
    <w:rsid w:val="000F6E2E"/>
    <w:rsid w:val="000F6F32"/>
    <w:rsid w:val="000F740C"/>
    <w:rsid w:val="000F7452"/>
    <w:rsid w:val="000F7E89"/>
    <w:rsid w:val="001005A5"/>
    <w:rsid w:val="00100CB8"/>
    <w:rsid w:val="001010D4"/>
    <w:rsid w:val="00101AAA"/>
    <w:rsid w:val="001027D6"/>
    <w:rsid w:val="00103C1B"/>
    <w:rsid w:val="00103CAD"/>
    <w:rsid w:val="00104417"/>
    <w:rsid w:val="0010442C"/>
    <w:rsid w:val="001044D3"/>
    <w:rsid w:val="00104EF3"/>
    <w:rsid w:val="00105C6B"/>
    <w:rsid w:val="001065E4"/>
    <w:rsid w:val="0010662B"/>
    <w:rsid w:val="0010714E"/>
    <w:rsid w:val="00107251"/>
    <w:rsid w:val="001073E7"/>
    <w:rsid w:val="001074AF"/>
    <w:rsid w:val="001079A5"/>
    <w:rsid w:val="001079B7"/>
    <w:rsid w:val="00107C63"/>
    <w:rsid w:val="001102BE"/>
    <w:rsid w:val="00110339"/>
    <w:rsid w:val="001106C7"/>
    <w:rsid w:val="00111595"/>
    <w:rsid w:val="00111CEE"/>
    <w:rsid w:val="00111F04"/>
    <w:rsid w:val="00112DAB"/>
    <w:rsid w:val="0011304C"/>
    <w:rsid w:val="001134BA"/>
    <w:rsid w:val="001135ED"/>
    <w:rsid w:val="00113C47"/>
    <w:rsid w:val="00114319"/>
    <w:rsid w:val="00114365"/>
    <w:rsid w:val="00114D04"/>
    <w:rsid w:val="00115D05"/>
    <w:rsid w:val="0011667B"/>
    <w:rsid w:val="00117200"/>
    <w:rsid w:val="00120827"/>
    <w:rsid w:val="00120B27"/>
    <w:rsid w:val="001210B0"/>
    <w:rsid w:val="001215C7"/>
    <w:rsid w:val="00121C2B"/>
    <w:rsid w:val="00121CDD"/>
    <w:rsid w:val="00121F11"/>
    <w:rsid w:val="0012221F"/>
    <w:rsid w:val="00122387"/>
    <w:rsid w:val="00123489"/>
    <w:rsid w:val="00123BE1"/>
    <w:rsid w:val="00125CDC"/>
    <w:rsid w:val="00125F24"/>
    <w:rsid w:val="001265BB"/>
    <w:rsid w:val="00126926"/>
    <w:rsid w:val="00127304"/>
    <w:rsid w:val="00127A2E"/>
    <w:rsid w:val="00127F17"/>
    <w:rsid w:val="001301CA"/>
    <w:rsid w:val="00130622"/>
    <w:rsid w:val="00130910"/>
    <w:rsid w:val="00130ABA"/>
    <w:rsid w:val="00130C84"/>
    <w:rsid w:val="001318A4"/>
    <w:rsid w:val="00131C87"/>
    <w:rsid w:val="00132E99"/>
    <w:rsid w:val="00133127"/>
    <w:rsid w:val="00133AF2"/>
    <w:rsid w:val="001358C4"/>
    <w:rsid w:val="00135CAB"/>
    <w:rsid w:val="00135FC7"/>
    <w:rsid w:val="001363E5"/>
    <w:rsid w:val="0013663C"/>
    <w:rsid w:val="001366EC"/>
    <w:rsid w:val="00136F36"/>
    <w:rsid w:val="0013749A"/>
    <w:rsid w:val="00137B6E"/>
    <w:rsid w:val="001401D3"/>
    <w:rsid w:val="00140A4B"/>
    <w:rsid w:val="00141AA4"/>
    <w:rsid w:val="001425BD"/>
    <w:rsid w:val="001427B1"/>
    <w:rsid w:val="0014326E"/>
    <w:rsid w:val="001432CF"/>
    <w:rsid w:val="00143E7F"/>
    <w:rsid w:val="001446F2"/>
    <w:rsid w:val="00145260"/>
    <w:rsid w:val="001462DB"/>
    <w:rsid w:val="0014638C"/>
    <w:rsid w:val="00146B72"/>
    <w:rsid w:val="00146F2C"/>
    <w:rsid w:val="00147733"/>
    <w:rsid w:val="001478D9"/>
    <w:rsid w:val="00147E38"/>
    <w:rsid w:val="001509B0"/>
    <w:rsid w:val="00151127"/>
    <w:rsid w:val="001515F4"/>
    <w:rsid w:val="00151CCA"/>
    <w:rsid w:val="00151D1D"/>
    <w:rsid w:val="0015203A"/>
    <w:rsid w:val="001530C9"/>
    <w:rsid w:val="0015349F"/>
    <w:rsid w:val="00153DEF"/>
    <w:rsid w:val="001546C2"/>
    <w:rsid w:val="001548A1"/>
    <w:rsid w:val="001550EA"/>
    <w:rsid w:val="00156530"/>
    <w:rsid w:val="00156D19"/>
    <w:rsid w:val="00160A9C"/>
    <w:rsid w:val="00161E4D"/>
    <w:rsid w:val="001620E1"/>
    <w:rsid w:val="001628A1"/>
    <w:rsid w:val="00162C4F"/>
    <w:rsid w:val="00163168"/>
    <w:rsid w:val="001637CA"/>
    <w:rsid w:val="00163973"/>
    <w:rsid w:val="00163A7F"/>
    <w:rsid w:val="00163CF7"/>
    <w:rsid w:val="00163EAB"/>
    <w:rsid w:val="00163EB1"/>
    <w:rsid w:val="00164A38"/>
    <w:rsid w:val="00164A95"/>
    <w:rsid w:val="00164AD2"/>
    <w:rsid w:val="00164B2E"/>
    <w:rsid w:val="00165E43"/>
    <w:rsid w:val="0016633D"/>
    <w:rsid w:val="00166ACA"/>
    <w:rsid w:val="00166D96"/>
    <w:rsid w:val="001679E5"/>
    <w:rsid w:val="00170374"/>
    <w:rsid w:val="00170609"/>
    <w:rsid w:val="00170716"/>
    <w:rsid w:val="001709D8"/>
    <w:rsid w:val="00170CA9"/>
    <w:rsid w:val="00170EA3"/>
    <w:rsid w:val="00171246"/>
    <w:rsid w:val="00171CFC"/>
    <w:rsid w:val="00171F05"/>
    <w:rsid w:val="00171FAC"/>
    <w:rsid w:val="00172A27"/>
    <w:rsid w:val="00172A53"/>
    <w:rsid w:val="00173A13"/>
    <w:rsid w:val="001748D6"/>
    <w:rsid w:val="00174F8A"/>
    <w:rsid w:val="00175467"/>
    <w:rsid w:val="0017585B"/>
    <w:rsid w:val="00176640"/>
    <w:rsid w:val="0017686A"/>
    <w:rsid w:val="00176B5F"/>
    <w:rsid w:val="00176F0C"/>
    <w:rsid w:val="00176F9B"/>
    <w:rsid w:val="001774CE"/>
    <w:rsid w:val="00177922"/>
    <w:rsid w:val="00177A53"/>
    <w:rsid w:val="00177CCD"/>
    <w:rsid w:val="0018027B"/>
    <w:rsid w:val="001803F5"/>
    <w:rsid w:val="001805E5"/>
    <w:rsid w:val="00180AD4"/>
    <w:rsid w:val="00181956"/>
    <w:rsid w:val="00181ADD"/>
    <w:rsid w:val="00183185"/>
    <w:rsid w:val="0018371D"/>
    <w:rsid w:val="00183A44"/>
    <w:rsid w:val="00183C11"/>
    <w:rsid w:val="00183E99"/>
    <w:rsid w:val="001844B8"/>
    <w:rsid w:val="001851FF"/>
    <w:rsid w:val="001866B4"/>
    <w:rsid w:val="0018782A"/>
    <w:rsid w:val="00187C32"/>
    <w:rsid w:val="00190227"/>
    <w:rsid w:val="00191BFA"/>
    <w:rsid w:val="00191C44"/>
    <w:rsid w:val="00192398"/>
    <w:rsid w:val="00192C5E"/>
    <w:rsid w:val="001938F0"/>
    <w:rsid w:val="00193B3D"/>
    <w:rsid w:val="00193F32"/>
    <w:rsid w:val="001942C3"/>
    <w:rsid w:val="00195130"/>
    <w:rsid w:val="00195704"/>
    <w:rsid w:val="00195F6D"/>
    <w:rsid w:val="001961A5"/>
    <w:rsid w:val="00197395"/>
    <w:rsid w:val="001979DC"/>
    <w:rsid w:val="001A0B0E"/>
    <w:rsid w:val="001A11D8"/>
    <w:rsid w:val="001A1792"/>
    <w:rsid w:val="001A2F32"/>
    <w:rsid w:val="001A351C"/>
    <w:rsid w:val="001A374B"/>
    <w:rsid w:val="001A3B52"/>
    <w:rsid w:val="001A4356"/>
    <w:rsid w:val="001A4897"/>
    <w:rsid w:val="001A48DE"/>
    <w:rsid w:val="001A6168"/>
    <w:rsid w:val="001A6680"/>
    <w:rsid w:val="001A7417"/>
    <w:rsid w:val="001A7A4B"/>
    <w:rsid w:val="001A7C5B"/>
    <w:rsid w:val="001A7E85"/>
    <w:rsid w:val="001A7FFE"/>
    <w:rsid w:val="001B035E"/>
    <w:rsid w:val="001B0B34"/>
    <w:rsid w:val="001B20A2"/>
    <w:rsid w:val="001B23D9"/>
    <w:rsid w:val="001B3EC3"/>
    <w:rsid w:val="001B50FA"/>
    <w:rsid w:val="001B5973"/>
    <w:rsid w:val="001B612F"/>
    <w:rsid w:val="001B6CE4"/>
    <w:rsid w:val="001B6E65"/>
    <w:rsid w:val="001B71D7"/>
    <w:rsid w:val="001B7D3B"/>
    <w:rsid w:val="001B7DE7"/>
    <w:rsid w:val="001C00D0"/>
    <w:rsid w:val="001C042F"/>
    <w:rsid w:val="001C0889"/>
    <w:rsid w:val="001C1DDA"/>
    <w:rsid w:val="001C2624"/>
    <w:rsid w:val="001C3179"/>
    <w:rsid w:val="001C3503"/>
    <w:rsid w:val="001C438D"/>
    <w:rsid w:val="001C4C66"/>
    <w:rsid w:val="001C6715"/>
    <w:rsid w:val="001C731E"/>
    <w:rsid w:val="001C779E"/>
    <w:rsid w:val="001D06B3"/>
    <w:rsid w:val="001D1CE1"/>
    <w:rsid w:val="001D32BD"/>
    <w:rsid w:val="001D4001"/>
    <w:rsid w:val="001D4303"/>
    <w:rsid w:val="001D519D"/>
    <w:rsid w:val="001D6CAF"/>
    <w:rsid w:val="001D7EC4"/>
    <w:rsid w:val="001E07AB"/>
    <w:rsid w:val="001E0C93"/>
    <w:rsid w:val="001E0D9A"/>
    <w:rsid w:val="001E17BC"/>
    <w:rsid w:val="001E2076"/>
    <w:rsid w:val="001E22DD"/>
    <w:rsid w:val="001E24A5"/>
    <w:rsid w:val="001E27DE"/>
    <w:rsid w:val="001E32AC"/>
    <w:rsid w:val="001E3787"/>
    <w:rsid w:val="001E4743"/>
    <w:rsid w:val="001E4A2A"/>
    <w:rsid w:val="001E4F7D"/>
    <w:rsid w:val="001E5A95"/>
    <w:rsid w:val="001E5F32"/>
    <w:rsid w:val="001E630E"/>
    <w:rsid w:val="001E6EFC"/>
    <w:rsid w:val="001E7F2C"/>
    <w:rsid w:val="001F0ADD"/>
    <w:rsid w:val="001F1462"/>
    <w:rsid w:val="001F1480"/>
    <w:rsid w:val="001F15DE"/>
    <w:rsid w:val="001F18C7"/>
    <w:rsid w:val="001F1E9F"/>
    <w:rsid w:val="001F200B"/>
    <w:rsid w:val="001F211D"/>
    <w:rsid w:val="001F29E6"/>
    <w:rsid w:val="001F2B79"/>
    <w:rsid w:val="001F31B2"/>
    <w:rsid w:val="001F32E9"/>
    <w:rsid w:val="001F3ACA"/>
    <w:rsid w:val="001F3BBE"/>
    <w:rsid w:val="001F4A50"/>
    <w:rsid w:val="001F53A1"/>
    <w:rsid w:val="001F575B"/>
    <w:rsid w:val="001F5B37"/>
    <w:rsid w:val="001F7587"/>
    <w:rsid w:val="001F7B90"/>
    <w:rsid w:val="001F7E40"/>
    <w:rsid w:val="00200854"/>
    <w:rsid w:val="00201761"/>
    <w:rsid w:val="00201C82"/>
    <w:rsid w:val="00201E1F"/>
    <w:rsid w:val="002022CF"/>
    <w:rsid w:val="0020250B"/>
    <w:rsid w:val="002027C8"/>
    <w:rsid w:val="00203457"/>
    <w:rsid w:val="00204457"/>
    <w:rsid w:val="002045A0"/>
    <w:rsid w:val="002049E6"/>
    <w:rsid w:val="00204B2A"/>
    <w:rsid w:val="002060B0"/>
    <w:rsid w:val="002066DC"/>
    <w:rsid w:val="00206EE1"/>
    <w:rsid w:val="00206F03"/>
    <w:rsid w:val="002102CB"/>
    <w:rsid w:val="002104A6"/>
    <w:rsid w:val="002107EA"/>
    <w:rsid w:val="002109E7"/>
    <w:rsid w:val="00210C38"/>
    <w:rsid w:val="002113E2"/>
    <w:rsid w:val="00211F6D"/>
    <w:rsid w:val="00212234"/>
    <w:rsid w:val="00212BB9"/>
    <w:rsid w:val="00212D43"/>
    <w:rsid w:val="00212E4F"/>
    <w:rsid w:val="00212FB6"/>
    <w:rsid w:val="00213613"/>
    <w:rsid w:val="00213ACE"/>
    <w:rsid w:val="00213CD9"/>
    <w:rsid w:val="00214347"/>
    <w:rsid w:val="00215610"/>
    <w:rsid w:val="002167DC"/>
    <w:rsid w:val="00216988"/>
    <w:rsid w:val="002169E0"/>
    <w:rsid w:val="00216F42"/>
    <w:rsid w:val="0021735D"/>
    <w:rsid w:val="00217FC5"/>
    <w:rsid w:val="00220281"/>
    <w:rsid w:val="00220869"/>
    <w:rsid w:val="00220B54"/>
    <w:rsid w:val="002210B1"/>
    <w:rsid w:val="00221200"/>
    <w:rsid w:val="002216A0"/>
    <w:rsid w:val="0022220B"/>
    <w:rsid w:val="00222285"/>
    <w:rsid w:val="0022230A"/>
    <w:rsid w:val="00223904"/>
    <w:rsid w:val="00223CF1"/>
    <w:rsid w:val="002240F3"/>
    <w:rsid w:val="002253F1"/>
    <w:rsid w:val="002253FF"/>
    <w:rsid w:val="00225653"/>
    <w:rsid w:val="002258BD"/>
    <w:rsid w:val="0022606F"/>
    <w:rsid w:val="00226FA2"/>
    <w:rsid w:val="00230CA4"/>
    <w:rsid w:val="0023112C"/>
    <w:rsid w:val="0023116C"/>
    <w:rsid w:val="00232E4C"/>
    <w:rsid w:val="002342DF"/>
    <w:rsid w:val="002343BB"/>
    <w:rsid w:val="00234505"/>
    <w:rsid w:val="002350FA"/>
    <w:rsid w:val="002359EB"/>
    <w:rsid w:val="00236854"/>
    <w:rsid w:val="00236E14"/>
    <w:rsid w:val="00236EA8"/>
    <w:rsid w:val="0023710A"/>
    <w:rsid w:val="00237672"/>
    <w:rsid w:val="002403D4"/>
    <w:rsid w:val="002407C4"/>
    <w:rsid w:val="002408D7"/>
    <w:rsid w:val="0024152D"/>
    <w:rsid w:val="00241902"/>
    <w:rsid w:val="00242186"/>
    <w:rsid w:val="002425BD"/>
    <w:rsid w:val="0024422B"/>
    <w:rsid w:val="00244B7B"/>
    <w:rsid w:val="00244BFF"/>
    <w:rsid w:val="00245225"/>
    <w:rsid w:val="00245439"/>
    <w:rsid w:val="0024549A"/>
    <w:rsid w:val="00246214"/>
    <w:rsid w:val="00246275"/>
    <w:rsid w:val="002466D6"/>
    <w:rsid w:val="00246C06"/>
    <w:rsid w:val="002471D0"/>
    <w:rsid w:val="0024776D"/>
    <w:rsid w:val="00247D72"/>
    <w:rsid w:val="00250088"/>
    <w:rsid w:val="00250C90"/>
    <w:rsid w:val="00251C0B"/>
    <w:rsid w:val="00252210"/>
    <w:rsid w:val="00252256"/>
    <w:rsid w:val="00252663"/>
    <w:rsid w:val="00252ADE"/>
    <w:rsid w:val="002532F2"/>
    <w:rsid w:val="00253A53"/>
    <w:rsid w:val="002557D3"/>
    <w:rsid w:val="00255BDC"/>
    <w:rsid w:val="00255C60"/>
    <w:rsid w:val="00255EC9"/>
    <w:rsid w:val="00256625"/>
    <w:rsid w:val="002574E4"/>
    <w:rsid w:val="002575E8"/>
    <w:rsid w:val="002576B5"/>
    <w:rsid w:val="00257A28"/>
    <w:rsid w:val="0026084C"/>
    <w:rsid w:val="0026092D"/>
    <w:rsid w:val="00260E8E"/>
    <w:rsid w:val="00260F00"/>
    <w:rsid w:val="00261557"/>
    <w:rsid w:val="00261856"/>
    <w:rsid w:val="00262784"/>
    <w:rsid w:val="00262C6C"/>
    <w:rsid w:val="0026321C"/>
    <w:rsid w:val="002652DE"/>
    <w:rsid w:val="002656F8"/>
    <w:rsid w:val="002665AB"/>
    <w:rsid w:val="00270CE0"/>
    <w:rsid w:val="00270DF4"/>
    <w:rsid w:val="00270E1A"/>
    <w:rsid w:val="00271286"/>
    <w:rsid w:val="0027174E"/>
    <w:rsid w:val="00271C4A"/>
    <w:rsid w:val="002720BB"/>
    <w:rsid w:val="002733D7"/>
    <w:rsid w:val="0027361C"/>
    <w:rsid w:val="00273A91"/>
    <w:rsid w:val="00273C11"/>
    <w:rsid w:val="00273C54"/>
    <w:rsid w:val="00273FBD"/>
    <w:rsid w:val="00274A20"/>
    <w:rsid w:val="00274B18"/>
    <w:rsid w:val="002758CB"/>
    <w:rsid w:val="00275ADC"/>
    <w:rsid w:val="00275AE8"/>
    <w:rsid w:val="00275C5F"/>
    <w:rsid w:val="00276F6C"/>
    <w:rsid w:val="0027733C"/>
    <w:rsid w:val="002778D6"/>
    <w:rsid w:val="00277B4B"/>
    <w:rsid w:val="00277FBC"/>
    <w:rsid w:val="00281A96"/>
    <w:rsid w:val="00281BEB"/>
    <w:rsid w:val="0028249B"/>
    <w:rsid w:val="002831AB"/>
    <w:rsid w:val="0028378E"/>
    <w:rsid w:val="00283F8E"/>
    <w:rsid w:val="00284DB8"/>
    <w:rsid w:val="00284F24"/>
    <w:rsid w:val="00286E2F"/>
    <w:rsid w:val="00290092"/>
    <w:rsid w:val="002911B6"/>
    <w:rsid w:val="002918E1"/>
    <w:rsid w:val="00292524"/>
    <w:rsid w:val="00292884"/>
    <w:rsid w:val="00292D12"/>
    <w:rsid w:val="002930CF"/>
    <w:rsid w:val="00293714"/>
    <w:rsid w:val="0029412B"/>
    <w:rsid w:val="002941D8"/>
    <w:rsid w:val="00294419"/>
    <w:rsid w:val="0029490E"/>
    <w:rsid w:val="00295775"/>
    <w:rsid w:val="00296576"/>
    <w:rsid w:val="00297098"/>
    <w:rsid w:val="002A0B9D"/>
    <w:rsid w:val="002A0BAB"/>
    <w:rsid w:val="002A0C09"/>
    <w:rsid w:val="002A0C2E"/>
    <w:rsid w:val="002A13A5"/>
    <w:rsid w:val="002A168A"/>
    <w:rsid w:val="002A19B3"/>
    <w:rsid w:val="002A19FE"/>
    <w:rsid w:val="002A1E7E"/>
    <w:rsid w:val="002A21F0"/>
    <w:rsid w:val="002A2454"/>
    <w:rsid w:val="002A3DD5"/>
    <w:rsid w:val="002A4CED"/>
    <w:rsid w:val="002A4E2E"/>
    <w:rsid w:val="002A4EA0"/>
    <w:rsid w:val="002A5064"/>
    <w:rsid w:val="002A51E8"/>
    <w:rsid w:val="002A6032"/>
    <w:rsid w:val="002A6588"/>
    <w:rsid w:val="002A7A27"/>
    <w:rsid w:val="002B02A8"/>
    <w:rsid w:val="002B32F0"/>
    <w:rsid w:val="002B3327"/>
    <w:rsid w:val="002B3F34"/>
    <w:rsid w:val="002B43D1"/>
    <w:rsid w:val="002B43DD"/>
    <w:rsid w:val="002B4EF1"/>
    <w:rsid w:val="002B5534"/>
    <w:rsid w:val="002B577B"/>
    <w:rsid w:val="002B64DC"/>
    <w:rsid w:val="002B72E7"/>
    <w:rsid w:val="002B735B"/>
    <w:rsid w:val="002C0869"/>
    <w:rsid w:val="002C1385"/>
    <w:rsid w:val="002C1B53"/>
    <w:rsid w:val="002C2EB6"/>
    <w:rsid w:val="002C43F4"/>
    <w:rsid w:val="002C5EB8"/>
    <w:rsid w:val="002C6A37"/>
    <w:rsid w:val="002C7869"/>
    <w:rsid w:val="002C7AED"/>
    <w:rsid w:val="002D0434"/>
    <w:rsid w:val="002D0883"/>
    <w:rsid w:val="002D0E8A"/>
    <w:rsid w:val="002D13CF"/>
    <w:rsid w:val="002D23BA"/>
    <w:rsid w:val="002D270F"/>
    <w:rsid w:val="002D320E"/>
    <w:rsid w:val="002D450E"/>
    <w:rsid w:val="002D516B"/>
    <w:rsid w:val="002D5707"/>
    <w:rsid w:val="002D5922"/>
    <w:rsid w:val="002D71A5"/>
    <w:rsid w:val="002D71ED"/>
    <w:rsid w:val="002D794D"/>
    <w:rsid w:val="002D7AB6"/>
    <w:rsid w:val="002D7BAA"/>
    <w:rsid w:val="002E0674"/>
    <w:rsid w:val="002E0D35"/>
    <w:rsid w:val="002E1111"/>
    <w:rsid w:val="002E1DE8"/>
    <w:rsid w:val="002E23A9"/>
    <w:rsid w:val="002E25B6"/>
    <w:rsid w:val="002E29CF"/>
    <w:rsid w:val="002E2ED9"/>
    <w:rsid w:val="002E2EFC"/>
    <w:rsid w:val="002E2F2C"/>
    <w:rsid w:val="002E337A"/>
    <w:rsid w:val="002E3613"/>
    <w:rsid w:val="002E37BE"/>
    <w:rsid w:val="002E5D8F"/>
    <w:rsid w:val="002F0421"/>
    <w:rsid w:val="002F0D3F"/>
    <w:rsid w:val="002F0F78"/>
    <w:rsid w:val="002F13CC"/>
    <w:rsid w:val="002F2649"/>
    <w:rsid w:val="002F3BE1"/>
    <w:rsid w:val="002F3F5E"/>
    <w:rsid w:val="002F4D53"/>
    <w:rsid w:val="002F615E"/>
    <w:rsid w:val="002F67DF"/>
    <w:rsid w:val="002F6F98"/>
    <w:rsid w:val="002F725D"/>
    <w:rsid w:val="00300389"/>
    <w:rsid w:val="003003F0"/>
    <w:rsid w:val="00300AC7"/>
    <w:rsid w:val="00300DA1"/>
    <w:rsid w:val="00301BA5"/>
    <w:rsid w:val="00301D2A"/>
    <w:rsid w:val="003022B1"/>
    <w:rsid w:val="00302DFE"/>
    <w:rsid w:val="00303A09"/>
    <w:rsid w:val="003043AD"/>
    <w:rsid w:val="0030456E"/>
    <w:rsid w:val="00304578"/>
    <w:rsid w:val="003053C9"/>
    <w:rsid w:val="00305C21"/>
    <w:rsid w:val="00305D44"/>
    <w:rsid w:val="003062CE"/>
    <w:rsid w:val="00306413"/>
    <w:rsid w:val="00306C73"/>
    <w:rsid w:val="00306DDC"/>
    <w:rsid w:val="003110A6"/>
    <w:rsid w:val="003118D3"/>
    <w:rsid w:val="003119BA"/>
    <w:rsid w:val="00312AA9"/>
    <w:rsid w:val="00313288"/>
    <w:rsid w:val="003136E7"/>
    <w:rsid w:val="00313BD2"/>
    <w:rsid w:val="00313DEC"/>
    <w:rsid w:val="00315173"/>
    <w:rsid w:val="00315501"/>
    <w:rsid w:val="00315911"/>
    <w:rsid w:val="00315C9F"/>
    <w:rsid w:val="00315E44"/>
    <w:rsid w:val="0031647E"/>
    <w:rsid w:val="00316AE8"/>
    <w:rsid w:val="00316AFE"/>
    <w:rsid w:val="00316CEF"/>
    <w:rsid w:val="003171BC"/>
    <w:rsid w:val="00317BE4"/>
    <w:rsid w:val="00320208"/>
    <w:rsid w:val="0032021A"/>
    <w:rsid w:val="00320FB9"/>
    <w:rsid w:val="003210C5"/>
    <w:rsid w:val="00321431"/>
    <w:rsid w:val="003214D4"/>
    <w:rsid w:val="00321C31"/>
    <w:rsid w:val="00321E16"/>
    <w:rsid w:val="00322801"/>
    <w:rsid w:val="003229D8"/>
    <w:rsid w:val="00323068"/>
    <w:rsid w:val="00323C15"/>
    <w:rsid w:val="00323DDA"/>
    <w:rsid w:val="00323F22"/>
    <w:rsid w:val="0032480D"/>
    <w:rsid w:val="00324A1C"/>
    <w:rsid w:val="00325C40"/>
    <w:rsid w:val="00325DAB"/>
    <w:rsid w:val="00325F17"/>
    <w:rsid w:val="00326F07"/>
    <w:rsid w:val="00327029"/>
    <w:rsid w:val="0033080E"/>
    <w:rsid w:val="003314F3"/>
    <w:rsid w:val="00331695"/>
    <w:rsid w:val="00331D04"/>
    <w:rsid w:val="00331E92"/>
    <w:rsid w:val="00332165"/>
    <w:rsid w:val="00332657"/>
    <w:rsid w:val="003333A6"/>
    <w:rsid w:val="003350DB"/>
    <w:rsid w:val="0033529C"/>
    <w:rsid w:val="0033627F"/>
    <w:rsid w:val="003364BE"/>
    <w:rsid w:val="003369B1"/>
    <w:rsid w:val="003369C5"/>
    <w:rsid w:val="00336DEF"/>
    <w:rsid w:val="003370BA"/>
    <w:rsid w:val="003406FE"/>
    <w:rsid w:val="00342D44"/>
    <w:rsid w:val="00342E0A"/>
    <w:rsid w:val="003430B2"/>
    <w:rsid w:val="003444C2"/>
    <w:rsid w:val="00344718"/>
    <w:rsid w:val="00344825"/>
    <w:rsid w:val="00344AB5"/>
    <w:rsid w:val="00344CCC"/>
    <w:rsid w:val="00345E56"/>
    <w:rsid w:val="00346183"/>
    <w:rsid w:val="00346BE5"/>
    <w:rsid w:val="00346CD5"/>
    <w:rsid w:val="00346DA1"/>
    <w:rsid w:val="00346EFB"/>
    <w:rsid w:val="00347434"/>
    <w:rsid w:val="00350291"/>
    <w:rsid w:val="003503AA"/>
    <w:rsid w:val="00350628"/>
    <w:rsid w:val="003509E1"/>
    <w:rsid w:val="0035141F"/>
    <w:rsid w:val="003521C1"/>
    <w:rsid w:val="0035255F"/>
    <w:rsid w:val="00353638"/>
    <w:rsid w:val="00354BBA"/>
    <w:rsid w:val="00355521"/>
    <w:rsid w:val="0035580D"/>
    <w:rsid w:val="00355A8D"/>
    <w:rsid w:val="0035622B"/>
    <w:rsid w:val="00356CCE"/>
    <w:rsid w:val="00357244"/>
    <w:rsid w:val="00357DCD"/>
    <w:rsid w:val="00360186"/>
    <w:rsid w:val="0036061E"/>
    <w:rsid w:val="003606BB"/>
    <w:rsid w:val="00360E52"/>
    <w:rsid w:val="00361E9B"/>
    <w:rsid w:val="003629DB"/>
    <w:rsid w:val="00362B0B"/>
    <w:rsid w:val="00363351"/>
    <w:rsid w:val="0036424B"/>
    <w:rsid w:val="003643CF"/>
    <w:rsid w:val="0036506A"/>
    <w:rsid w:val="00365323"/>
    <w:rsid w:val="0036561B"/>
    <w:rsid w:val="00365666"/>
    <w:rsid w:val="00366361"/>
    <w:rsid w:val="00366864"/>
    <w:rsid w:val="00366874"/>
    <w:rsid w:val="0036708F"/>
    <w:rsid w:val="003675D7"/>
    <w:rsid w:val="00367F7C"/>
    <w:rsid w:val="003704F8"/>
    <w:rsid w:val="00370E33"/>
    <w:rsid w:val="00371CBC"/>
    <w:rsid w:val="00372D54"/>
    <w:rsid w:val="00373098"/>
    <w:rsid w:val="003733CA"/>
    <w:rsid w:val="00374939"/>
    <w:rsid w:val="00374C1F"/>
    <w:rsid w:val="00374C83"/>
    <w:rsid w:val="00374E4A"/>
    <w:rsid w:val="00375131"/>
    <w:rsid w:val="00375E22"/>
    <w:rsid w:val="00376781"/>
    <w:rsid w:val="00376950"/>
    <w:rsid w:val="00376F14"/>
    <w:rsid w:val="0037784E"/>
    <w:rsid w:val="00377D98"/>
    <w:rsid w:val="00377DAE"/>
    <w:rsid w:val="00380774"/>
    <w:rsid w:val="00380AF3"/>
    <w:rsid w:val="00381C29"/>
    <w:rsid w:val="003822E1"/>
    <w:rsid w:val="00382867"/>
    <w:rsid w:val="00382BC6"/>
    <w:rsid w:val="00382CAA"/>
    <w:rsid w:val="00382FF9"/>
    <w:rsid w:val="003836DD"/>
    <w:rsid w:val="0038391C"/>
    <w:rsid w:val="00383A7C"/>
    <w:rsid w:val="0038407F"/>
    <w:rsid w:val="00384222"/>
    <w:rsid w:val="00385D55"/>
    <w:rsid w:val="00386233"/>
    <w:rsid w:val="00386285"/>
    <w:rsid w:val="003862E1"/>
    <w:rsid w:val="00386B9C"/>
    <w:rsid w:val="00386CB5"/>
    <w:rsid w:val="00386F71"/>
    <w:rsid w:val="0038735F"/>
    <w:rsid w:val="0038745D"/>
    <w:rsid w:val="003874A2"/>
    <w:rsid w:val="00387734"/>
    <w:rsid w:val="00390EA6"/>
    <w:rsid w:val="003918EA"/>
    <w:rsid w:val="00391C1D"/>
    <w:rsid w:val="00392084"/>
    <w:rsid w:val="003922C2"/>
    <w:rsid w:val="003922D6"/>
    <w:rsid w:val="003927BF"/>
    <w:rsid w:val="00392A34"/>
    <w:rsid w:val="00392D31"/>
    <w:rsid w:val="00392DD7"/>
    <w:rsid w:val="0039367C"/>
    <w:rsid w:val="003937CD"/>
    <w:rsid w:val="00393B52"/>
    <w:rsid w:val="0039427F"/>
    <w:rsid w:val="00394457"/>
    <w:rsid w:val="00395081"/>
    <w:rsid w:val="003953E4"/>
    <w:rsid w:val="003957B4"/>
    <w:rsid w:val="00395841"/>
    <w:rsid w:val="00395B7E"/>
    <w:rsid w:val="00397020"/>
    <w:rsid w:val="003A0A8D"/>
    <w:rsid w:val="003A0E4B"/>
    <w:rsid w:val="003A10A3"/>
    <w:rsid w:val="003A1842"/>
    <w:rsid w:val="003A1E43"/>
    <w:rsid w:val="003A2481"/>
    <w:rsid w:val="003A2C65"/>
    <w:rsid w:val="003A2DB4"/>
    <w:rsid w:val="003A3068"/>
    <w:rsid w:val="003A314A"/>
    <w:rsid w:val="003A392C"/>
    <w:rsid w:val="003A40F2"/>
    <w:rsid w:val="003A4BF4"/>
    <w:rsid w:val="003A4FB9"/>
    <w:rsid w:val="003A53F4"/>
    <w:rsid w:val="003A562E"/>
    <w:rsid w:val="003A5DBC"/>
    <w:rsid w:val="003A766E"/>
    <w:rsid w:val="003B017A"/>
    <w:rsid w:val="003B0B18"/>
    <w:rsid w:val="003B1102"/>
    <w:rsid w:val="003B17B6"/>
    <w:rsid w:val="003B1C0D"/>
    <w:rsid w:val="003B2244"/>
    <w:rsid w:val="003B2A07"/>
    <w:rsid w:val="003B34DB"/>
    <w:rsid w:val="003B4210"/>
    <w:rsid w:val="003B5952"/>
    <w:rsid w:val="003B59B6"/>
    <w:rsid w:val="003B59E9"/>
    <w:rsid w:val="003B5D76"/>
    <w:rsid w:val="003B6583"/>
    <w:rsid w:val="003B65A8"/>
    <w:rsid w:val="003B664A"/>
    <w:rsid w:val="003B6DED"/>
    <w:rsid w:val="003B7B8B"/>
    <w:rsid w:val="003C0365"/>
    <w:rsid w:val="003C0784"/>
    <w:rsid w:val="003C09D9"/>
    <w:rsid w:val="003C0B47"/>
    <w:rsid w:val="003C0E0A"/>
    <w:rsid w:val="003C0E4F"/>
    <w:rsid w:val="003C1215"/>
    <w:rsid w:val="003C12E8"/>
    <w:rsid w:val="003C1916"/>
    <w:rsid w:val="003C1D1B"/>
    <w:rsid w:val="003C2C62"/>
    <w:rsid w:val="003C2D75"/>
    <w:rsid w:val="003C2D93"/>
    <w:rsid w:val="003C344B"/>
    <w:rsid w:val="003C39FC"/>
    <w:rsid w:val="003C43F7"/>
    <w:rsid w:val="003C4962"/>
    <w:rsid w:val="003C5511"/>
    <w:rsid w:val="003C5690"/>
    <w:rsid w:val="003C5FC5"/>
    <w:rsid w:val="003C68C1"/>
    <w:rsid w:val="003C69C4"/>
    <w:rsid w:val="003C74AF"/>
    <w:rsid w:val="003C7D93"/>
    <w:rsid w:val="003D058E"/>
    <w:rsid w:val="003D07F0"/>
    <w:rsid w:val="003D0EA8"/>
    <w:rsid w:val="003D178D"/>
    <w:rsid w:val="003D1A8F"/>
    <w:rsid w:val="003D1E61"/>
    <w:rsid w:val="003D20D0"/>
    <w:rsid w:val="003D2718"/>
    <w:rsid w:val="003D2CC7"/>
    <w:rsid w:val="003D354D"/>
    <w:rsid w:val="003D3B04"/>
    <w:rsid w:val="003D3C9E"/>
    <w:rsid w:val="003D40B2"/>
    <w:rsid w:val="003D47C9"/>
    <w:rsid w:val="003D4FDB"/>
    <w:rsid w:val="003D5703"/>
    <w:rsid w:val="003D5D27"/>
    <w:rsid w:val="003D627F"/>
    <w:rsid w:val="003D639B"/>
    <w:rsid w:val="003D673B"/>
    <w:rsid w:val="003D69EC"/>
    <w:rsid w:val="003D7235"/>
    <w:rsid w:val="003D728C"/>
    <w:rsid w:val="003D7952"/>
    <w:rsid w:val="003D7E9A"/>
    <w:rsid w:val="003E0750"/>
    <w:rsid w:val="003E0E4E"/>
    <w:rsid w:val="003E1520"/>
    <w:rsid w:val="003E19B7"/>
    <w:rsid w:val="003E2856"/>
    <w:rsid w:val="003E2C32"/>
    <w:rsid w:val="003E2E62"/>
    <w:rsid w:val="003E3872"/>
    <w:rsid w:val="003E470E"/>
    <w:rsid w:val="003E4A72"/>
    <w:rsid w:val="003E4E32"/>
    <w:rsid w:val="003E5583"/>
    <w:rsid w:val="003E5704"/>
    <w:rsid w:val="003E5FD3"/>
    <w:rsid w:val="003E68C6"/>
    <w:rsid w:val="003E7131"/>
    <w:rsid w:val="003F015F"/>
    <w:rsid w:val="003F049B"/>
    <w:rsid w:val="003F06F0"/>
    <w:rsid w:val="003F0A15"/>
    <w:rsid w:val="003F0AC6"/>
    <w:rsid w:val="003F1090"/>
    <w:rsid w:val="003F1482"/>
    <w:rsid w:val="003F1536"/>
    <w:rsid w:val="003F1EF2"/>
    <w:rsid w:val="003F2138"/>
    <w:rsid w:val="003F26C3"/>
    <w:rsid w:val="003F3049"/>
    <w:rsid w:val="003F3A08"/>
    <w:rsid w:val="003F3A64"/>
    <w:rsid w:val="003F3AFD"/>
    <w:rsid w:val="003F3D96"/>
    <w:rsid w:val="003F4208"/>
    <w:rsid w:val="003F4CD8"/>
    <w:rsid w:val="003F4D3F"/>
    <w:rsid w:val="003F5305"/>
    <w:rsid w:val="003F5B4E"/>
    <w:rsid w:val="003F5DA3"/>
    <w:rsid w:val="003F603A"/>
    <w:rsid w:val="003F6500"/>
    <w:rsid w:val="003F68E7"/>
    <w:rsid w:val="003F7541"/>
    <w:rsid w:val="00400257"/>
    <w:rsid w:val="004004CB"/>
    <w:rsid w:val="004005A2"/>
    <w:rsid w:val="00400BE1"/>
    <w:rsid w:val="00400CAC"/>
    <w:rsid w:val="004011D5"/>
    <w:rsid w:val="004015C0"/>
    <w:rsid w:val="004019B6"/>
    <w:rsid w:val="00402B92"/>
    <w:rsid w:val="0040407B"/>
    <w:rsid w:val="0040423C"/>
    <w:rsid w:val="0040446D"/>
    <w:rsid w:val="00404C96"/>
    <w:rsid w:val="004054EA"/>
    <w:rsid w:val="00405C6E"/>
    <w:rsid w:val="00406174"/>
    <w:rsid w:val="00406496"/>
    <w:rsid w:val="00407648"/>
    <w:rsid w:val="00410321"/>
    <w:rsid w:val="00410505"/>
    <w:rsid w:val="00410788"/>
    <w:rsid w:val="00410F6B"/>
    <w:rsid w:val="0041136D"/>
    <w:rsid w:val="00411662"/>
    <w:rsid w:val="004124B2"/>
    <w:rsid w:val="00412EDB"/>
    <w:rsid w:val="00413919"/>
    <w:rsid w:val="00414CE4"/>
    <w:rsid w:val="00414CF0"/>
    <w:rsid w:val="00415B41"/>
    <w:rsid w:val="004164C2"/>
    <w:rsid w:val="00416ADD"/>
    <w:rsid w:val="00416DFC"/>
    <w:rsid w:val="004171F8"/>
    <w:rsid w:val="004174BC"/>
    <w:rsid w:val="00417F93"/>
    <w:rsid w:val="00420243"/>
    <w:rsid w:val="00420962"/>
    <w:rsid w:val="004219E5"/>
    <w:rsid w:val="00421F32"/>
    <w:rsid w:val="00422023"/>
    <w:rsid w:val="004223AE"/>
    <w:rsid w:val="00422A99"/>
    <w:rsid w:val="00422D3C"/>
    <w:rsid w:val="00423553"/>
    <w:rsid w:val="00423E5B"/>
    <w:rsid w:val="004240A0"/>
    <w:rsid w:val="0042434F"/>
    <w:rsid w:val="00424F2F"/>
    <w:rsid w:val="004257C7"/>
    <w:rsid w:val="004257D3"/>
    <w:rsid w:val="0042601D"/>
    <w:rsid w:val="004274E8"/>
    <w:rsid w:val="004278CF"/>
    <w:rsid w:val="00430963"/>
    <w:rsid w:val="00431C35"/>
    <w:rsid w:val="00432915"/>
    <w:rsid w:val="004343E0"/>
    <w:rsid w:val="0043474E"/>
    <w:rsid w:val="00434BE6"/>
    <w:rsid w:val="00434CEC"/>
    <w:rsid w:val="00434FE3"/>
    <w:rsid w:val="00435174"/>
    <w:rsid w:val="00435E0D"/>
    <w:rsid w:val="00435EE5"/>
    <w:rsid w:val="00436A17"/>
    <w:rsid w:val="00437E6F"/>
    <w:rsid w:val="0044149F"/>
    <w:rsid w:val="004420F0"/>
    <w:rsid w:val="00442403"/>
    <w:rsid w:val="00442815"/>
    <w:rsid w:val="00443348"/>
    <w:rsid w:val="00443BB5"/>
    <w:rsid w:val="00443D0C"/>
    <w:rsid w:val="004443D2"/>
    <w:rsid w:val="00446855"/>
    <w:rsid w:val="00446B86"/>
    <w:rsid w:val="00446BDB"/>
    <w:rsid w:val="00446FAE"/>
    <w:rsid w:val="0044711E"/>
    <w:rsid w:val="004500F1"/>
    <w:rsid w:val="0045033F"/>
    <w:rsid w:val="0045073D"/>
    <w:rsid w:val="00450940"/>
    <w:rsid w:val="00450D7B"/>
    <w:rsid w:val="00451112"/>
    <w:rsid w:val="00452E23"/>
    <w:rsid w:val="00453CB2"/>
    <w:rsid w:val="004545E0"/>
    <w:rsid w:val="00454641"/>
    <w:rsid w:val="004560CC"/>
    <w:rsid w:val="00456A81"/>
    <w:rsid w:val="00456FED"/>
    <w:rsid w:val="0045752F"/>
    <w:rsid w:val="004575C1"/>
    <w:rsid w:val="00460D86"/>
    <w:rsid w:val="00460DD4"/>
    <w:rsid w:val="004612E2"/>
    <w:rsid w:val="004613B6"/>
    <w:rsid w:val="00461447"/>
    <w:rsid w:val="004617C6"/>
    <w:rsid w:val="00462331"/>
    <w:rsid w:val="0046292C"/>
    <w:rsid w:val="00462FAB"/>
    <w:rsid w:val="004632AD"/>
    <w:rsid w:val="004632DA"/>
    <w:rsid w:val="00463513"/>
    <w:rsid w:val="00463C54"/>
    <w:rsid w:val="00463E24"/>
    <w:rsid w:val="004643B6"/>
    <w:rsid w:val="00464F62"/>
    <w:rsid w:val="00465FFE"/>
    <w:rsid w:val="00466D01"/>
    <w:rsid w:val="004677F1"/>
    <w:rsid w:val="00467B6E"/>
    <w:rsid w:val="00467E3D"/>
    <w:rsid w:val="0047030B"/>
    <w:rsid w:val="0047038B"/>
    <w:rsid w:val="00470B5A"/>
    <w:rsid w:val="004717A8"/>
    <w:rsid w:val="00471CCC"/>
    <w:rsid w:val="004720F9"/>
    <w:rsid w:val="00472792"/>
    <w:rsid w:val="00473317"/>
    <w:rsid w:val="00474300"/>
    <w:rsid w:val="004745E2"/>
    <w:rsid w:val="004747BE"/>
    <w:rsid w:val="004748CA"/>
    <w:rsid w:val="004754F2"/>
    <w:rsid w:val="00477458"/>
    <w:rsid w:val="004774CA"/>
    <w:rsid w:val="0047795B"/>
    <w:rsid w:val="00477DD7"/>
    <w:rsid w:val="0048032C"/>
    <w:rsid w:val="0048176C"/>
    <w:rsid w:val="00481920"/>
    <w:rsid w:val="00481E07"/>
    <w:rsid w:val="00482612"/>
    <w:rsid w:val="00482940"/>
    <w:rsid w:val="00482C8F"/>
    <w:rsid w:val="00482DBE"/>
    <w:rsid w:val="00483239"/>
    <w:rsid w:val="004837B7"/>
    <w:rsid w:val="00483837"/>
    <w:rsid w:val="00484B40"/>
    <w:rsid w:val="00485242"/>
    <w:rsid w:val="00485EE4"/>
    <w:rsid w:val="004860CE"/>
    <w:rsid w:val="004866EB"/>
    <w:rsid w:val="004868C0"/>
    <w:rsid w:val="00486CF4"/>
    <w:rsid w:val="00486E6F"/>
    <w:rsid w:val="00486F39"/>
    <w:rsid w:val="00487CF5"/>
    <w:rsid w:val="00487D26"/>
    <w:rsid w:val="0049056D"/>
    <w:rsid w:val="004909EC"/>
    <w:rsid w:val="00490D59"/>
    <w:rsid w:val="004914CD"/>
    <w:rsid w:val="00491A3E"/>
    <w:rsid w:val="004920A9"/>
    <w:rsid w:val="004927EA"/>
    <w:rsid w:val="00492E86"/>
    <w:rsid w:val="00493489"/>
    <w:rsid w:val="004938A7"/>
    <w:rsid w:val="00493A9F"/>
    <w:rsid w:val="00493BA0"/>
    <w:rsid w:val="0049463A"/>
    <w:rsid w:val="00494E20"/>
    <w:rsid w:val="004952FF"/>
    <w:rsid w:val="00495425"/>
    <w:rsid w:val="00495C31"/>
    <w:rsid w:val="00495E3C"/>
    <w:rsid w:val="00496854"/>
    <w:rsid w:val="004972C5"/>
    <w:rsid w:val="004975B6"/>
    <w:rsid w:val="00497763"/>
    <w:rsid w:val="004978C3"/>
    <w:rsid w:val="004A0859"/>
    <w:rsid w:val="004A0FAD"/>
    <w:rsid w:val="004A1FE6"/>
    <w:rsid w:val="004A27CB"/>
    <w:rsid w:val="004A2C78"/>
    <w:rsid w:val="004A35E8"/>
    <w:rsid w:val="004A3CDE"/>
    <w:rsid w:val="004A459F"/>
    <w:rsid w:val="004A4BB5"/>
    <w:rsid w:val="004A5024"/>
    <w:rsid w:val="004A5147"/>
    <w:rsid w:val="004A5539"/>
    <w:rsid w:val="004A5A7C"/>
    <w:rsid w:val="004A5D2E"/>
    <w:rsid w:val="004A61D4"/>
    <w:rsid w:val="004A7042"/>
    <w:rsid w:val="004A721C"/>
    <w:rsid w:val="004B0878"/>
    <w:rsid w:val="004B108B"/>
    <w:rsid w:val="004B179F"/>
    <w:rsid w:val="004B1B4A"/>
    <w:rsid w:val="004B1D77"/>
    <w:rsid w:val="004B271C"/>
    <w:rsid w:val="004B3360"/>
    <w:rsid w:val="004B362C"/>
    <w:rsid w:val="004B4DE8"/>
    <w:rsid w:val="004B5358"/>
    <w:rsid w:val="004B5F12"/>
    <w:rsid w:val="004B608B"/>
    <w:rsid w:val="004B61A8"/>
    <w:rsid w:val="004B7204"/>
    <w:rsid w:val="004C0285"/>
    <w:rsid w:val="004C04F5"/>
    <w:rsid w:val="004C0F02"/>
    <w:rsid w:val="004C3946"/>
    <w:rsid w:val="004C43EC"/>
    <w:rsid w:val="004C59FB"/>
    <w:rsid w:val="004C5A34"/>
    <w:rsid w:val="004C649A"/>
    <w:rsid w:val="004C64B3"/>
    <w:rsid w:val="004C716E"/>
    <w:rsid w:val="004D0B65"/>
    <w:rsid w:val="004D0DAC"/>
    <w:rsid w:val="004D1177"/>
    <w:rsid w:val="004D15A4"/>
    <w:rsid w:val="004D18F4"/>
    <w:rsid w:val="004D2252"/>
    <w:rsid w:val="004D292D"/>
    <w:rsid w:val="004D33D3"/>
    <w:rsid w:val="004D3F4E"/>
    <w:rsid w:val="004D4285"/>
    <w:rsid w:val="004D490E"/>
    <w:rsid w:val="004D4AD9"/>
    <w:rsid w:val="004D4EBB"/>
    <w:rsid w:val="004D522D"/>
    <w:rsid w:val="004D57A5"/>
    <w:rsid w:val="004D5C90"/>
    <w:rsid w:val="004D669E"/>
    <w:rsid w:val="004D6C6F"/>
    <w:rsid w:val="004D6D07"/>
    <w:rsid w:val="004D72EF"/>
    <w:rsid w:val="004D751D"/>
    <w:rsid w:val="004D78BF"/>
    <w:rsid w:val="004E06FE"/>
    <w:rsid w:val="004E0A80"/>
    <w:rsid w:val="004E10A3"/>
    <w:rsid w:val="004E1CE8"/>
    <w:rsid w:val="004E2594"/>
    <w:rsid w:val="004E25AC"/>
    <w:rsid w:val="004E306F"/>
    <w:rsid w:val="004E385C"/>
    <w:rsid w:val="004E43A2"/>
    <w:rsid w:val="004E4ABA"/>
    <w:rsid w:val="004E5C61"/>
    <w:rsid w:val="004E632F"/>
    <w:rsid w:val="004E674A"/>
    <w:rsid w:val="004E68FC"/>
    <w:rsid w:val="004E7224"/>
    <w:rsid w:val="004E785F"/>
    <w:rsid w:val="004E7A72"/>
    <w:rsid w:val="004F0CB3"/>
    <w:rsid w:val="004F10BA"/>
    <w:rsid w:val="004F1A7D"/>
    <w:rsid w:val="004F1B84"/>
    <w:rsid w:val="004F1F52"/>
    <w:rsid w:val="004F209D"/>
    <w:rsid w:val="004F2AEB"/>
    <w:rsid w:val="004F3844"/>
    <w:rsid w:val="004F3A5D"/>
    <w:rsid w:val="004F442C"/>
    <w:rsid w:val="004F4564"/>
    <w:rsid w:val="004F4A88"/>
    <w:rsid w:val="004F5100"/>
    <w:rsid w:val="004F5349"/>
    <w:rsid w:val="004F5576"/>
    <w:rsid w:val="004F5B02"/>
    <w:rsid w:val="004F6538"/>
    <w:rsid w:val="004F6A0E"/>
    <w:rsid w:val="004F7377"/>
    <w:rsid w:val="004F765C"/>
    <w:rsid w:val="00500004"/>
    <w:rsid w:val="005004EC"/>
    <w:rsid w:val="00500790"/>
    <w:rsid w:val="0050102A"/>
    <w:rsid w:val="0050113E"/>
    <w:rsid w:val="00501326"/>
    <w:rsid w:val="00501397"/>
    <w:rsid w:val="00502721"/>
    <w:rsid w:val="0050276D"/>
    <w:rsid w:val="00502962"/>
    <w:rsid w:val="00502FD6"/>
    <w:rsid w:val="00505CCF"/>
    <w:rsid w:val="00506D02"/>
    <w:rsid w:val="00507B12"/>
    <w:rsid w:val="00507B1B"/>
    <w:rsid w:val="00507B3F"/>
    <w:rsid w:val="00507CEE"/>
    <w:rsid w:val="005120B5"/>
    <w:rsid w:val="005126E8"/>
    <w:rsid w:val="00512920"/>
    <w:rsid w:val="00514DD2"/>
    <w:rsid w:val="0051505B"/>
    <w:rsid w:val="00516ABA"/>
    <w:rsid w:val="00516B8A"/>
    <w:rsid w:val="0051735C"/>
    <w:rsid w:val="00517D6F"/>
    <w:rsid w:val="005200F8"/>
    <w:rsid w:val="0052086E"/>
    <w:rsid w:val="00520D11"/>
    <w:rsid w:val="005218CB"/>
    <w:rsid w:val="00522C52"/>
    <w:rsid w:val="00523E00"/>
    <w:rsid w:val="00524215"/>
    <w:rsid w:val="00524AE5"/>
    <w:rsid w:val="00524C1E"/>
    <w:rsid w:val="0052513E"/>
    <w:rsid w:val="005253CB"/>
    <w:rsid w:val="0052610E"/>
    <w:rsid w:val="00527856"/>
    <w:rsid w:val="00530362"/>
    <w:rsid w:val="00530765"/>
    <w:rsid w:val="005307A5"/>
    <w:rsid w:val="005308BF"/>
    <w:rsid w:val="00530E81"/>
    <w:rsid w:val="0053193B"/>
    <w:rsid w:val="00531EF2"/>
    <w:rsid w:val="0053243F"/>
    <w:rsid w:val="0053296B"/>
    <w:rsid w:val="00533B8E"/>
    <w:rsid w:val="00533D03"/>
    <w:rsid w:val="00535E41"/>
    <w:rsid w:val="005363E6"/>
    <w:rsid w:val="005364E6"/>
    <w:rsid w:val="00536999"/>
    <w:rsid w:val="00536A35"/>
    <w:rsid w:val="00536E46"/>
    <w:rsid w:val="0053746D"/>
    <w:rsid w:val="00540D28"/>
    <w:rsid w:val="005414C3"/>
    <w:rsid w:val="0054169B"/>
    <w:rsid w:val="00541C3A"/>
    <w:rsid w:val="005424EB"/>
    <w:rsid w:val="005427F7"/>
    <w:rsid w:val="00542AEA"/>
    <w:rsid w:val="00543A6A"/>
    <w:rsid w:val="00544128"/>
    <w:rsid w:val="0054491F"/>
    <w:rsid w:val="00544BBF"/>
    <w:rsid w:val="00544C76"/>
    <w:rsid w:val="00544F18"/>
    <w:rsid w:val="0054691C"/>
    <w:rsid w:val="00546C31"/>
    <w:rsid w:val="005472BB"/>
    <w:rsid w:val="00547364"/>
    <w:rsid w:val="005474A1"/>
    <w:rsid w:val="00547CDA"/>
    <w:rsid w:val="00551BEC"/>
    <w:rsid w:val="00552215"/>
    <w:rsid w:val="005537F4"/>
    <w:rsid w:val="0055384F"/>
    <w:rsid w:val="00553AC2"/>
    <w:rsid w:val="00553E36"/>
    <w:rsid w:val="00553ECF"/>
    <w:rsid w:val="0055464F"/>
    <w:rsid w:val="00554AA3"/>
    <w:rsid w:val="005559E0"/>
    <w:rsid w:val="00555CFB"/>
    <w:rsid w:val="00556028"/>
    <w:rsid w:val="00556A04"/>
    <w:rsid w:val="00560371"/>
    <w:rsid w:val="005608CA"/>
    <w:rsid w:val="00560999"/>
    <w:rsid w:val="0056122D"/>
    <w:rsid w:val="00563674"/>
    <w:rsid w:val="0056368F"/>
    <w:rsid w:val="00564D15"/>
    <w:rsid w:val="00564F2B"/>
    <w:rsid w:val="005650FD"/>
    <w:rsid w:val="00565949"/>
    <w:rsid w:val="0056645E"/>
    <w:rsid w:val="00566606"/>
    <w:rsid w:val="00567DBC"/>
    <w:rsid w:val="00570058"/>
    <w:rsid w:val="00571045"/>
    <w:rsid w:val="0057111F"/>
    <w:rsid w:val="00571327"/>
    <w:rsid w:val="00571348"/>
    <w:rsid w:val="00571E03"/>
    <w:rsid w:val="00572691"/>
    <w:rsid w:val="005734C3"/>
    <w:rsid w:val="005735B8"/>
    <w:rsid w:val="005736BA"/>
    <w:rsid w:val="00573A8D"/>
    <w:rsid w:val="00573F62"/>
    <w:rsid w:val="005741B1"/>
    <w:rsid w:val="00574C70"/>
    <w:rsid w:val="00575F76"/>
    <w:rsid w:val="005768DA"/>
    <w:rsid w:val="00576BF3"/>
    <w:rsid w:val="0057774C"/>
    <w:rsid w:val="0057781F"/>
    <w:rsid w:val="00577BDC"/>
    <w:rsid w:val="00577E8D"/>
    <w:rsid w:val="00577ECF"/>
    <w:rsid w:val="00580926"/>
    <w:rsid w:val="00580F20"/>
    <w:rsid w:val="005814E8"/>
    <w:rsid w:val="005818ED"/>
    <w:rsid w:val="00581B29"/>
    <w:rsid w:val="00581EEF"/>
    <w:rsid w:val="00581F01"/>
    <w:rsid w:val="0058242F"/>
    <w:rsid w:val="005824E3"/>
    <w:rsid w:val="00582B52"/>
    <w:rsid w:val="00582F4D"/>
    <w:rsid w:val="0058341F"/>
    <w:rsid w:val="00584B38"/>
    <w:rsid w:val="005856F2"/>
    <w:rsid w:val="00585A2E"/>
    <w:rsid w:val="0058663C"/>
    <w:rsid w:val="00586F34"/>
    <w:rsid w:val="005879B5"/>
    <w:rsid w:val="00587C76"/>
    <w:rsid w:val="00587E26"/>
    <w:rsid w:val="00590C75"/>
    <w:rsid w:val="005927BD"/>
    <w:rsid w:val="005927BF"/>
    <w:rsid w:val="005929F0"/>
    <w:rsid w:val="005933FC"/>
    <w:rsid w:val="00593BD3"/>
    <w:rsid w:val="00593CF6"/>
    <w:rsid w:val="00595552"/>
    <w:rsid w:val="0059577C"/>
    <w:rsid w:val="005960E4"/>
    <w:rsid w:val="0059685F"/>
    <w:rsid w:val="005972F6"/>
    <w:rsid w:val="0059751D"/>
    <w:rsid w:val="005975D4"/>
    <w:rsid w:val="00597EE1"/>
    <w:rsid w:val="00597FC8"/>
    <w:rsid w:val="005A0412"/>
    <w:rsid w:val="005A1943"/>
    <w:rsid w:val="005A19D0"/>
    <w:rsid w:val="005A2C6B"/>
    <w:rsid w:val="005A2CB3"/>
    <w:rsid w:val="005A2D4C"/>
    <w:rsid w:val="005A2F1A"/>
    <w:rsid w:val="005A32B2"/>
    <w:rsid w:val="005A3300"/>
    <w:rsid w:val="005A3AD6"/>
    <w:rsid w:val="005A3E85"/>
    <w:rsid w:val="005A48F7"/>
    <w:rsid w:val="005A4CBC"/>
    <w:rsid w:val="005A4E97"/>
    <w:rsid w:val="005A66BA"/>
    <w:rsid w:val="005A727B"/>
    <w:rsid w:val="005A7A5B"/>
    <w:rsid w:val="005A7AB0"/>
    <w:rsid w:val="005A7DC9"/>
    <w:rsid w:val="005A7E70"/>
    <w:rsid w:val="005B0321"/>
    <w:rsid w:val="005B082F"/>
    <w:rsid w:val="005B0927"/>
    <w:rsid w:val="005B11E0"/>
    <w:rsid w:val="005B138A"/>
    <w:rsid w:val="005B1910"/>
    <w:rsid w:val="005B1F35"/>
    <w:rsid w:val="005B29F9"/>
    <w:rsid w:val="005B2C6C"/>
    <w:rsid w:val="005B3644"/>
    <w:rsid w:val="005B3A8A"/>
    <w:rsid w:val="005B3FEE"/>
    <w:rsid w:val="005B403F"/>
    <w:rsid w:val="005B40A4"/>
    <w:rsid w:val="005B476B"/>
    <w:rsid w:val="005B48E8"/>
    <w:rsid w:val="005B4CE2"/>
    <w:rsid w:val="005B68F0"/>
    <w:rsid w:val="005B69D2"/>
    <w:rsid w:val="005B6D3F"/>
    <w:rsid w:val="005B7C46"/>
    <w:rsid w:val="005B7FFC"/>
    <w:rsid w:val="005C15CA"/>
    <w:rsid w:val="005C1D03"/>
    <w:rsid w:val="005C22D8"/>
    <w:rsid w:val="005C2ABD"/>
    <w:rsid w:val="005C2E9B"/>
    <w:rsid w:val="005C4955"/>
    <w:rsid w:val="005C4C02"/>
    <w:rsid w:val="005C54D4"/>
    <w:rsid w:val="005C59F5"/>
    <w:rsid w:val="005C5ED7"/>
    <w:rsid w:val="005C6594"/>
    <w:rsid w:val="005C6AD7"/>
    <w:rsid w:val="005C6C03"/>
    <w:rsid w:val="005C7E73"/>
    <w:rsid w:val="005C7EA8"/>
    <w:rsid w:val="005D0A25"/>
    <w:rsid w:val="005D0C36"/>
    <w:rsid w:val="005D0D5A"/>
    <w:rsid w:val="005D1057"/>
    <w:rsid w:val="005D1BAE"/>
    <w:rsid w:val="005D2311"/>
    <w:rsid w:val="005D2402"/>
    <w:rsid w:val="005D2CC3"/>
    <w:rsid w:val="005D2EB2"/>
    <w:rsid w:val="005D2FC2"/>
    <w:rsid w:val="005D3300"/>
    <w:rsid w:val="005D359C"/>
    <w:rsid w:val="005D3F50"/>
    <w:rsid w:val="005D4013"/>
    <w:rsid w:val="005D4179"/>
    <w:rsid w:val="005D53ED"/>
    <w:rsid w:val="005D5EE8"/>
    <w:rsid w:val="005D6EDF"/>
    <w:rsid w:val="005D7B7F"/>
    <w:rsid w:val="005E0181"/>
    <w:rsid w:val="005E0381"/>
    <w:rsid w:val="005E0FE1"/>
    <w:rsid w:val="005E119D"/>
    <w:rsid w:val="005E2620"/>
    <w:rsid w:val="005E2B8F"/>
    <w:rsid w:val="005E2C01"/>
    <w:rsid w:val="005E2F0B"/>
    <w:rsid w:val="005E3453"/>
    <w:rsid w:val="005E3A15"/>
    <w:rsid w:val="005E3D4D"/>
    <w:rsid w:val="005E5E9A"/>
    <w:rsid w:val="005E6096"/>
    <w:rsid w:val="005E6215"/>
    <w:rsid w:val="005E72C8"/>
    <w:rsid w:val="005E763D"/>
    <w:rsid w:val="005E7A62"/>
    <w:rsid w:val="005F0904"/>
    <w:rsid w:val="005F0D3D"/>
    <w:rsid w:val="005F1755"/>
    <w:rsid w:val="005F1AA9"/>
    <w:rsid w:val="005F1C0A"/>
    <w:rsid w:val="005F31DB"/>
    <w:rsid w:val="005F4203"/>
    <w:rsid w:val="005F5319"/>
    <w:rsid w:val="005F57ED"/>
    <w:rsid w:val="005F77C7"/>
    <w:rsid w:val="0060029D"/>
    <w:rsid w:val="00600B49"/>
    <w:rsid w:val="00601053"/>
    <w:rsid w:val="006013D8"/>
    <w:rsid w:val="00601806"/>
    <w:rsid w:val="0060246E"/>
    <w:rsid w:val="00602731"/>
    <w:rsid w:val="00603E33"/>
    <w:rsid w:val="0060430E"/>
    <w:rsid w:val="006046F5"/>
    <w:rsid w:val="00605633"/>
    <w:rsid w:val="00605BC6"/>
    <w:rsid w:val="00606927"/>
    <w:rsid w:val="00606B40"/>
    <w:rsid w:val="00607169"/>
    <w:rsid w:val="006073AC"/>
    <w:rsid w:val="00610155"/>
    <w:rsid w:val="00610DB8"/>
    <w:rsid w:val="006120C4"/>
    <w:rsid w:val="006134D4"/>
    <w:rsid w:val="00613834"/>
    <w:rsid w:val="00613868"/>
    <w:rsid w:val="00614645"/>
    <w:rsid w:val="00614A8E"/>
    <w:rsid w:val="00614CB8"/>
    <w:rsid w:val="00614CBB"/>
    <w:rsid w:val="00615874"/>
    <w:rsid w:val="0061598B"/>
    <w:rsid w:val="00616471"/>
    <w:rsid w:val="00616F3D"/>
    <w:rsid w:val="00616F6F"/>
    <w:rsid w:val="00616FB0"/>
    <w:rsid w:val="00620CAA"/>
    <w:rsid w:val="00620CC9"/>
    <w:rsid w:val="00620D7C"/>
    <w:rsid w:val="0062178F"/>
    <w:rsid w:val="006226A6"/>
    <w:rsid w:val="00622AD5"/>
    <w:rsid w:val="006230DD"/>
    <w:rsid w:val="006232B3"/>
    <w:rsid w:val="00623419"/>
    <w:rsid w:val="00623644"/>
    <w:rsid w:val="00623A09"/>
    <w:rsid w:val="006249EC"/>
    <w:rsid w:val="00625A36"/>
    <w:rsid w:val="00626F55"/>
    <w:rsid w:val="00627C6A"/>
    <w:rsid w:val="00630E4B"/>
    <w:rsid w:val="00631695"/>
    <w:rsid w:val="00632005"/>
    <w:rsid w:val="006327F9"/>
    <w:rsid w:val="006328C8"/>
    <w:rsid w:val="006332A8"/>
    <w:rsid w:val="00633420"/>
    <w:rsid w:val="006339BE"/>
    <w:rsid w:val="0063514A"/>
    <w:rsid w:val="00635E0F"/>
    <w:rsid w:val="00635FCB"/>
    <w:rsid w:val="006372EE"/>
    <w:rsid w:val="006375D9"/>
    <w:rsid w:val="00637AE3"/>
    <w:rsid w:val="00637B7A"/>
    <w:rsid w:val="006401B4"/>
    <w:rsid w:val="006402BF"/>
    <w:rsid w:val="00640532"/>
    <w:rsid w:val="006405D7"/>
    <w:rsid w:val="0064081C"/>
    <w:rsid w:val="00640B3F"/>
    <w:rsid w:val="0064103F"/>
    <w:rsid w:val="00641191"/>
    <w:rsid w:val="0064121A"/>
    <w:rsid w:val="006418DC"/>
    <w:rsid w:val="006420A7"/>
    <w:rsid w:val="00642222"/>
    <w:rsid w:val="00642CA2"/>
    <w:rsid w:val="0064343E"/>
    <w:rsid w:val="00643697"/>
    <w:rsid w:val="006445AB"/>
    <w:rsid w:val="006447EE"/>
    <w:rsid w:val="00645402"/>
    <w:rsid w:val="006454BB"/>
    <w:rsid w:val="00645FE1"/>
    <w:rsid w:val="00646038"/>
    <w:rsid w:val="006467B4"/>
    <w:rsid w:val="00646E46"/>
    <w:rsid w:val="00647BB8"/>
    <w:rsid w:val="00650163"/>
    <w:rsid w:val="00650602"/>
    <w:rsid w:val="00650B6F"/>
    <w:rsid w:val="00650E3A"/>
    <w:rsid w:val="00651499"/>
    <w:rsid w:val="00651597"/>
    <w:rsid w:val="00651B47"/>
    <w:rsid w:val="00652561"/>
    <w:rsid w:val="00652CFC"/>
    <w:rsid w:val="006530F8"/>
    <w:rsid w:val="006531FC"/>
    <w:rsid w:val="0065373B"/>
    <w:rsid w:val="00654547"/>
    <w:rsid w:val="00654858"/>
    <w:rsid w:val="006549DB"/>
    <w:rsid w:val="0065540B"/>
    <w:rsid w:val="00655A54"/>
    <w:rsid w:val="00656087"/>
    <w:rsid w:val="006560D8"/>
    <w:rsid w:val="00656232"/>
    <w:rsid w:val="00656874"/>
    <w:rsid w:val="006570E4"/>
    <w:rsid w:val="006577FB"/>
    <w:rsid w:val="0065796E"/>
    <w:rsid w:val="006604A9"/>
    <w:rsid w:val="006604FD"/>
    <w:rsid w:val="006606D8"/>
    <w:rsid w:val="006607BA"/>
    <w:rsid w:val="006609FB"/>
    <w:rsid w:val="006610D7"/>
    <w:rsid w:val="0066237B"/>
    <w:rsid w:val="00662DFC"/>
    <w:rsid w:val="006635B3"/>
    <w:rsid w:val="00663EA2"/>
    <w:rsid w:val="00664F93"/>
    <w:rsid w:val="006658B8"/>
    <w:rsid w:val="00666D6C"/>
    <w:rsid w:val="0066754F"/>
    <w:rsid w:val="0066784C"/>
    <w:rsid w:val="00670CAF"/>
    <w:rsid w:val="00670EB0"/>
    <w:rsid w:val="00672405"/>
    <w:rsid w:val="0067288F"/>
    <w:rsid w:val="00673671"/>
    <w:rsid w:val="00673BB4"/>
    <w:rsid w:val="00674682"/>
    <w:rsid w:val="0067560C"/>
    <w:rsid w:val="00675C74"/>
    <w:rsid w:val="006765BC"/>
    <w:rsid w:val="00681878"/>
    <w:rsid w:val="00681911"/>
    <w:rsid w:val="00681A92"/>
    <w:rsid w:val="006824D6"/>
    <w:rsid w:val="00682735"/>
    <w:rsid w:val="006832A0"/>
    <w:rsid w:val="00683368"/>
    <w:rsid w:val="00683812"/>
    <w:rsid w:val="006839E4"/>
    <w:rsid w:val="00683EB4"/>
    <w:rsid w:val="00683FC7"/>
    <w:rsid w:val="006842E1"/>
    <w:rsid w:val="006846E7"/>
    <w:rsid w:val="0068543D"/>
    <w:rsid w:val="00685AC0"/>
    <w:rsid w:val="006865C5"/>
    <w:rsid w:val="00687576"/>
    <w:rsid w:val="00687AB7"/>
    <w:rsid w:val="0069033D"/>
    <w:rsid w:val="00690874"/>
    <w:rsid w:val="00690F2E"/>
    <w:rsid w:val="00691008"/>
    <w:rsid w:val="0069119C"/>
    <w:rsid w:val="00692026"/>
    <w:rsid w:val="006924A7"/>
    <w:rsid w:val="00692AE4"/>
    <w:rsid w:val="00692B19"/>
    <w:rsid w:val="0069318E"/>
    <w:rsid w:val="0069418E"/>
    <w:rsid w:val="0069443C"/>
    <w:rsid w:val="00695364"/>
    <w:rsid w:val="00695A68"/>
    <w:rsid w:val="00696F36"/>
    <w:rsid w:val="00696F74"/>
    <w:rsid w:val="00696F92"/>
    <w:rsid w:val="0069755F"/>
    <w:rsid w:val="00697589"/>
    <w:rsid w:val="006978F7"/>
    <w:rsid w:val="00697C5C"/>
    <w:rsid w:val="00697F0E"/>
    <w:rsid w:val="006A061A"/>
    <w:rsid w:val="006A0B1E"/>
    <w:rsid w:val="006A1092"/>
    <w:rsid w:val="006A10CA"/>
    <w:rsid w:val="006A1C6A"/>
    <w:rsid w:val="006A1DAB"/>
    <w:rsid w:val="006A2121"/>
    <w:rsid w:val="006A2267"/>
    <w:rsid w:val="006A29DE"/>
    <w:rsid w:val="006A30F3"/>
    <w:rsid w:val="006A32CE"/>
    <w:rsid w:val="006A34B3"/>
    <w:rsid w:val="006A3A82"/>
    <w:rsid w:val="006A4257"/>
    <w:rsid w:val="006A42AF"/>
    <w:rsid w:val="006A4FD2"/>
    <w:rsid w:val="006A52EF"/>
    <w:rsid w:val="006A596F"/>
    <w:rsid w:val="006A5E52"/>
    <w:rsid w:val="006A6EE5"/>
    <w:rsid w:val="006A70D3"/>
    <w:rsid w:val="006A7BA0"/>
    <w:rsid w:val="006A7E8E"/>
    <w:rsid w:val="006B0957"/>
    <w:rsid w:val="006B1792"/>
    <w:rsid w:val="006B253C"/>
    <w:rsid w:val="006B27CA"/>
    <w:rsid w:val="006B2E34"/>
    <w:rsid w:val="006B414D"/>
    <w:rsid w:val="006B49EE"/>
    <w:rsid w:val="006B4AD1"/>
    <w:rsid w:val="006B4C06"/>
    <w:rsid w:val="006B54DF"/>
    <w:rsid w:val="006B5EA3"/>
    <w:rsid w:val="006B606B"/>
    <w:rsid w:val="006B65F5"/>
    <w:rsid w:val="006B6C2B"/>
    <w:rsid w:val="006B6CFF"/>
    <w:rsid w:val="006B6F88"/>
    <w:rsid w:val="006B71E3"/>
    <w:rsid w:val="006B75CF"/>
    <w:rsid w:val="006B7AE7"/>
    <w:rsid w:val="006B7BAD"/>
    <w:rsid w:val="006C0813"/>
    <w:rsid w:val="006C08D4"/>
    <w:rsid w:val="006C1AF1"/>
    <w:rsid w:val="006C1BA2"/>
    <w:rsid w:val="006C1EAC"/>
    <w:rsid w:val="006C211E"/>
    <w:rsid w:val="006C2DB4"/>
    <w:rsid w:val="006C43A4"/>
    <w:rsid w:val="006C4542"/>
    <w:rsid w:val="006C5161"/>
    <w:rsid w:val="006C56B4"/>
    <w:rsid w:val="006C5AF3"/>
    <w:rsid w:val="006C5C27"/>
    <w:rsid w:val="006C5CF1"/>
    <w:rsid w:val="006C69FF"/>
    <w:rsid w:val="006C6BE6"/>
    <w:rsid w:val="006D0358"/>
    <w:rsid w:val="006D0B9A"/>
    <w:rsid w:val="006D0F79"/>
    <w:rsid w:val="006D192E"/>
    <w:rsid w:val="006D26A6"/>
    <w:rsid w:val="006D3B3A"/>
    <w:rsid w:val="006D6E70"/>
    <w:rsid w:val="006E0E98"/>
    <w:rsid w:val="006E1FB0"/>
    <w:rsid w:val="006E2066"/>
    <w:rsid w:val="006E3C19"/>
    <w:rsid w:val="006E42BD"/>
    <w:rsid w:val="006E485B"/>
    <w:rsid w:val="006E4CF5"/>
    <w:rsid w:val="006E5218"/>
    <w:rsid w:val="006E591B"/>
    <w:rsid w:val="006E611A"/>
    <w:rsid w:val="006E6C1F"/>
    <w:rsid w:val="006E6CED"/>
    <w:rsid w:val="006E6E68"/>
    <w:rsid w:val="006E7775"/>
    <w:rsid w:val="006F04BF"/>
    <w:rsid w:val="006F1DD5"/>
    <w:rsid w:val="006F1E38"/>
    <w:rsid w:val="006F25D4"/>
    <w:rsid w:val="006F37D3"/>
    <w:rsid w:val="006F4164"/>
    <w:rsid w:val="006F4756"/>
    <w:rsid w:val="006F4B60"/>
    <w:rsid w:val="006F598D"/>
    <w:rsid w:val="006F6127"/>
    <w:rsid w:val="006F6F2B"/>
    <w:rsid w:val="006F785E"/>
    <w:rsid w:val="00700370"/>
    <w:rsid w:val="00700536"/>
    <w:rsid w:val="00701213"/>
    <w:rsid w:val="007012A5"/>
    <w:rsid w:val="007012A7"/>
    <w:rsid w:val="00701F6B"/>
    <w:rsid w:val="00702353"/>
    <w:rsid w:val="00702C5C"/>
    <w:rsid w:val="00702FD5"/>
    <w:rsid w:val="007031F5"/>
    <w:rsid w:val="007033BD"/>
    <w:rsid w:val="007039F6"/>
    <w:rsid w:val="00703A88"/>
    <w:rsid w:val="00703D26"/>
    <w:rsid w:val="00703D94"/>
    <w:rsid w:val="00703EFB"/>
    <w:rsid w:val="0070400D"/>
    <w:rsid w:val="00704181"/>
    <w:rsid w:val="007051A2"/>
    <w:rsid w:val="00705B17"/>
    <w:rsid w:val="00705F54"/>
    <w:rsid w:val="0070637A"/>
    <w:rsid w:val="00706A84"/>
    <w:rsid w:val="007079FA"/>
    <w:rsid w:val="0071043F"/>
    <w:rsid w:val="0071054C"/>
    <w:rsid w:val="00710EFE"/>
    <w:rsid w:val="0071343C"/>
    <w:rsid w:val="00713BEF"/>
    <w:rsid w:val="00713DE7"/>
    <w:rsid w:val="00715566"/>
    <w:rsid w:val="00715D02"/>
    <w:rsid w:val="007161A7"/>
    <w:rsid w:val="007167A1"/>
    <w:rsid w:val="00716F2A"/>
    <w:rsid w:val="007202B2"/>
    <w:rsid w:val="00720590"/>
    <w:rsid w:val="0072095F"/>
    <w:rsid w:val="0072178E"/>
    <w:rsid w:val="007218EA"/>
    <w:rsid w:val="00721C1F"/>
    <w:rsid w:val="00721CC8"/>
    <w:rsid w:val="007224EE"/>
    <w:rsid w:val="00722B77"/>
    <w:rsid w:val="00723994"/>
    <w:rsid w:val="00723B3E"/>
    <w:rsid w:val="007253FB"/>
    <w:rsid w:val="007257FD"/>
    <w:rsid w:val="0072600B"/>
    <w:rsid w:val="00727423"/>
    <w:rsid w:val="00727FD0"/>
    <w:rsid w:val="007302EF"/>
    <w:rsid w:val="007304F2"/>
    <w:rsid w:val="007307DC"/>
    <w:rsid w:val="00731C36"/>
    <w:rsid w:val="007329DB"/>
    <w:rsid w:val="00732D7C"/>
    <w:rsid w:val="00732E5B"/>
    <w:rsid w:val="00734066"/>
    <w:rsid w:val="00735235"/>
    <w:rsid w:val="0073559C"/>
    <w:rsid w:val="00735825"/>
    <w:rsid w:val="00735958"/>
    <w:rsid w:val="00735959"/>
    <w:rsid w:val="00735CF4"/>
    <w:rsid w:val="00735FD6"/>
    <w:rsid w:val="00737995"/>
    <w:rsid w:val="00737D6F"/>
    <w:rsid w:val="007403AC"/>
    <w:rsid w:val="00740841"/>
    <w:rsid w:val="00741F15"/>
    <w:rsid w:val="0074215F"/>
    <w:rsid w:val="00742E25"/>
    <w:rsid w:val="00742FCE"/>
    <w:rsid w:val="00743681"/>
    <w:rsid w:val="00744C6E"/>
    <w:rsid w:val="00745D19"/>
    <w:rsid w:val="00745D35"/>
    <w:rsid w:val="00745F40"/>
    <w:rsid w:val="00746A01"/>
    <w:rsid w:val="00746E92"/>
    <w:rsid w:val="00747331"/>
    <w:rsid w:val="00747E34"/>
    <w:rsid w:val="00747F84"/>
    <w:rsid w:val="00750E28"/>
    <w:rsid w:val="00751EA9"/>
    <w:rsid w:val="00752419"/>
    <w:rsid w:val="00752DC8"/>
    <w:rsid w:val="007545BF"/>
    <w:rsid w:val="00754D22"/>
    <w:rsid w:val="007551E1"/>
    <w:rsid w:val="00755568"/>
    <w:rsid w:val="00755A98"/>
    <w:rsid w:val="00756305"/>
    <w:rsid w:val="007571A6"/>
    <w:rsid w:val="007574EC"/>
    <w:rsid w:val="00757568"/>
    <w:rsid w:val="00757B87"/>
    <w:rsid w:val="00757E5B"/>
    <w:rsid w:val="00757F38"/>
    <w:rsid w:val="007603A5"/>
    <w:rsid w:val="007608B1"/>
    <w:rsid w:val="00760A91"/>
    <w:rsid w:val="00761216"/>
    <w:rsid w:val="00761569"/>
    <w:rsid w:val="0076168E"/>
    <w:rsid w:val="00761E38"/>
    <w:rsid w:val="00762DF0"/>
    <w:rsid w:val="00762E02"/>
    <w:rsid w:val="007638F7"/>
    <w:rsid w:val="00764783"/>
    <w:rsid w:val="00764B66"/>
    <w:rsid w:val="00766120"/>
    <w:rsid w:val="00766D96"/>
    <w:rsid w:val="00766F00"/>
    <w:rsid w:val="007674FA"/>
    <w:rsid w:val="00767A9E"/>
    <w:rsid w:val="00767FA6"/>
    <w:rsid w:val="00772609"/>
    <w:rsid w:val="0077373F"/>
    <w:rsid w:val="0077389F"/>
    <w:rsid w:val="00773930"/>
    <w:rsid w:val="00773A7E"/>
    <w:rsid w:val="007741E2"/>
    <w:rsid w:val="007752F4"/>
    <w:rsid w:val="007756FB"/>
    <w:rsid w:val="00775A5B"/>
    <w:rsid w:val="00776414"/>
    <w:rsid w:val="007772C0"/>
    <w:rsid w:val="007778C1"/>
    <w:rsid w:val="00777A02"/>
    <w:rsid w:val="00780E0D"/>
    <w:rsid w:val="00780E8D"/>
    <w:rsid w:val="00781853"/>
    <w:rsid w:val="00781BD8"/>
    <w:rsid w:val="00783734"/>
    <w:rsid w:val="00784170"/>
    <w:rsid w:val="00784495"/>
    <w:rsid w:val="00787B7E"/>
    <w:rsid w:val="0079003A"/>
    <w:rsid w:val="007911A0"/>
    <w:rsid w:val="00791727"/>
    <w:rsid w:val="0079215F"/>
    <w:rsid w:val="00793086"/>
    <w:rsid w:val="00793CFD"/>
    <w:rsid w:val="00793EC7"/>
    <w:rsid w:val="00793F40"/>
    <w:rsid w:val="00793F4D"/>
    <w:rsid w:val="00794D25"/>
    <w:rsid w:val="00794F55"/>
    <w:rsid w:val="0079659B"/>
    <w:rsid w:val="00796950"/>
    <w:rsid w:val="007969DB"/>
    <w:rsid w:val="00796BD5"/>
    <w:rsid w:val="0079709D"/>
    <w:rsid w:val="007971C8"/>
    <w:rsid w:val="007976F3"/>
    <w:rsid w:val="00797BD6"/>
    <w:rsid w:val="007A0372"/>
    <w:rsid w:val="007A03B1"/>
    <w:rsid w:val="007A05C6"/>
    <w:rsid w:val="007A2091"/>
    <w:rsid w:val="007A21FF"/>
    <w:rsid w:val="007A2815"/>
    <w:rsid w:val="007A3004"/>
    <w:rsid w:val="007A3112"/>
    <w:rsid w:val="007A31D5"/>
    <w:rsid w:val="007A34C1"/>
    <w:rsid w:val="007A40ED"/>
    <w:rsid w:val="007A4DC3"/>
    <w:rsid w:val="007A515B"/>
    <w:rsid w:val="007A53EF"/>
    <w:rsid w:val="007A5BF1"/>
    <w:rsid w:val="007A5E82"/>
    <w:rsid w:val="007A6B52"/>
    <w:rsid w:val="007A6EC3"/>
    <w:rsid w:val="007B046A"/>
    <w:rsid w:val="007B0970"/>
    <w:rsid w:val="007B132D"/>
    <w:rsid w:val="007B1390"/>
    <w:rsid w:val="007B225E"/>
    <w:rsid w:val="007B257D"/>
    <w:rsid w:val="007B2673"/>
    <w:rsid w:val="007B2BE1"/>
    <w:rsid w:val="007B3722"/>
    <w:rsid w:val="007B3E38"/>
    <w:rsid w:val="007B46E1"/>
    <w:rsid w:val="007B482D"/>
    <w:rsid w:val="007B48AA"/>
    <w:rsid w:val="007B4CAB"/>
    <w:rsid w:val="007B4CB5"/>
    <w:rsid w:val="007B4E27"/>
    <w:rsid w:val="007B5C74"/>
    <w:rsid w:val="007B5D2A"/>
    <w:rsid w:val="007B628C"/>
    <w:rsid w:val="007B757D"/>
    <w:rsid w:val="007C0CE6"/>
    <w:rsid w:val="007C1228"/>
    <w:rsid w:val="007C127A"/>
    <w:rsid w:val="007C12AC"/>
    <w:rsid w:val="007C161E"/>
    <w:rsid w:val="007C19C5"/>
    <w:rsid w:val="007C1AE5"/>
    <w:rsid w:val="007C2042"/>
    <w:rsid w:val="007C264B"/>
    <w:rsid w:val="007C35FF"/>
    <w:rsid w:val="007C3A44"/>
    <w:rsid w:val="007C3C6B"/>
    <w:rsid w:val="007C4E5B"/>
    <w:rsid w:val="007C5322"/>
    <w:rsid w:val="007C5A18"/>
    <w:rsid w:val="007C5E21"/>
    <w:rsid w:val="007C691B"/>
    <w:rsid w:val="007C7853"/>
    <w:rsid w:val="007D079D"/>
    <w:rsid w:val="007D12DE"/>
    <w:rsid w:val="007D1FA9"/>
    <w:rsid w:val="007D2C31"/>
    <w:rsid w:val="007D3C5B"/>
    <w:rsid w:val="007D5099"/>
    <w:rsid w:val="007D52E3"/>
    <w:rsid w:val="007D5ED2"/>
    <w:rsid w:val="007D6130"/>
    <w:rsid w:val="007D63BA"/>
    <w:rsid w:val="007D69FC"/>
    <w:rsid w:val="007D6D63"/>
    <w:rsid w:val="007D7F90"/>
    <w:rsid w:val="007E051E"/>
    <w:rsid w:val="007E0604"/>
    <w:rsid w:val="007E063D"/>
    <w:rsid w:val="007E1B17"/>
    <w:rsid w:val="007E1FB7"/>
    <w:rsid w:val="007E237D"/>
    <w:rsid w:val="007E24F9"/>
    <w:rsid w:val="007E393C"/>
    <w:rsid w:val="007E418C"/>
    <w:rsid w:val="007E4952"/>
    <w:rsid w:val="007E49EA"/>
    <w:rsid w:val="007E5C8D"/>
    <w:rsid w:val="007E5DA9"/>
    <w:rsid w:val="007E6629"/>
    <w:rsid w:val="007E700F"/>
    <w:rsid w:val="007E77B3"/>
    <w:rsid w:val="007E7A61"/>
    <w:rsid w:val="007E7F97"/>
    <w:rsid w:val="007F0EFC"/>
    <w:rsid w:val="007F1398"/>
    <w:rsid w:val="007F1F09"/>
    <w:rsid w:val="007F2FE5"/>
    <w:rsid w:val="007F3422"/>
    <w:rsid w:val="007F3D29"/>
    <w:rsid w:val="007F48D3"/>
    <w:rsid w:val="007F4EBC"/>
    <w:rsid w:val="007F611E"/>
    <w:rsid w:val="007F767C"/>
    <w:rsid w:val="008001C1"/>
    <w:rsid w:val="008018B0"/>
    <w:rsid w:val="0080242E"/>
    <w:rsid w:val="00802FE6"/>
    <w:rsid w:val="00803DFD"/>
    <w:rsid w:val="008044DB"/>
    <w:rsid w:val="00804B48"/>
    <w:rsid w:val="008055AF"/>
    <w:rsid w:val="008055E7"/>
    <w:rsid w:val="0080599F"/>
    <w:rsid w:val="00805ADB"/>
    <w:rsid w:val="00805C95"/>
    <w:rsid w:val="0080668D"/>
    <w:rsid w:val="00806951"/>
    <w:rsid w:val="0080720E"/>
    <w:rsid w:val="00807BFF"/>
    <w:rsid w:val="00807F02"/>
    <w:rsid w:val="00810E1B"/>
    <w:rsid w:val="00810E33"/>
    <w:rsid w:val="0081175A"/>
    <w:rsid w:val="00812108"/>
    <w:rsid w:val="008122A4"/>
    <w:rsid w:val="00812F57"/>
    <w:rsid w:val="0081367A"/>
    <w:rsid w:val="008136BF"/>
    <w:rsid w:val="0081372A"/>
    <w:rsid w:val="00813922"/>
    <w:rsid w:val="00813A87"/>
    <w:rsid w:val="00814169"/>
    <w:rsid w:val="00814190"/>
    <w:rsid w:val="008145D0"/>
    <w:rsid w:val="00815502"/>
    <w:rsid w:val="0081560A"/>
    <w:rsid w:val="0081572B"/>
    <w:rsid w:val="008157CA"/>
    <w:rsid w:val="00815E2B"/>
    <w:rsid w:val="0081653C"/>
    <w:rsid w:val="008166B4"/>
    <w:rsid w:val="00816D76"/>
    <w:rsid w:val="00817039"/>
    <w:rsid w:val="008175F8"/>
    <w:rsid w:val="00820291"/>
    <w:rsid w:val="0082034D"/>
    <w:rsid w:val="00820756"/>
    <w:rsid w:val="00820834"/>
    <w:rsid w:val="00820C83"/>
    <w:rsid w:val="00820EBA"/>
    <w:rsid w:val="0082165D"/>
    <w:rsid w:val="00821681"/>
    <w:rsid w:val="00822970"/>
    <w:rsid w:val="00822D91"/>
    <w:rsid w:val="0082327E"/>
    <w:rsid w:val="00823FCC"/>
    <w:rsid w:val="00824E64"/>
    <w:rsid w:val="00825F58"/>
    <w:rsid w:val="00826256"/>
    <w:rsid w:val="00826504"/>
    <w:rsid w:val="00826571"/>
    <w:rsid w:val="00826980"/>
    <w:rsid w:val="0082712F"/>
    <w:rsid w:val="008271A6"/>
    <w:rsid w:val="00827329"/>
    <w:rsid w:val="008276F4"/>
    <w:rsid w:val="00827A10"/>
    <w:rsid w:val="00827A33"/>
    <w:rsid w:val="00832CFC"/>
    <w:rsid w:val="00832D65"/>
    <w:rsid w:val="0083365B"/>
    <w:rsid w:val="00833677"/>
    <w:rsid w:val="008338B1"/>
    <w:rsid w:val="00834657"/>
    <w:rsid w:val="00834704"/>
    <w:rsid w:val="008348A6"/>
    <w:rsid w:val="00834C23"/>
    <w:rsid w:val="00834F53"/>
    <w:rsid w:val="00835533"/>
    <w:rsid w:val="00836D0A"/>
    <w:rsid w:val="00836D8E"/>
    <w:rsid w:val="008370FC"/>
    <w:rsid w:val="0083720C"/>
    <w:rsid w:val="00837C2E"/>
    <w:rsid w:val="00837C47"/>
    <w:rsid w:val="00837C97"/>
    <w:rsid w:val="00837E17"/>
    <w:rsid w:val="00840474"/>
    <w:rsid w:val="008407C4"/>
    <w:rsid w:val="00840D15"/>
    <w:rsid w:val="008416FC"/>
    <w:rsid w:val="00841760"/>
    <w:rsid w:val="00841D55"/>
    <w:rsid w:val="008421E2"/>
    <w:rsid w:val="00842227"/>
    <w:rsid w:val="00842B55"/>
    <w:rsid w:val="0084320D"/>
    <w:rsid w:val="008441BD"/>
    <w:rsid w:val="0084550B"/>
    <w:rsid w:val="008476CF"/>
    <w:rsid w:val="00847755"/>
    <w:rsid w:val="00847933"/>
    <w:rsid w:val="00847A67"/>
    <w:rsid w:val="00850164"/>
    <w:rsid w:val="00850258"/>
    <w:rsid w:val="0085141A"/>
    <w:rsid w:val="00851AFD"/>
    <w:rsid w:val="00851DA5"/>
    <w:rsid w:val="00851DFD"/>
    <w:rsid w:val="00851E2F"/>
    <w:rsid w:val="00852027"/>
    <w:rsid w:val="00852487"/>
    <w:rsid w:val="008524B0"/>
    <w:rsid w:val="00853239"/>
    <w:rsid w:val="00853724"/>
    <w:rsid w:val="00853A6E"/>
    <w:rsid w:val="0085536E"/>
    <w:rsid w:val="008555B3"/>
    <w:rsid w:val="008555E6"/>
    <w:rsid w:val="00855FF8"/>
    <w:rsid w:val="008566A3"/>
    <w:rsid w:val="00856813"/>
    <w:rsid w:val="008568A0"/>
    <w:rsid w:val="0086074C"/>
    <w:rsid w:val="00861702"/>
    <w:rsid w:val="00861AA0"/>
    <w:rsid w:val="00862004"/>
    <w:rsid w:val="00862CF8"/>
    <w:rsid w:val="008631AA"/>
    <w:rsid w:val="00863A5B"/>
    <w:rsid w:val="0086435E"/>
    <w:rsid w:val="008660D6"/>
    <w:rsid w:val="00866310"/>
    <w:rsid w:val="00866550"/>
    <w:rsid w:val="00866CBD"/>
    <w:rsid w:val="00867801"/>
    <w:rsid w:val="00867827"/>
    <w:rsid w:val="00867B01"/>
    <w:rsid w:val="00867D66"/>
    <w:rsid w:val="00870070"/>
    <w:rsid w:val="008700CE"/>
    <w:rsid w:val="00870B71"/>
    <w:rsid w:val="00870BE9"/>
    <w:rsid w:val="00871CF6"/>
    <w:rsid w:val="00872C2C"/>
    <w:rsid w:val="0087311B"/>
    <w:rsid w:val="0087389B"/>
    <w:rsid w:val="00873F71"/>
    <w:rsid w:val="008755B0"/>
    <w:rsid w:val="008755D5"/>
    <w:rsid w:val="00875FE8"/>
    <w:rsid w:val="0087614A"/>
    <w:rsid w:val="00876A80"/>
    <w:rsid w:val="00876C3D"/>
    <w:rsid w:val="0087796D"/>
    <w:rsid w:val="00877F8A"/>
    <w:rsid w:val="00880527"/>
    <w:rsid w:val="008814BF"/>
    <w:rsid w:val="0088166E"/>
    <w:rsid w:val="00881B3E"/>
    <w:rsid w:val="0088241D"/>
    <w:rsid w:val="00882524"/>
    <w:rsid w:val="00882924"/>
    <w:rsid w:val="0088320F"/>
    <w:rsid w:val="0088338D"/>
    <w:rsid w:val="00883B1E"/>
    <w:rsid w:val="0088423A"/>
    <w:rsid w:val="008849CE"/>
    <w:rsid w:val="0088557C"/>
    <w:rsid w:val="008858CA"/>
    <w:rsid w:val="00885BEA"/>
    <w:rsid w:val="00885C1D"/>
    <w:rsid w:val="008866DE"/>
    <w:rsid w:val="00886C42"/>
    <w:rsid w:val="00887764"/>
    <w:rsid w:val="00887B0C"/>
    <w:rsid w:val="0089035F"/>
    <w:rsid w:val="00890860"/>
    <w:rsid w:val="00890EFE"/>
    <w:rsid w:val="008911EB"/>
    <w:rsid w:val="00891637"/>
    <w:rsid w:val="00892DB1"/>
    <w:rsid w:val="00893EB4"/>
    <w:rsid w:val="00894C8B"/>
    <w:rsid w:val="00894D9D"/>
    <w:rsid w:val="00895551"/>
    <w:rsid w:val="00895589"/>
    <w:rsid w:val="00896079"/>
    <w:rsid w:val="0089623C"/>
    <w:rsid w:val="008966BC"/>
    <w:rsid w:val="00896720"/>
    <w:rsid w:val="0089760C"/>
    <w:rsid w:val="00897CE5"/>
    <w:rsid w:val="008A108F"/>
    <w:rsid w:val="008A187A"/>
    <w:rsid w:val="008A1A65"/>
    <w:rsid w:val="008A1EA4"/>
    <w:rsid w:val="008A2058"/>
    <w:rsid w:val="008A2B33"/>
    <w:rsid w:val="008A42F2"/>
    <w:rsid w:val="008A4C0A"/>
    <w:rsid w:val="008A61C5"/>
    <w:rsid w:val="008A65EF"/>
    <w:rsid w:val="008A6631"/>
    <w:rsid w:val="008A680F"/>
    <w:rsid w:val="008A73A8"/>
    <w:rsid w:val="008A7708"/>
    <w:rsid w:val="008A7A2E"/>
    <w:rsid w:val="008A7C9E"/>
    <w:rsid w:val="008A7D8C"/>
    <w:rsid w:val="008B0185"/>
    <w:rsid w:val="008B051F"/>
    <w:rsid w:val="008B0531"/>
    <w:rsid w:val="008B062C"/>
    <w:rsid w:val="008B0A06"/>
    <w:rsid w:val="008B1364"/>
    <w:rsid w:val="008B1803"/>
    <w:rsid w:val="008B1BC2"/>
    <w:rsid w:val="008B1FE1"/>
    <w:rsid w:val="008B2035"/>
    <w:rsid w:val="008B2650"/>
    <w:rsid w:val="008B282D"/>
    <w:rsid w:val="008B330A"/>
    <w:rsid w:val="008B3F6C"/>
    <w:rsid w:val="008B421A"/>
    <w:rsid w:val="008B4582"/>
    <w:rsid w:val="008B5E2C"/>
    <w:rsid w:val="008B5E75"/>
    <w:rsid w:val="008B61EE"/>
    <w:rsid w:val="008B6D6A"/>
    <w:rsid w:val="008B717F"/>
    <w:rsid w:val="008B7C8D"/>
    <w:rsid w:val="008B7FE6"/>
    <w:rsid w:val="008C063A"/>
    <w:rsid w:val="008C06FB"/>
    <w:rsid w:val="008C08DF"/>
    <w:rsid w:val="008C15FD"/>
    <w:rsid w:val="008C1CCB"/>
    <w:rsid w:val="008C1E6E"/>
    <w:rsid w:val="008C24F3"/>
    <w:rsid w:val="008C286F"/>
    <w:rsid w:val="008C28DF"/>
    <w:rsid w:val="008C29CD"/>
    <w:rsid w:val="008C29DA"/>
    <w:rsid w:val="008C31F7"/>
    <w:rsid w:val="008C3851"/>
    <w:rsid w:val="008C39BB"/>
    <w:rsid w:val="008C3A11"/>
    <w:rsid w:val="008C46F3"/>
    <w:rsid w:val="008C59BB"/>
    <w:rsid w:val="008C5D84"/>
    <w:rsid w:val="008C5E5C"/>
    <w:rsid w:val="008C5F17"/>
    <w:rsid w:val="008C6243"/>
    <w:rsid w:val="008C7B34"/>
    <w:rsid w:val="008C7D07"/>
    <w:rsid w:val="008D1804"/>
    <w:rsid w:val="008D246D"/>
    <w:rsid w:val="008D2F4D"/>
    <w:rsid w:val="008D30D9"/>
    <w:rsid w:val="008D399F"/>
    <w:rsid w:val="008D4356"/>
    <w:rsid w:val="008D4414"/>
    <w:rsid w:val="008D5B65"/>
    <w:rsid w:val="008E0262"/>
    <w:rsid w:val="008E0B41"/>
    <w:rsid w:val="008E1C4A"/>
    <w:rsid w:val="008E1EA7"/>
    <w:rsid w:val="008E200D"/>
    <w:rsid w:val="008E2510"/>
    <w:rsid w:val="008E2F3B"/>
    <w:rsid w:val="008E30E9"/>
    <w:rsid w:val="008E3832"/>
    <w:rsid w:val="008E38D7"/>
    <w:rsid w:val="008E41C8"/>
    <w:rsid w:val="008E4AB2"/>
    <w:rsid w:val="008E6FCB"/>
    <w:rsid w:val="008E6FE4"/>
    <w:rsid w:val="008E747A"/>
    <w:rsid w:val="008E7674"/>
    <w:rsid w:val="008E7D03"/>
    <w:rsid w:val="008F0423"/>
    <w:rsid w:val="008F0F82"/>
    <w:rsid w:val="008F1017"/>
    <w:rsid w:val="008F15CB"/>
    <w:rsid w:val="008F172A"/>
    <w:rsid w:val="008F25FE"/>
    <w:rsid w:val="008F4627"/>
    <w:rsid w:val="008F5494"/>
    <w:rsid w:val="008F5EBD"/>
    <w:rsid w:val="008F5FA1"/>
    <w:rsid w:val="008F7033"/>
    <w:rsid w:val="008F71EF"/>
    <w:rsid w:val="008F72D4"/>
    <w:rsid w:val="008F772C"/>
    <w:rsid w:val="008F7C14"/>
    <w:rsid w:val="00900155"/>
    <w:rsid w:val="009001D3"/>
    <w:rsid w:val="00900678"/>
    <w:rsid w:val="00901598"/>
    <w:rsid w:val="00901AEC"/>
    <w:rsid w:val="00902DC1"/>
    <w:rsid w:val="00902E84"/>
    <w:rsid w:val="00902F51"/>
    <w:rsid w:val="009035E7"/>
    <w:rsid w:val="009037CD"/>
    <w:rsid w:val="009053DF"/>
    <w:rsid w:val="0090544C"/>
    <w:rsid w:val="00905628"/>
    <w:rsid w:val="009058FC"/>
    <w:rsid w:val="009059FC"/>
    <w:rsid w:val="00905C27"/>
    <w:rsid w:val="00905F5B"/>
    <w:rsid w:val="0090613D"/>
    <w:rsid w:val="009064A9"/>
    <w:rsid w:val="00906E50"/>
    <w:rsid w:val="009072FE"/>
    <w:rsid w:val="00907353"/>
    <w:rsid w:val="00907D7E"/>
    <w:rsid w:val="00910110"/>
    <w:rsid w:val="00910943"/>
    <w:rsid w:val="00910F64"/>
    <w:rsid w:val="00911456"/>
    <w:rsid w:val="00911859"/>
    <w:rsid w:val="00911BF1"/>
    <w:rsid w:val="00912873"/>
    <w:rsid w:val="00913C05"/>
    <w:rsid w:val="009141A8"/>
    <w:rsid w:val="009149F7"/>
    <w:rsid w:val="00914F16"/>
    <w:rsid w:val="0091636B"/>
    <w:rsid w:val="00917095"/>
    <w:rsid w:val="009174ED"/>
    <w:rsid w:val="00917574"/>
    <w:rsid w:val="00917EC8"/>
    <w:rsid w:val="00920454"/>
    <w:rsid w:val="0092193E"/>
    <w:rsid w:val="00921CE2"/>
    <w:rsid w:val="009222AD"/>
    <w:rsid w:val="00922949"/>
    <w:rsid w:val="00922BBA"/>
    <w:rsid w:val="00923600"/>
    <w:rsid w:val="00923A4B"/>
    <w:rsid w:val="0092431C"/>
    <w:rsid w:val="00925CDC"/>
    <w:rsid w:val="00925F42"/>
    <w:rsid w:val="0092650D"/>
    <w:rsid w:val="009268B7"/>
    <w:rsid w:val="009275DF"/>
    <w:rsid w:val="00927A6A"/>
    <w:rsid w:val="0093021A"/>
    <w:rsid w:val="0093100A"/>
    <w:rsid w:val="00932283"/>
    <w:rsid w:val="00932703"/>
    <w:rsid w:val="00932812"/>
    <w:rsid w:val="009333FF"/>
    <w:rsid w:val="00933548"/>
    <w:rsid w:val="00933CCE"/>
    <w:rsid w:val="00933CEC"/>
    <w:rsid w:val="00934E74"/>
    <w:rsid w:val="00934EC7"/>
    <w:rsid w:val="00935157"/>
    <w:rsid w:val="00935892"/>
    <w:rsid w:val="00940204"/>
    <w:rsid w:val="00940E20"/>
    <w:rsid w:val="00940E8D"/>
    <w:rsid w:val="00940FE2"/>
    <w:rsid w:val="009420EA"/>
    <w:rsid w:val="00942479"/>
    <w:rsid w:val="00943E9B"/>
    <w:rsid w:val="00943FE9"/>
    <w:rsid w:val="00944FBD"/>
    <w:rsid w:val="00945876"/>
    <w:rsid w:val="00945B08"/>
    <w:rsid w:val="00945F8D"/>
    <w:rsid w:val="00946AAB"/>
    <w:rsid w:val="00946CFB"/>
    <w:rsid w:val="00946DA5"/>
    <w:rsid w:val="00947F62"/>
    <w:rsid w:val="009507C5"/>
    <w:rsid w:val="00950932"/>
    <w:rsid w:val="00950D9C"/>
    <w:rsid w:val="00951340"/>
    <w:rsid w:val="00952139"/>
    <w:rsid w:val="0095276C"/>
    <w:rsid w:val="009528C7"/>
    <w:rsid w:val="00953573"/>
    <w:rsid w:val="009541E5"/>
    <w:rsid w:val="0095520B"/>
    <w:rsid w:val="00955281"/>
    <w:rsid w:val="009555EC"/>
    <w:rsid w:val="009561F9"/>
    <w:rsid w:val="009569BB"/>
    <w:rsid w:val="0095775C"/>
    <w:rsid w:val="00957942"/>
    <w:rsid w:val="00957B87"/>
    <w:rsid w:val="00957B94"/>
    <w:rsid w:val="0096032E"/>
    <w:rsid w:val="009603BE"/>
    <w:rsid w:val="009608BA"/>
    <w:rsid w:val="00960C33"/>
    <w:rsid w:val="0096287D"/>
    <w:rsid w:val="0096297E"/>
    <w:rsid w:val="009644D0"/>
    <w:rsid w:val="00965AE4"/>
    <w:rsid w:val="00966D5D"/>
    <w:rsid w:val="00967061"/>
    <w:rsid w:val="00967576"/>
    <w:rsid w:val="00967EF0"/>
    <w:rsid w:val="00971246"/>
    <w:rsid w:val="00971C02"/>
    <w:rsid w:val="009721D0"/>
    <w:rsid w:val="00972A4F"/>
    <w:rsid w:val="009732CC"/>
    <w:rsid w:val="009732EE"/>
    <w:rsid w:val="00973895"/>
    <w:rsid w:val="009739EB"/>
    <w:rsid w:val="0097461B"/>
    <w:rsid w:val="00975882"/>
    <w:rsid w:val="00976A9E"/>
    <w:rsid w:val="009773C9"/>
    <w:rsid w:val="00977949"/>
    <w:rsid w:val="00980293"/>
    <w:rsid w:val="0098115C"/>
    <w:rsid w:val="00981577"/>
    <w:rsid w:val="00981A12"/>
    <w:rsid w:val="00981E25"/>
    <w:rsid w:val="00982095"/>
    <w:rsid w:val="0098213D"/>
    <w:rsid w:val="00982889"/>
    <w:rsid w:val="0098376F"/>
    <w:rsid w:val="00984F3D"/>
    <w:rsid w:val="0098589C"/>
    <w:rsid w:val="00986235"/>
    <w:rsid w:val="0098638E"/>
    <w:rsid w:val="00986668"/>
    <w:rsid w:val="00987731"/>
    <w:rsid w:val="00987B5C"/>
    <w:rsid w:val="00990028"/>
    <w:rsid w:val="009902D7"/>
    <w:rsid w:val="009909B2"/>
    <w:rsid w:val="0099173A"/>
    <w:rsid w:val="00992988"/>
    <w:rsid w:val="00993285"/>
    <w:rsid w:val="0099404A"/>
    <w:rsid w:val="0099478B"/>
    <w:rsid w:val="00995DCD"/>
    <w:rsid w:val="00995FCC"/>
    <w:rsid w:val="009967E4"/>
    <w:rsid w:val="00996BE1"/>
    <w:rsid w:val="00996F6D"/>
    <w:rsid w:val="009970FE"/>
    <w:rsid w:val="009972F2"/>
    <w:rsid w:val="009974F4"/>
    <w:rsid w:val="0099756A"/>
    <w:rsid w:val="00997E5B"/>
    <w:rsid w:val="009A0222"/>
    <w:rsid w:val="009A0CCC"/>
    <w:rsid w:val="009A19C1"/>
    <w:rsid w:val="009A3EEC"/>
    <w:rsid w:val="009A4D47"/>
    <w:rsid w:val="009A4E8C"/>
    <w:rsid w:val="009A62C1"/>
    <w:rsid w:val="009A6B02"/>
    <w:rsid w:val="009A78D8"/>
    <w:rsid w:val="009B05DB"/>
    <w:rsid w:val="009B0853"/>
    <w:rsid w:val="009B28AF"/>
    <w:rsid w:val="009B2931"/>
    <w:rsid w:val="009B2AAA"/>
    <w:rsid w:val="009B32FF"/>
    <w:rsid w:val="009B333D"/>
    <w:rsid w:val="009B3C36"/>
    <w:rsid w:val="009B3D1A"/>
    <w:rsid w:val="009B4597"/>
    <w:rsid w:val="009B4951"/>
    <w:rsid w:val="009B529D"/>
    <w:rsid w:val="009B5930"/>
    <w:rsid w:val="009B5B5F"/>
    <w:rsid w:val="009B6259"/>
    <w:rsid w:val="009B6D86"/>
    <w:rsid w:val="009C012F"/>
    <w:rsid w:val="009C01FA"/>
    <w:rsid w:val="009C0617"/>
    <w:rsid w:val="009C0E37"/>
    <w:rsid w:val="009C11F8"/>
    <w:rsid w:val="009C18F2"/>
    <w:rsid w:val="009C1AB9"/>
    <w:rsid w:val="009C2870"/>
    <w:rsid w:val="009C3354"/>
    <w:rsid w:val="009C3C65"/>
    <w:rsid w:val="009C4481"/>
    <w:rsid w:val="009C4739"/>
    <w:rsid w:val="009C4D45"/>
    <w:rsid w:val="009C5377"/>
    <w:rsid w:val="009C5573"/>
    <w:rsid w:val="009C566C"/>
    <w:rsid w:val="009C5B5A"/>
    <w:rsid w:val="009C604A"/>
    <w:rsid w:val="009C66D8"/>
    <w:rsid w:val="009C6CC3"/>
    <w:rsid w:val="009C7266"/>
    <w:rsid w:val="009C778F"/>
    <w:rsid w:val="009D0169"/>
    <w:rsid w:val="009D0513"/>
    <w:rsid w:val="009D0924"/>
    <w:rsid w:val="009D0F3E"/>
    <w:rsid w:val="009D0F5A"/>
    <w:rsid w:val="009D2237"/>
    <w:rsid w:val="009D2FC6"/>
    <w:rsid w:val="009D41D0"/>
    <w:rsid w:val="009D438B"/>
    <w:rsid w:val="009D474D"/>
    <w:rsid w:val="009D5158"/>
    <w:rsid w:val="009D5C6A"/>
    <w:rsid w:val="009D5C91"/>
    <w:rsid w:val="009D5E61"/>
    <w:rsid w:val="009D6AE2"/>
    <w:rsid w:val="009D73D9"/>
    <w:rsid w:val="009D78D1"/>
    <w:rsid w:val="009D7C77"/>
    <w:rsid w:val="009D7DD3"/>
    <w:rsid w:val="009E07C0"/>
    <w:rsid w:val="009E30A5"/>
    <w:rsid w:val="009E3111"/>
    <w:rsid w:val="009E35A1"/>
    <w:rsid w:val="009E388A"/>
    <w:rsid w:val="009E47A1"/>
    <w:rsid w:val="009E4B34"/>
    <w:rsid w:val="009E5754"/>
    <w:rsid w:val="009E59DB"/>
    <w:rsid w:val="009E5B34"/>
    <w:rsid w:val="009E5CE2"/>
    <w:rsid w:val="009E5F8B"/>
    <w:rsid w:val="009E6380"/>
    <w:rsid w:val="009E716E"/>
    <w:rsid w:val="009F0296"/>
    <w:rsid w:val="009F067A"/>
    <w:rsid w:val="009F0B85"/>
    <w:rsid w:val="009F2588"/>
    <w:rsid w:val="009F2A68"/>
    <w:rsid w:val="009F2DF9"/>
    <w:rsid w:val="009F328B"/>
    <w:rsid w:val="009F3BAC"/>
    <w:rsid w:val="009F4C95"/>
    <w:rsid w:val="009F4F69"/>
    <w:rsid w:val="009F50D3"/>
    <w:rsid w:val="009F5543"/>
    <w:rsid w:val="009F5D26"/>
    <w:rsid w:val="009F6427"/>
    <w:rsid w:val="009F6DAC"/>
    <w:rsid w:val="009F6E77"/>
    <w:rsid w:val="009F6EFE"/>
    <w:rsid w:val="009F756C"/>
    <w:rsid w:val="009F75F2"/>
    <w:rsid w:val="009F7983"/>
    <w:rsid w:val="00A00D3D"/>
    <w:rsid w:val="00A020A4"/>
    <w:rsid w:val="00A0232A"/>
    <w:rsid w:val="00A02A3D"/>
    <w:rsid w:val="00A03352"/>
    <w:rsid w:val="00A03ED3"/>
    <w:rsid w:val="00A03FFE"/>
    <w:rsid w:val="00A042D5"/>
    <w:rsid w:val="00A04BDF"/>
    <w:rsid w:val="00A05583"/>
    <w:rsid w:val="00A05B41"/>
    <w:rsid w:val="00A05FF3"/>
    <w:rsid w:val="00A06F13"/>
    <w:rsid w:val="00A10682"/>
    <w:rsid w:val="00A10F61"/>
    <w:rsid w:val="00A11F5B"/>
    <w:rsid w:val="00A12422"/>
    <w:rsid w:val="00A125D3"/>
    <w:rsid w:val="00A12640"/>
    <w:rsid w:val="00A12D18"/>
    <w:rsid w:val="00A1324C"/>
    <w:rsid w:val="00A136C4"/>
    <w:rsid w:val="00A13D65"/>
    <w:rsid w:val="00A14512"/>
    <w:rsid w:val="00A14867"/>
    <w:rsid w:val="00A14E80"/>
    <w:rsid w:val="00A15A0E"/>
    <w:rsid w:val="00A16861"/>
    <w:rsid w:val="00A1699A"/>
    <w:rsid w:val="00A16AAF"/>
    <w:rsid w:val="00A17CAD"/>
    <w:rsid w:val="00A17F2E"/>
    <w:rsid w:val="00A20014"/>
    <w:rsid w:val="00A218AD"/>
    <w:rsid w:val="00A230CD"/>
    <w:rsid w:val="00A23121"/>
    <w:rsid w:val="00A236A3"/>
    <w:rsid w:val="00A240BE"/>
    <w:rsid w:val="00A24179"/>
    <w:rsid w:val="00A251BD"/>
    <w:rsid w:val="00A2582C"/>
    <w:rsid w:val="00A259F3"/>
    <w:rsid w:val="00A25B76"/>
    <w:rsid w:val="00A25F59"/>
    <w:rsid w:val="00A261BD"/>
    <w:rsid w:val="00A26E07"/>
    <w:rsid w:val="00A279EE"/>
    <w:rsid w:val="00A30B8B"/>
    <w:rsid w:val="00A30EC9"/>
    <w:rsid w:val="00A31CA2"/>
    <w:rsid w:val="00A32B69"/>
    <w:rsid w:val="00A33436"/>
    <w:rsid w:val="00A335A0"/>
    <w:rsid w:val="00A33FFB"/>
    <w:rsid w:val="00A341F3"/>
    <w:rsid w:val="00A347C8"/>
    <w:rsid w:val="00A3519F"/>
    <w:rsid w:val="00A3526E"/>
    <w:rsid w:val="00A35BFF"/>
    <w:rsid w:val="00A35DA3"/>
    <w:rsid w:val="00A36636"/>
    <w:rsid w:val="00A36B4B"/>
    <w:rsid w:val="00A36D19"/>
    <w:rsid w:val="00A379EE"/>
    <w:rsid w:val="00A37A15"/>
    <w:rsid w:val="00A37CFB"/>
    <w:rsid w:val="00A37D26"/>
    <w:rsid w:val="00A40529"/>
    <w:rsid w:val="00A405F2"/>
    <w:rsid w:val="00A4066D"/>
    <w:rsid w:val="00A410F9"/>
    <w:rsid w:val="00A4128C"/>
    <w:rsid w:val="00A4132C"/>
    <w:rsid w:val="00A414E7"/>
    <w:rsid w:val="00A41D82"/>
    <w:rsid w:val="00A426FB"/>
    <w:rsid w:val="00A42D29"/>
    <w:rsid w:val="00A4312A"/>
    <w:rsid w:val="00A4478B"/>
    <w:rsid w:val="00A44BF1"/>
    <w:rsid w:val="00A44D7B"/>
    <w:rsid w:val="00A45B61"/>
    <w:rsid w:val="00A46005"/>
    <w:rsid w:val="00A462C9"/>
    <w:rsid w:val="00A46AF1"/>
    <w:rsid w:val="00A46B28"/>
    <w:rsid w:val="00A4762C"/>
    <w:rsid w:val="00A5015B"/>
    <w:rsid w:val="00A50723"/>
    <w:rsid w:val="00A50814"/>
    <w:rsid w:val="00A5084D"/>
    <w:rsid w:val="00A509B9"/>
    <w:rsid w:val="00A52540"/>
    <w:rsid w:val="00A52EEC"/>
    <w:rsid w:val="00A53208"/>
    <w:rsid w:val="00A55357"/>
    <w:rsid w:val="00A5555E"/>
    <w:rsid w:val="00A557D8"/>
    <w:rsid w:val="00A565CE"/>
    <w:rsid w:val="00A56E9F"/>
    <w:rsid w:val="00A575ED"/>
    <w:rsid w:val="00A608CE"/>
    <w:rsid w:val="00A60AC7"/>
    <w:rsid w:val="00A624E3"/>
    <w:rsid w:val="00A624FF"/>
    <w:rsid w:val="00A625BD"/>
    <w:rsid w:val="00A63084"/>
    <w:rsid w:val="00A6362E"/>
    <w:rsid w:val="00A63723"/>
    <w:rsid w:val="00A6425D"/>
    <w:rsid w:val="00A648B3"/>
    <w:rsid w:val="00A6494D"/>
    <w:rsid w:val="00A65BEE"/>
    <w:rsid w:val="00A662F8"/>
    <w:rsid w:val="00A66400"/>
    <w:rsid w:val="00A6669A"/>
    <w:rsid w:val="00A666A1"/>
    <w:rsid w:val="00A66E2B"/>
    <w:rsid w:val="00A706FC"/>
    <w:rsid w:val="00A70C62"/>
    <w:rsid w:val="00A722D7"/>
    <w:rsid w:val="00A727C1"/>
    <w:rsid w:val="00A7288D"/>
    <w:rsid w:val="00A728CF"/>
    <w:rsid w:val="00A73963"/>
    <w:rsid w:val="00A73A40"/>
    <w:rsid w:val="00A73FA2"/>
    <w:rsid w:val="00A74713"/>
    <w:rsid w:val="00A76DB2"/>
    <w:rsid w:val="00A77DEC"/>
    <w:rsid w:val="00A806AA"/>
    <w:rsid w:val="00A81699"/>
    <w:rsid w:val="00A81FD3"/>
    <w:rsid w:val="00A82041"/>
    <w:rsid w:val="00A83B9D"/>
    <w:rsid w:val="00A842B2"/>
    <w:rsid w:val="00A843BB"/>
    <w:rsid w:val="00A844A9"/>
    <w:rsid w:val="00A845CD"/>
    <w:rsid w:val="00A84AA9"/>
    <w:rsid w:val="00A8630A"/>
    <w:rsid w:val="00A86D7D"/>
    <w:rsid w:val="00A90A7D"/>
    <w:rsid w:val="00A90CA3"/>
    <w:rsid w:val="00A911C5"/>
    <w:rsid w:val="00A921C4"/>
    <w:rsid w:val="00A925EC"/>
    <w:rsid w:val="00A92E06"/>
    <w:rsid w:val="00A93FDC"/>
    <w:rsid w:val="00A9412C"/>
    <w:rsid w:val="00A94356"/>
    <w:rsid w:val="00A95261"/>
    <w:rsid w:val="00A95BFE"/>
    <w:rsid w:val="00A95D7B"/>
    <w:rsid w:val="00A962DA"/>
    <w:rsid w:val="00A96E44"/>
    <w:rsid w:val="00A97F19"/>
    <w:rsid w:val="00AA1CC5"/>
    <w:rsid w:val="00AA254B"/>
    <w:rsid w:val="00AA279F"/>
    <w:rsid w:val="00AA2C07"/>
    <w:rsid w:val="00AA31DF"/>
    <w:rsid w:val="00AA37E0"/>
    <w:rsid w:val="00AA3A75"/>
    <w:rsid w:val="00AA469C"/>
    <w:rsid w:val="00AA4B16"/>
    <w:rsid w:val="00AA56F1"/>
    <w:rsid w:val="00AA58DF"/>
    <w:rsid w:val="00AA5B61"/>
    <w:rsid w:val="00AA65A2"/>
    <w:rsid w:val="00AA7459"/>
    <w:rsid w:val="00AA77F9"/>
    <w:rsid w:val="00AA7F4C"/>
    <w:rsid w:val="00AB0D1C"/>
    <w:rsid w:val="00AB123A"/>
    <w:rsid w:val="00AB18CB"/>
    <w:rsid w:val="00AB1AFD"/>
    <w:rsid w:val="00AB1D02"/>
    <w:rsid w:val="00AB2298"/>
    <w:rsid w:val="00AB2549"/>
    <w:rsid w:val="00AB29BC"/>
    <w:rsid w:val="00AB32C1"/>
    <w:rsid w:val="00AB32DC"/>
    <w:rsid w:val="00AB3D97"/>
    <w:rsid w:val="00AB41EB"/>
    <w:rsid w:val="00AB482E"/>
    <w:rsid w:val="00AB4AA4"/>
    <w:rsid w:val="00AB4F1B"/>
    <w:rsid w:val="00AB5233"/>
    <w:rsid w:val="00AB57EB"/>
    <w:rsid w:val="00AB5823"/>
    <w:rsid w:val="00AB5C37"/>
    <w:rsid w:val="00AB64D2"/>
    <w:rsid w:val="00AB6D51"/>
    <w:rsid w:val="00AB72E5"/>
    <w:rsid w:val="00AB7982"/>
    <w:rsid w:val="00AC0398"/>
    <w:rsid w:val="00AC0DBB"/>
    <w:rsid w:val="00AC0DD9"/>
    <w:rsid w:val="00AC11A7"/>
    <w:rsid w:val="00AC13DD"/>
    <w:rsid w:val="00AC18D5"/>
    <w:rsid w:val="00AC2C45"/>
    <w:rsid w:val="00AC3CD2"/>
    <w:rsid w:val="00AC3D22"/>
    <w:rsid w:val="00AC4CC0"/>
    <w:rsid w:val="00AC539A"/>
    <w:rsid w:val="00AC53E0"/>
    <w:rsid w:val="00AC5443"/>
    <w:rsid w:val="00AC5D48"/>
    <w:rsid w:val="00AC65F3"/>
    <w:rsid w:val="00AC6964"/>
    <w:rsid w:val="00AC6B83"/>
    <w:rsid w:val="00AC714C"/>
    <w:rsid w:val="00AC7AAE"/>
    <w:rsid w:val="00AC7B7C"/>
    <w:rsid w:val="00AD040F"/>
    <w:rsid w:val="00AD092E"/>
    <w:rsid w:val="00AD0DA7"/>
    <w:rsid w:val="00AD10A2"/>
    <w:rsid w:val="00AD1C42"/>
    <w:rsid w:val="00AD22E0"/>
    <w:rsid w:val="00AD2E0C"/>
    <w:rsid w:val="00AD33C3"/>
    <w:rsid w:val="00AD364D"/>
    <w:rsid w:val="00AD3E3F"/>
    <w:rsid w:val="00AD46FB"/>
    <w:rsid w:val="00AD4D7B"/>
    <w:rsid w:val="00AD5083"/>
    <w:rsid w:val="00AD535F"/>
    <w:rsid w:val="00AD5A34"/>
    <w:rsid w:val="00AD7721"/>
    <w:rsid w:val="00AD793A"/>
    <w:rsid w:val="00AD7A31"/>
    <w:rsid w:val="00AD7E2A"/>
    <w:rsid w:val="00AD7E3E"/>
    <w:rsid w:val="00AE0FC2"/>
    <w:rsid w:val="00AE191D"/>
    <w:rsid w:val="00AE21FA"/>
    <w:rsid w:val="00AE2661"/>
    <w:rsid w:val="00AE270B"/>
    <w:rsid w:val="00AE46FB"/>
    <w:rsid w:val="00AE4AE6"/>
    <w:rsid w:val="00AE5163"/>
    <w:rsid w:val="00AE5638"/>
    <w:rsid w:val="00AE572B"/>
    <w:rsid w:val="00AE65E4"/>
    <w:rsid w:val="00AF1ECE"/>
    <w:rsid w:val="00AF2232"/>
    <w:rsid w:val="00AF28DF"/>
    <w:rsid w:val="00AF28EE"/>
    <w:rsid w:val="00AF3DCF"/>
    <w:rsid w:val="00AF3F8A"/>
    <w:rsid w:val="00AF45F1"/>
    <w:rsid w:val="00AF4B14"/>
    <w:rsid w:val="00AF50D1"/>
    <w:rsid w:val="00AF51CD"/>
    <w:rsid w:val="00AF5363"/>
    <w:rsid w:val="00AF5861"/>
    <w:rsid w:val="00AF5A2E"/>
    <w:rsid w:val="00AF5E6C"/>
    <w:rsid w:val="00AF63CA"/>
    <w:rsid w:val="00AF664B"/>
    <w:rsid w:val="00AF7141"/>
    <w:rsid w:val="00AF726C"/>
    <w:rsid w:val="00AF7EBF"/>
    <w:rsid w:val="00B01373"/>
    <w:rsid w:val="00B014D3"/>
    <w:rsid w:val="00B01B41"/>
    <w:rsid w:val="00B0253B"/>
    <w:rsid w:val="00B02E48"/>
    <w:rsid w:val="00B035FE"/>
    <w:rsid w:val="00B03A42"/>
    <w:rsid w:val="00B03BB7"/>
    <w:rsid w:val="00B03CC2"/>
    <w:rsid w:val="00B04650"/>
    <w:rsid w:val="00B04EA4"/>
    <w:rsid w:val="00B053D5"/>
    <w:rsid w:val="00B05703"/>
    <w:rsid w:val="00B0579C"/>
    <w:rsid w:val="00B079CA"/>
    <w:rsid w:val="00B1079F"/>
    <w:rsid w:val="00B10EB8"/>
    <w:rsid w:val="00B11837"/>
    <w:rsid w:val="00B12481"/>
    <w:rsid w:val="00B12578"/>
    <w:rsid w:val="00B12BF6"/>
    <w:rsid w:val="00B1335D"/>
    <w:rsid w:val="00B1384C"/>
    <w:rsid w:val="00B146F5"/>
    <w:rsid w:val="00B14ABE"/>
    <w:rsid w:val="00B1503A"/>
    <w:rsid w:val="00B158AD"/>
    <w:rsid w:val="00B1594A"/>
    <w:rsid w:val="00B162D1"/>
    <w:rsid w:val="00B1672E"/>
    <w:rsid w:val="00B171E7"/>
    <w:rsid w:val="00B17485"/>
    <w:rsid w:val="00B20AF1"/>
    <w:rsid w:val="00B210AC"/>
    <w:rsid w:val="00B21110"/>
    <w:rsid w:val="00B2142B"/>
    <w:rsid w:val="00B229B0"/>
    <w:rsid w:val="00B22F43"/>
    <w:rsid w:val="00B23136"/>
    <w:rsid w:val="00B2364C"/>
    <w:rsid w:val="00B23E3E"/>
    <w:rsid w:val="00B24180"/>
    <w:rsid w:val="00B24972"/>
    <w:rsid w:val="00B24984"/>
    <w:rsid w:val="00B25505"/>
    <w:rsid w:val="00B25BD9"/>
    <w:rsid w:val="00B25EE0"/>
    <w:rsid w:val="00B260B8"/>
    <w:rsid w:val="00B26375"/>
    <w:rsid w:val="00B263AB"/>
    <w:rsid w:val="00B2662C"/>
    <w:rsid w:val="00B26814"/>
    <w:rsid w:val="00B268D9"/>
    <w:rsid w:val="00B268E9"/>
    <w:rsid w:val="00B2749E"/>
    <w:rsid w:val="00B2764B"/>
    <w:rsid w:val="00B2770C"/>
    <w:rsid w:val="00B3071F"/>
    <w:rsid w:val="00B308B6"/>
    <w:rsid w:val="00B30F6C"/>
    <w:rsid w:val="00B322D3"/>
    <w:rsid w:val="00B32BE3"/>
    <w:rsid w:val="00B331B8"/>
    <w:rsid w:val="00B332B7"/>
    <w:rsid w:val="00B3351D"/>
    <w:rsid w:val="00B33ED1"/>
    <w:rsid w:val="00B34023"/>
    <w:rsid w:val="00B35408"/>
    <w:rsid w:val="00B356AB"/>
    <w:rsid w:val="00B35787"/>
    <w:rsid w:val="00B36AAC"/>
    <w:rsid w:val="00B36B0D"/>
    <w:rsid w:val="00B36C9E"/>
    <w:rsid w:val="00B36E9C"/>
    <w:rsid w:val="00B37959"/>
    <w:rsid w:val="00B4180C"/>
    <w:rsid w:val="00B41DE9"/>
    <w:rsid w:val="00B42102"/>
    <w:rsid w:val="00B427A6"/>
    <w:rsid w:val="00B4294F"/>
    <w:rsid w:val="00B42A0E"/>
    <w:rsid w:val="00B430DD"/>
    <w:rsid w:val="00B434D6"/>
    <w:rsid w:val="00B43FA2"/>
    <w:rsid w:val="00B44D15"/>
    <w:rsid w:val="00B451BD"/>
    <w:rsid w:val="00B451CB"/>
    <w:rsid w:val="00B45444"/>
    <w:rsid w:val="00B4582A"/>
    <w:rsid w:val="00B45D4F"/>
    <w:rsid w:val="00B4647C"/>
    <w:rsid w:val="00B46520"/>
    <w:rsid w:val="00B47502"/>
    <w:rsid w:val="00B47A37"/>
    <w:rsid w:val="00B47E73"/>
    <w:rsid w:val="00B50665"/>
    <w:rsid w:val="00B50A0F"/>
    <w:rsid w:val="00B51251"/>
    <w:rsid w:val="00B51EFF"/>
    <w:rsid w:val="00B52213"/>
    <w:rsid w:val="00B5223F"/>
    <w:rsid w:val="00B52624"/>
    <w:rsid w:val="00B52D6E"/>
    <w:rsid w:val="00B53147"/>
    <w:rsid w:val="00B547F5"/>
    <w:rsid w:val="00B55417"/>
    <w:rsid w:val="00B5588B"/>
    <w:rsid w:val="00B56748"/>
    <w:rsid w:val="00B57172"/>
    <w:rsid w:val="00B57BAB"/>
    <w:rsid w:val="00B60259"/>
    <w:rsid w:val="00B6082D"/>
    <w:rsid w:val="00B609A1"/>
    <w:rsid w:val="00B60B4C"/>
    <w:rsid w:val="00B61501"/>
    <w:rsid w:val="00B61517"/>
    <w:rsid w:val="00B6191B"/>
    <w:rsid w:val="00B62A68"/>
    <w:rsid w:val="00B62C02"/>
    <w:rsid w:val="00B632AC"/>
    <w:rsid w:val="00B63F13"/>
    <w:rsid w:val="00B643F4"/>
    <w:rsid w:val="00B6443D"/>
    <w:rsid w:val="00B644F1"/>
    <w:rsid w:val="00B65B65"/>
    <w:rsid w:val="00B65BF9"/>
    <w:rsid w:val="00B65E9C"/>
    <w:rsid w:val="00B66D08"/>
    <w:rsid w:val="00B677F7"/>
    <w:rsid w:val="00B67F7E"/>
    <w:rsid w:val="00B70423"/>
    <w:rsid w:val="00B70C51"/>
    <w:rsid w:val="00B72E54"/>
    <w:rsid w:val="00B730EB"/>
    <w:rsid w:val="00B735FD"/>
    <w:rsid w:val="00B73A5B"/>
    <w:rsid w:val="00B745E6"/>
    <w:rsid w:val="00B74A32"/>
    <w:rsid w:val="00B7547F"/>
    <w:rsid w:val="00B754CD"/>
    <w:rsid w:val="00B759EE"/>
    <w:rsid w:val="00B76366"/>
    <w:rsid w:val="00B7658D"/>
    <w:rsid w:val="00B768EC"/>
    <w:rsid w:val="00B7717E"/>
    <w:rsid w:val="00B7783E"/>
    <w:rsid w:val="00B77C82"/>
    <w:rsid w:val="00B77D0F"/>
    <w:rsid w:val="00B77F90"/>
    <w:rsid w:val="00B80B6B"/>
    <w:rsid w:val="00B8114B"/>
    <w:rsid w:val="00B81B5D"/>
    <w:rsid w:val="00B82CE9"/>
    <w:rsid w:val="00B8379C"/>
    <w:rsid w:val="00B83D0F"/>
    <w:rsid w:val="00B84098"/>
    <w:rsid w:val="00B84659"/>
    <w:rsid w:val="00B85E7B"/>
    <w:rsid w:val="00B86B36"/>
    <w:rsid w:val="00B87DEE"/>
    <w:rsid w:val="00B900EF"/>
    <w:rsid w:val="00B9028E"/>
    <w:rsid w:val="00B90955"/>
    <w:rsid w:val="00B90F2A"/>
    <w:rsid w:val="00B9235E"/>
    <w:rsid w:val="00B93310"/>
    <w:rsid w:val="00B93499"/>
    <w:rsid w:val="00B94372"/>
    <w:rsid w:val="00B943A6"/>
    <w:rsid w:val="00B9460B"/>
    <w:rsid w:val="00B94A49"/>
    <w:rsid w:val="00B95B93"/>
    <w:rsid w:val="00B976A1"/>
    <w:rsid w:val="00B97926"/>
    <w:rsid w:val="00BA0055"/>
    <w:rsid w:val="00BA0A33"/>
    <w:rsid w:val="00BA150B"/>
    <w:rsid w:val="00BA23CA"/>
    <w:rsid w:val="00BA2D86"/>
    <w:rsid w:val="00BA2F57"/>
    <w:rsid w:val="00BA35BE"/>
    <w:rsid w:val="00BA3783"/>
    <w:rsid w:val="00BA38F8"/>
    <w:rsid w:val="00BA3FBD"/>
    <w:rsid w:val="00BA41B1"/>
    <w:rsid w:val="00BA4B55"/>
    <w:rsid w:val="00BA5037"/>
    <w:rsid w:val="00BA52BF"/>
    <w:rsid w:val="00BA5C01"/>
    <w:rsid w:val="00BA5ED3"/>
    <w:rsid w:val="00BA63A2"/>
    <w:rsid w:val="00BA76B3"/>
    <w:rsid w:val="00BA7949"/>
    <w:rsid w:val="00BA7A41"/>
    <w:rsid w:val="00BB01DF"/>
    <w:rsid w:val="00BB0714"/>
    <w:rsid w:val="00BB09C9"/>
    <w:rsid w:val="00BB0D26"/>
    <w:rsid w:val="00BB1062"/>
    <w:rsid w:val="00BB126D"/>
    <w:rsid w:val="00BB1768"/>
    <w:rsid w:val="00BB2222"/>
    <w:rsid w:val="00BB39AC"/>
    <w:rsid w:val="00BB3BCD"/>
    <w:rsid w:val="00BB3D99"/>
    <w:rsid w:val="00BB416C"/>
    <w:rsid w:val="00BB41E7"/>
    <w:rsid w:val="00BB4C4D"/>
    <w:rsid w:val="00BB553D"/>
    <w:rsid w:val="00BB6371"/>
    <w:rsid w:val="00BB6512"/>
    <w:rsid w:val="00BB7F03"/>
    <w:rsid w:val="00BC09AE"/>
    <w:rsid w:val="00BC0D7E"/>
    <w:rsid w:val="00BC1965"/>
    <w:rsid w:val="00BC1AEB"/>
    <w:rsid w:val="00BC1C86"/>
    <w:rsid w:val="00BC203C"/>
    <w:rsid w:val="00BC269A"/>
    <w:rsid w:val="00BC27AD"/>
    <w:rsid w:val="00BC299D"/>
    <w:rsid w:val="00BC312C"/>
    <w:rsid w:val="00BC3138"/>
    <w:rsid w:val="00BC332C"/>
    <w:rsid w:val="00BC434A"/>
    <w:rsid w:val="00BC4681"/>
    <w:rsid w:val="00BC52D0"/>
    <w:rsid w:val="00BC533D"/>
    <w:rsid w:val="00BC551C"/>
    <w:rsid w:val="00BC58BB"/>
    <w:rsid w:val="00BC6486"/>
    <w:rsid w:val="00BC6524"/>
    <w:rsid w:val="00BC7BFD"/>
    <w:rsid w:val="00BD08D0"/>
    <w:rsid w:val="00BD0DDF"/>
    <w:rsid w:val="00BD11A3"/>
    <w:rsid w:val="00BD1BD5"/>
    <w:rsid w:val="00BD2204"/>
    <w:rsid w:val="00BD2E4D"/>
    <w:rsid w:val="00BD3D32"/>
    <w:rsid w:val="00BD4227"/>
    <w:rsid w:val="00BD42B6"/>
    <w:rsid w:val="00BD467D"/>
    <w:rsid w:val="00BD4998"/>
    <w:rsid w:val="00BD5AE7"/>
    <w:rsid w:val="00BD5C9F"/>
    <w:rsid w:val="00BD63C4"/>
    <w:rsid w:val="00BD72A9"/>
    <w:rsid w:val="00BD75D6"/>
    <w:rsid w:val="00BE0571"/>
    <w:rsid w:val="00BE1294"/>
    <w:rsid w:val="00BE1890"/>
    <w:rsid w:val="00BE2489"/>
    <w:rsid w:val="00BE2576"/>
    <w:rsid w:val="00BE2CE3"/>
    <w:rsid w:val="00BE334E"/>
    <w:rsid w:val="00BE3476"/>
    <w:rsid w:val="00BE4696"/>
    <w:rsid w:val="00BE4A4D"/>
    <w:rsid w:val="00BE4C12"/>
    <w:rsid w:val="00BE4C72"/>
    <w:rsid w:val="00BE5723"/>
    <w:rsid w:val="00BE5F4F"/>
    <w:rsid w:val="00BE679C"/>
    <w:rsid w:val="00BE6CD6"/>
    <w:rsid w:val="00BE768F"/>
    <w:rsid w:val="00BE79CB"/>
    <w:rsid w:val="00BE7BA8"/>
    <w:rsid w:val="00BF0327"/>
    <w:rsid w:val="00BF0424"/>
    <w:rsid w:val="00BF1511"/>
    <w:rsid w:val="00BF1907"/>
    <w:rsid w:val="00BF2CA9"/>
    <w:rsid w:val="00BF3052"/>
    <w:rsid w:val="00BF3454"/>
    <w:rsid w:val="00BF39E9"/>
    <w:rsid w:val="00BF3C9B"/>
    <w:rsid w:val="00BF4106"/>
    <w:rsid w:val="00BF49E1"/>
    <w:rsid w:val="00BF4E01"/>
    <w:rsid w:val="00BF6569"/>
    <w:rsid w:val="00BF694A"/>
    <w:rsid w:val="00BF6A46"/>
    <w:rsid w:val="00BF6AAB"/>
    <w:rsid w:val="00BF6C5E"/>
    <w:rsid w:val="00BF75CB"/>
    <w:rsid w:val="00C007AC"/>
    <w:rsid w:val="00C009DD"/>
    <w:rsid w:val="00C011B2"/>
    <w:rsid w:val="00C012F8"/>
    <w:rsid w:val="00C020CF"/>
    <w:rsid w:val="00C0327A"/>
    <w:rsid w:val="00C03E8D"/>
    <w:rsid w:val="00C03F70"/>
    <w:rsid w:val="00C054C1"/>
    <w:rsid w:val="00C057A8"/>
    <w:rsid w:val="00C064B6"/>
    <w:rsid w:val="00C065D4"/>
    <w:rsid w:val="00C07114"/>
    <w:rsid w:val="00C0777C"/>
    <w:rsid w:val="00C0789C"/>
    <w:rsid w:val="00C07E01"/>
    <w:rsid w:val="00C10808"/>
    <w:rsid w:val="00C10C9D"/>
    <w:rsid w:val="00C10EBE"/>
    <w:rsid w:val="00C120C2"/>
    <w:rsid w:val="00C123B6"/>
    <w:rsid w:val="00C13918"/>
    <w:rsid w:val="00C13EFE"/>
    <w:rsid w:val="00C141B3"/>
    <w:rsid w:val="00C14898"/>
    <w:rsid w:val="00C14C30"/>
    <w:rsid w:val="00C14C83"/>
    <w:rsid w:val="00C160F3"/>
    <w:rsid w:val="00C16536"/>
    <w:rsid w:val="00C16E27"/>
    <w:rsid w:val="00C201CE"/>
    <w:rsid w:val="00C216A6"/>
    <w:rsid w:val="00C21CD1"/>
    <w:rsid w:val="00C220F1"/>
    <w:rsid w:val="00C220F4"/>
    <w:rsid w:val="00C22EEA"/>
    <w:rsid w:val="00C234C9"/>
    <w:rsid w:val="00C23D25"/>
    <w:rsid w:val="00C242C2"/>
    <w:rsid w:val="00C24815"/>
    <w:rsid w:val="00C25629"/>
    <w:rsid w:val="00C257D8"/>
    <w:rsid w:val="00C25D70"/>
    <w:rsid w:val="00C25D78"/>
    <w:rsid w:val="00C260B8"/>
    <w:rsid w:val="00C2612D"/>
    <w:rsid w:val="00C26B90"/>
    <w:rsid w:val="00C2701C"/>
    <w:rsid w:val="00C2787A"/>
    <w:rsid w:val="00C27D07"/>
    <w:rsid w:val="00C30357"/>
    <w:rsid w:val="00C30D67"/>
    <w:rsid w:val="00C30FC2"/>
    <w:rsid w:val="00C312F3"/>
    <w:rsid w:val="00C318AB"/>
    <w:rsid w:val="00C31AE6"/>
    <w:rsid w:val="00C3211E"/>
    <w:rsid w:val="00C32728"/>
    <w:rsid w:val="00C32CAE"/>
    <w:rsid w:val="00C3358D"/>
    <w:rsid w:val="00C335B2"/>
    <w:rsid w:val="00C33869"/>
    <w:rsid w:val="00C33DE4"/>
    <w:rsid w:val="00C33FAF"/>
    <w:rsid w:val="00C340BB"/>
    <w:rsid w:val="00C342E9"/>
    <w:rsid w:val="00C343D2"/>
    <w:rsid w:val="00C34547"/>
    <w:rsid w:val="00C351B0"/>
    <w:rsid w:val="00C351CD"/>
    <w:rsid w:val="00C35576"/>
    <w:rsid w:val="00C36EBF"/>
    <w:rsid w:val="00C37225"/>
    <w:rsid w:val="00C37602"/>
    <w:rsid w:val="00C379E3"/>
    <w:rsid w:val="00C37B12"/>
    <w:rsid w:val="00C40849"/>
    <w:rsid w:val="00C41393"/>
    <w:rsid w:val="00C417A4"/>
    <w:rsid w:val="00C41A10"/>
    <w:rsid w:val="00C41A31"/>
    <w:rsid w:val="00C41D6F"/>
    <w:rsid w:val="00C4375F"/>
    <w:rsid w:val="00C43CDD"/>
    <w:rsid w:val="00C43E74"/>
    <w:rsid w:val="00C43F1B"/>
    <w:rsid w:val="00C44A8B"/>
    <w:rsid w:val="00C44F49"/>
    <w:rsid w:val="00C45498"/>
    <w:rsid w:val="00C457D7"/>
    <w:rsid w:val="00C4677E"/>
    <w:rsid w:val="00C46D19"/>
    <w:rsid w:val="00C4774E"/>
    <w:rsid w:val="00C47807"/>
    <w:rsid w:val="00C50268"/>
    <w:rsid w:val="00C506CA"/>
    <w:rsid w:val="00C507B3"/>
    <w:rsid w:val="00C508D6"/>
    <w:rsid w:val="00C50F04"/>
    <w:rsid w:val="00C510A1"/>
    <w:rsid w:val="00C51144"/>
    <w:rsid w:val="00C512E5"/>
    <w:rsid w:val="00C515E8"/>
    <w:rsid w:val="00C516FD"/>
    <w:rsid w:val="00C52F38"/>
    <w:rsid w:val="00C533C0"/>
    <w:rsid w:val="00C53EAC"/>
    <w:rsid w:val="00C5463E"/>
    <w:rsid w:val="00C546FB"/>
    <w:rsid w:val="00C54F51"/>
    <w:rsid w:val="00C54F5B"/>
    <w:rsid w:val="00C558B9"/>
    <w:rsid w:val="00C55CDA"/>
    <w:rsid w:val="00C55D5C"/>
    <w:rsid w:val="00C55FBC"/>
    <w:rsid w:val="00C56199"/>
    <w:rsid w:val="00C56AF7"/>
    <w:rsid w:val="00C57B5C"/>
    <w:rsid w:val="00C61051"/>
    <w:rsid w:val="00C6129D"/>
    <w:rsid w:val="00C61D37"/>
    <w:rsid w:val="00C624EA"/>
    <w:rsid w:val="00C638A1"/>
    <w:rsid w:val="00C63C36"/>
    <w:rsid w:val="00C6401B"/>
    <w:rsid w:val="00C645EC"/>
    <w:rsid w:val="00C6482B"/>
    <w:rsid w:val="00C64C18"/>
    <w:rsid w:val="00C653B7"/>
    <w:rsid w:val="00C656E2"/>
    <w:rsid w:val="00C65D7F"/>
    <w:rsid w:val="00C66105"/>
    <w:rsid w:val="00C66715"/>
    <w:rsid w:val="00C66834"/>
    <w:rsid w:val="00C66E55"/>
    <w:rsid w:val="00C66FCB"/>
    <w:rsid w:val="00C678D6"/>
    <w:rsid w:val="00C70AEC"/>
    <w:rsid w:val="00C7126A"/>
    <w:rsid w:val="00C71AFC"/>
    <w:rsid w:val="00C71B7E"/>
    <w:rsid w:val="00C72A6A"/>
    <w:rsid w:val="00C72BE1"/>
    <w:rsid w:val="00C741D0"/>
    <w:rsid w:val="00C7421A"/>
    <w:rsid w:val="00C74468"/>
    <w:rsid w:val="00C7486D"/>
    <w:rsid w:val="00C74AFF"/>
    <w:rsid w:val="00C75003"/>
    <w:rsid w:val="00C759C8"/>
    <w:rsid w:val="00C75F34"/>
    <w:rsid w:val="00C76282"/>
    <w:rsid w:val="00C76553"/>
    <w:rsid w:val="00C7712F"/>
    <w:rsid w:val="00C773CA"/>
    <w:rsid w:val="00C77949"/>
    <w:rsid w:val="00C801C4"/>
    <w:rsid w:val="00C80257"/>
    <w:rsid w:val="00C80492"/>
    <w:rsid w:val="00C80932"/>
    <w:rsid w:val="00C809B5"/>
    <w:rsid w:val="00C80A99"/>
    <w:rsid w:val="00C80B63"/>
    <w:rsid w:val="00C812DE"/>
    <w:rsid w:val="00C81671"/>
    <w:rsid w:val="00C82246"/>
    <w:rsid w:val="00C8242E"/>
    <w:rsid w:val="00C8262C"/>
    <w:rsid w:val="00C82E95"/>
    <w:rsid w:val="00C83188"/>
    <w:rsid w:val="00C8378A"/>
    <w:rsid w:val="00C84310"/>
    <w:rsid w:val="00C84C4A"/>
    <w:rsid w:val="00C85475"/>
    <w:rsid w:val="00C86807"/>
    <w:rsid w:val="00C869D6"/>
    <w:rsid w:val="00C87141"/>
    <w:rsid w:val="00C8716F"/>
    <w:rsid w:val="00C873C6"/>
    <w:rsid w:val="00C87403"/>
    <w:rsid w:val="00C87A01"/>
    <w:rsid w:val="00C908B2"/>
    <w:rsid w:val="00C919BC"/>
    <w:rsid w:val="00C92B5A"/>
    <w:rsid w:val="00C92C39"/>
    <w:rsid w:val="00C94A8F"/>
    <w:rsid w:val="00C957F2"/>
    <w:rsid w:val="00C95E42"/>
    <w:rsid w:val="00C96316"/>
    <w:rsid w:val="00C96AB7"/>
    <w:rsid w:val="00C96B4A"/>
    <w:rsid w:val="00C971CD"/>
    <w:rsid w:val="00C97505"/>
    <w:rsid w:val="00C9782F"/>
    <w:rsid w:val="00CA0230"/>
    <w:rsid w:val="00CA04B9"/>
    <w:rsid w:val="00CA0DBC"/>
    <w:rsid w:val="00CA13DB"/>
    <w:rsid w:val="00CA150D"/>
    <w:rsid w:val="00CA1847"/>
    <w:rsid w:val="00CA22AC"/>
    <w:rsid w:val="00CA22BB"/>
    <w:rsid w:val="00CA2334"/>
    <w:rsid w:val="00CA279F"/>
    <w:rsid w:val="00CA2BB7"/>
    <w:rsid w:val="00CA3943"/>
    <w:rsid w:val="00CA3D1C"/>
    <w:rsid w:val="00CA3EDE"/>
    <w:rsid w:val="00CA428A"/>
    <w:rsid w:val="00CA4E0C"/>
    <w:rsid w:val="00CA565B"/>
    <w:rsid w:val="00CA5925"/>
    <w:rsid w:val="00CA6303"/>
    <w:rsid w:val="00CA6CDB"/>
    <w:rsid w:val="00CA73B4"/>
    <w:rsid w:val="00CA7592"/>
    <w:rsid w:val="00CB0B96"/>
    <w:rsid w:val="00CB1747"/>
    <w:rsid w:val="00CB1D59"/>
    <w:rsid w:val="00CB2784"/>
    <w:rsid w:val="00CB28AE"/>
    <w:rsid w:val="00CB2E31"/>
    <w:rsid w:val="00CB3752"/>
    <w:rsid w:val="00CB3AB7"/>
    <w:rsid w:val="00CB3BA7"/>
    <w:rsid w:val="00CB3DB1"/>
    <w:rsid w:val="00CB3FAB"/>
    <w:rsid w:val="00CB4459"/>
    <w:rsid w:val="00CB4818"/>
    <w:rsid w:val="00CB4AF0"/>
    <w:rsid w:val="00CB555B"/>
    <w:rsid w:val="00CB6577"/>
    <w:rsid w:val="00CB698E"/>
    <w:rsid w:val="00CB7936"/>
    <w:rsid w:val="00CB7D46"/>
    <w:rsid w:val="00CC0481"/>
    <w:rsid w:val="00CC1227"/>
    <w:rsid w:val="00CC184E"/>
    <w:rsid w:val="00CC1DDC"/>
    <w:rsid w:val="00CC1E78"/>
    <w:rsid w:val="00CC35C4"/>
    <w:rsid w:val="00CC58AB"/>
    <w:rsid w:val="00CC68F9"/>
    <w:rsid w:val="00CC7FEA"/>
    <w:rsid w:val="00CD0185"/>
    <w:rsid w:val="00CD02C4"/>
    <w:rsid w:val="00CD0349"/>
    <w:rsid w:val="00CD06CA"/>
    <w:rsid w:val="00CD0A07"/>
    <w:rsid w:val="00CD0D29"/>
    <w:rsid w:val="00CD1824"/>
    <w:rsid w:val="00CD1B28"/>
    <w:rsid w:val="00CD1B89"/>
    <w:rsid w:val="00CD20F4"/>
    <w:rsid w:val="00CD2148"/>
    <w:rsid w:val="00CD463C"/>
    <w:rsid w:val="00CD4951"/>
    <w:rsid w:val="00CD4B1C"/>
    <w:rsid w:val="00CD56C7"/>
    <w:rsid w:val="00CD5F60"/>
    <w:rsid w:val="00CD7605"/>
    <w:rsid w:val="00CD7D6E"/>
    <w:rsid w:val="00CD7DC2"/>
    <w:rsid w:val="00CD7E24"/>
    <w:rsid w:val="00CE0468"/>
    <w:rsid w:val="00CE077B"/>
    <w:rsid w:val="00CE0803"/>
    <w:rsid w:val="00CE0D9B"/>
    <w:rsid w:val="00CE0DC2"/>
    <w:rsid w:val="00CE102D"/>
    <w:rsid w:val="00CE14E5"/>
    <w:rsid w:val="00CE1E29"/>
    <w:rsid w:val="00CE2874"/>
    <w:rsid w:val="00CE2D69"/>
    <w:rsid w:val="00CE3368"/>
    <w:rsid w:val="00CE640D"/>
    <w:rsid w:val="00CE66F5"/>
    <w:rsid w:val="00CE6F02"/>
    <w:rsid w:val="00CE6FAD"/>
    <w:rsid w:val="00CE778F"/>
    <w:rsid w:val="00CE7FB6"/>
    <w:rsid w:val="00CE7FE5"/>
    <w:rsid w:val="00CF0030"/>
    <w:rsid w:val="00CF19AA"/>
    <w:rsid w:val="00CF2370"/>
    <w:rsid w:val="00CF2785"/>
    <w:rsid w:val="00CF28DF"/>
    <w:rsid w:val="00CF3E1A"/>
    <w:rsid w:val="00CF45A0"/>
    <w:rsid w:val="00CF46D7"/>
    <w:rsid w:val="00CF47F2"/>
    <w:rsid w:val="00CF54F0"/>
    <w:rsid w:val="00CF637B"/>
    <w:rsid w:val="00CF649F"/>
    <w:rsid w:val="00CF6809"/>
    <w:rsid w:val="00D000EC"/>
    <w:rsid w:val="00D006AC"/>
    <w:rsid w:val="00D01328"/>
    <w:rsid w:val="00D013E8"/>
    <w:rsid w:val="00D01B7C"/>
    <w:rsid w:val="00D02DA7"/>
    <w:rsid w:val="00D03533"/>
    <w:rsid w:val="00D03539"/>
    <w:rsid w:val="00D03D91"/>
    <w:rsid w:val="00D04581"/>
    <w:rsid w:val="00D0482F"/>
    <w:rsid w:val="00D058BE"/>
    <w:rsid w:val="00D05DD4"/>
    <w:rsid w:val="00D065C2"/>
    <w:rsid w:val="00D0687B"/>
    <w:rsid w:val="00D06914"/>
    <w:rsid w:val="00D06FF9"/>
    <w:rsid w:val="00D0758E"/>
    <w:rsid w:val="00D07736"/>
    <w:rsid w:val="00D079CA"/>
    <w:rsid w:val="00D07B16"/>
    <w:rsid w:val="00D1030E"/>
    <w:rsid w:val="00D1081B"/>
    <w:rsid w:val="00D10C07"/>
    <w:rsid w:val="00D11123"/>
    <w:rsid w:val="00D11134"/>
    <w:rsid w:val="00D11770"/>
    <w:rsid w:val="00D11D8B"/>
    <w:rsid w:val="00D11E36"/>
    <w:rsid w:val="00D131A1"/>
    <w:rsid w:val="00D132E3"/>
    <w:rsid w:val="00D13F1C"/>
    <w:rsid w:val="00D153A5"/>
    <w:rsid w:val="00D157E5"/>
    <w:rsid w:val="00D15802"/>
    <w:rsid w:val="00D159F0"/>
    <w:rsid w:val="00D16F24"/>
    <w:rsid w:val="00D20A99"/>
    <w:rsid w:val="00D212EE"/>
    <w:rsid w:val="00D21DDD"/>
    <w:rsid w:val="00D2390C"/>
    <w:rsid w:val="00D23B7E"/>
    <w:rsid w:val="00D2420E"/>
    <w:rsid w:val="00D24A68"/>
    <w:rsid w:val="00D24D29"/>
    <w:rsid w:val="00D24E2B"/>
    <w:rsid w:val="00D250AF"/>
    <w:rsid w:val="00D2524F"/>
    <w:rsid w:val="00D253F1"/>
    <w:rsid w:val="00D256B8"/>
    <w:rsid w:val="00D25BF6"/>
    <w:rsid w:val="00D26BE3"/>
    <w:rsid w:val="00D26F37"/>
    <w:rsid w:val="00D2731D"/>
    <w:rsid w:val="00D27433"/>
    <w:rsid w:val="00D277E4"/>
    <w:rsid w:val="00D304B7"/>
    <w:rsid w:val="00D30E2F"/>
    <w:rsid w:val="00D3145F"/>
    <w:rsid w:val="00D32951"/>
    <w:rsid w:val="00D32973"/>
    <w:rsid w:val="00D33A4B"/>
    <w:rsid w:val="00D33A66"/>
    <w:rsid w:val="00D33B60"/>
    <w:rsid w:val="00D33DF5"/>
    <w:rsid w:val="00D33E0B"/>
    <w:rsid w:val="00D33FE7"/>
    <w:rsid w:val="00D34391"/>
    <w:rsid w:val="00D345D9"/>
    <w:rsid w:val="00D35161"/>
    <w:rsid w:val="00D355A6"/>
    <w:rsid w:val="00D3589E"/>
    <w:rsid w:val="00D36604"/>
    <w:rsid w:val="00D367F2"/>
    <w:rsid w:val="00D36B2C"/>
    <w:rsid w:val="00D3702F"/>
    <w:rsid w:val="00D375F1"/>
    <w:rsid w:val="00D40482"/>
    <w:rsid w:val="00D40BA9"/>
    <w:rsid w:val="00D40CB6"/>
    <w:rsid w:val="00D40F5A"/>
    <w:rsid w:val="00D41282"/>
    <w:rsid w:val="00D41E05"/>
    <w:rsid w:val="00D42CA3"/>
    <w:rsid w:val="00D42DA1"/>
    <w:rsid w:val="00D42E5D"/>
    <w:rsid w:val="00D42FC7"/>
    <w:rsid w:val="00D42FE3"/>
    <w:rsid w:val="00D436E2"/>
    <w:rsid w:val="00D4374D"/>
    <w:rsid w:val="00D44289"/>
    <w:rsid w:val="00D44351"/>
    <w:rsid w:val="00D4483D"/>
    <w:rsid w:val="00D44E88"/>
    <w:rsid w:val="00D45BFB"/>
    <w:rsid w:val="00D46A9A"/>
    <w:rsid w:val="00D47431"/>
    <w:rsid w:val="00D47874"/>
    <w:rsid w:val="00D47E3F"/>
    <w:rsid w:val="00D47EA9"/>
    <w:rsid w:val="00D5093D"/>
    <w:rsid w:val="00D50AF3"/>
    <w:rsid w:val="00D5136E"/>
    <w:rsid w:val="00D51C51"/>
    <w:rsid w:val="00D52C2E"/>
    <w:rsid w:val="00D533AD"/>
    <w:rsid w:val="00D566AA"/>
    <w:rsid w:val="00D56A55"/>
    <w:rsid w:val="00D57221"/>
    <w:rsid w:val="00D572EA"/>
    <w:rsid w:val="00D5777B"/>
    <w:rsid w:val="00D57D3C"/>
    <w:rsid w:val="00D602A1"/>
    <w:rsid w:val="00D602BF"/>
    <w:rsid w:val="00D602ED"/>
    <w:rsid w:val="00D60BA6"/>
    <w:rsid w:val="00D60DAF"/>
    <w:rsid w:val="00D61088"/>
    <w:rsid w:val="00D610FB"/>
    <w:rsid w:val="00D61C00"/>
    <w:rsid w:val="00D63362"/>
    <w:rsid w:val="00D640EB"/>
    <w:rsid w:val="00D641DE"/>
    <w:rsid w:val="00D64945"/>
    <w:rsid w:val="00D6661F"/>
    <w:rsid w:val="00D66A74"/>
    <w:rsid w:val="00D66E84"/>
    <w:rsid w:val="00D677F2"/>
    <w:rsid w:val="00D708EA"/>
    <w:rsid w:val="00D70AD5"/>
    <w:rsid w:val="00D70F17"/>
    <w:rsid w:val="00D71E53"/>
    <w:rsid w:val="00D72E44"/>
    <w:rsid w:val="00D73541"/>
    <w:rsid w:val="00D73A85"/>
    <w:rsid w:val="00D7403A"/>
    <w:rsid w:val="00D74490"/>
    <w:rsid w:val="00D74798"/>
    <w:rsid w:val="00D74C4B"/>
    <w:rsid w:val="00D751A5"/>
    <w:rsid w:val="00D75309"/>
    <w:rsid w:val="00D754EA"/>
    <w:rsid w:val="00D75A01"/>
    <w:rsid w:val="00D76FC7"/>
    <w:rsid w:val="00D7751C"/>
    <w:rsid w:val="00D77589"/>
    <w:rsid w:val="00D77860"/>
    <w:rsid w:val="00D77CC5"/>
    <w:rsid w:val="00D80058"/>
    <w:rsid w:val="00D80D2C"/>
    <w:rsid w:val="00D80D79"/>
    <w:rsid w:val="00D82F56"/>
    <w:rsid w:val="00D830DA"/>
    <w:rsid w:val="00D830F1"/>
    <w:rsid w:val="00D8370D"/>
    <w:rsid w:val="00D8378E"/>
    <w:rsid w:val="00D85069"/>
    <w:rsid w:val="00D85779"/>
    <w:rsid w:val="00D8595D"/>
    <w:rsid w:val="00D85991"/>
    <w:rsid w:val="00D85AED"/>
    <w:rsid w:val="00D8627B"/>
    <w:rsid w:val="00D87B2A"/>
    <w:rsid w:val="00D900DE"/>
    <w:rsid w:val="00D90435"/>
    <w:rsid w:val="00D90C8E"/>
    <w:rsid w:val="00D90DEF"/>
    <w:rsid w:val="00D910D7"/>
    <w:rsid w:val="00D91425"/>
    <w:rsid w:val="00D91735"/>
    <w:rsid w:val="00D91FB3"/>
    <w:rsid w:val="00D92B0D"/>
    <w:rsid w:val="00D93092"/>
    <w:rsid w:val="00D93777"/>
    <w:rsid w:val="00D9407C"/>
    <w:rsid w:val="00D950C4"/>
    <w:rsid w:val="00D95AC7"/>
    <w:rsid w:val="00D95D1D"/>
    <w:rsid w:val="00D95DE7"/>
    <w:rsid w:val="00D963BF"/>
    <w:rsid w:val="00D96460"/>
    <w:rsid w:val="00D96638"/>
    <w:rsid w:val="00D975A2"/>
    <w:rsid w:val="00D97E50"/>
    <w:rsid w:val="00DA04EC"/>
    <w:rsid w:val="00DA2609"/>
    <w:rsid w:val="00DA31A1"/>
    <w:rsid w:val="00DA323E"/>
    <w:rsid w:val="00DA38F0"/>
    <w:rsid w:val="00DA4AF3"/>
    <w:rsid w:val="00DA4C47"/>
    <w:rsid w:val="00DA4CF7"/>
    <w:rsid w:val="00DA5273"/>
    <w:rsid w:val="00DA5919"/>
    <w:rsid w:val="00DA5AD9"/>
    <w:rsid w:val="00DA5D93"/>
    <w:rsid w:val="00DA622C"/>
    <w:rsid w:val="00DA6438"/>
    <w:rsid w:val="00DA6C87"/>
    <w:rsid w:val="00DA7015"/>
    <w:rsid w:val="00DB0392"/>
    <w:rsid w:val="00DB0428"/>
    <w:rsid w:val="00DB0AA1"/>
    <w:rsid w:val="00DB0AD3"/>
    <w:rsid w:val="00DB14D6"/>
    <w:rsid w:val="00DB16C2"/>
    <w:rsid w:val="00DB1A66"/>
    <w:rsid w:val="00DB1B1E"/>
    <w:rsid w:val="00DB25E4"/>
    <w:rsid w:val="00DB2C2E"/>
    <w:rsid w:val="00DB3927"/>
    <w:rsid w:val="00DB4885"/>
    <w:rsid w:val="00DB4A49"/>
    <w:rsid w:val="00DB6CA5"/>
    <w:rsid w:val="00DB6CFD"/>
    <w:rsid w:val="00DB7D99"/>
    <w:rsid w:val="00DC06FD"/>
    <w:rsid w:val="00DC07FA"/>
    <w:rsid w:val="00DC0D97"/>
    <w:rsid w:val="00DC1709"/>
    <w:rsid w:val="00DC1A15"/>
    <w:rsid w:val="00DC2805"/>
    <w:rsid w:val="00DC2862"/>
    <w:rsid w:val="00DC2EEF"/>
    <w:rsid w:val="00DC3406"/>
    <w:rsid w:val="00DC3A81"/>
    <w:rsid w:val="00DC3E62"/>
    <w:rsid w:val="00DC3FA4"/>
    <w:rsid w:val="00DC464B"/>
    <w:rsid w:val="00DC4C1D"/>
    <w:rsid w:val="00DC4DEE"/>
    <w:rsid w:val="00DC525F"/>
    <w:rsid w:val="00DC57FA"/>
    <w:rsid w:val="00DC5CD2"/>
    <w:rsid w:val="00DC661B"/>
    <w:rsid w:val="00DC66AD"/>
    <w:rsid w:val="00DC6AEF"/>
    <w:rsid w:val="00DC6DCF"/>
    <w:rsid w:val="00DC74C2"/>
    <w:rsid w:val="00DD05E4"/>
    <w:rsid w:val="00DD0BAB"/>
    <w:rsid w:val="00DD13B8"/>
    <w:rsid w:val="00DD1593"/>
    <w:rsid w:val="00DD2111"/>
    <w:rsid w:val="00DD21D1"/>
    <w:rsid w:val="00DD2727"/>
    <w:rsid w:val="00DD2A2E"/>
    <w:rsid w:val="00DD3953"/>
    <w:rsid w:val="00DD4749"/>
    <w:rsid w:val="00DD4927"/>
    <w:rsid w:val="00DE0563"/>
    <w:rsid w:val="00DE0571"/>
    <w:rsid w:val="00DE0C1B"/>
    <w:rsid w:val="00DE143A"/>
    <w:rsid w:val="00DE1808"/>
    <w:rsid w:val="00DE1AC8"/>
    <w:rsid w:val="00DE1E42"/>
    <w:rsid w:val="00DE29BC"/>
    <w:rsid w:val="00DE3D3D"/>
    <w:rsid w:val="00DE4C18"/>
    <w:rsid w:val="00DE5582"/>
    <w:rsid w:val="00DE5BEB"/>
    <w:rsid w:val="00DE6399"/>
    <w:rsid w:val="00DE6CDE"/>
    <w:rsid w:val="00DE6F42"/>
    <w:rsid w:val="00DE70FC"/>
    <w:rsid w:val="00DE732C"/>
    <w:rsid w:val="00DE779B"/>
    <w:rsid w:val="00DE7A55"/>
    <w:rsid w:val="00DE7D23"/>
    <w:rsid w:val="00DF07A4"/>
    <w:rsid w:val="00DF0C22"/>
    <w:rsid w:val="00DF2490"/>
    <w:rsid w:val="00DF2598"/>
    <w:rsid w:val="00DF2863"/>
    <w:rsid w:val="00DF3284"/>
    <w:rsid w:val="00DF37A4"/>
    <w:rsid w:val="00DF3876"/>
    <w:rsid w:val="00DF45F8"/>
    <w:rsid w:val="00DF49B4"/>
    <w:rsid w:val="00DF4C8D"/>
    <w:rsid w:val="00DF4CD5"/>
    <w:rsid w:val="00DF5018"/>
    <w:rsid w:val="00DF57A2"/>
    <w:rsid w:val="00DF625A"/>
    <w:rsid w:val="00DF6D50"/>
    <w:rsid w:val="00DF7C97"/>
    <w:rsid w:val="00DF7EDE"/>
    <w:rsid w:val="00E000D2"/>
    <w:rsid w:val="00E005A6"/>
    <w:rsid w:val="00E005E8"/>
    <w:rsid w:val="00E00683"/>
    <w:rsid w:val="00E0080E"/>
    <w:rsid w:val="00E00EC4"/>
    <w:rsid w:val="00E0101B"/>
    <w:rsid w:val="00E01069"/>
    <w:rsid w:val="00E0218E"/>
    <w:rsid w:val="00E02437"/>
    <w:rsid w:val="00E0277B"/>
    <w:rsid w:val="00E03741"/>
    <w:rsid w:val="00E044FE"/>
    <w:rsid w:val="00E04917"/>
    <w:rsid w:val="00E05847"/>
    <w:rsid w:val="00E059F1"/>
    <w:rsid w:val="00E064C5"/>
    <w:rsid w:val="00E06A1C"/>
    <w:rsid w:val="00E07332"/>
    <w:rsid w:val="00E0745A"/>
    <w:rsid w:val="00E07B0A"/>
    <w:rsid w:val="00E07D4B"/>
    <w:rsid w:val="00E07D6C"/>
    <w:rsid w:val="00E10747"/>
    <w:rsid w:val="00E10AC1"/>
    <w:rsid w:val="00E10EAD"/>
    <w:rsid w:val="00E1128C"/>
    <w:rsid w:val="00E112A4"/>
    <w:rsid w:val="00E11C23"/>
    <w:rsid w:val="00E11E1B"/>
    <w:rsid w:val="00E1232E"/>
    <w:rsid w:val="00E1304C"/>
    <w:rsid w:val="00E1483C"/>
    <w:rsid w:val="00E15755"/>
    <w:rsid w:val="00E15A52"/>
    <w:rsid w:val="00E162ED"/>
    <w:rsid w:val="00E16C3D"/>
    <w:rsid w:val="00E20324"/>
    <w:rsid w:val="00E203BF"/>
    <w:rsid w:val="00E20E8E"/>
    <w:rsid w:val="00E2180C"/>
    <w:rsid w:val="00E22A68"/>
    <w:rsid w:val="00E22BA8"/>
    <w:rsid w:val="00E22E4F"/>
    <w:rsid w:val="00E232C1"/>
    <w:rsid w:val="00E23314"/>
    <w:rsid w:val="00E23A37"/>
    <w:rsid w:val="00E24566"/>
    <w:rsid w:val="00E24CD0"/>
    <w:rsid w:val="00E24DE1"/>
    <w:rsid w:val="00E2531C"/>
    <w:rsid w:val="00E25782"/>
    <w:rsid w:val="00E2591A"/>
    <w:rsid w:val="00E25C16"/>
    <w:rsid w:val="00E25E32"/>
    <w:rsid w:val="00E26069"/>
    <w:rsid w:val="00E27237"/>
    <w:rsid w:val="00E272DA"/>
    <w:rsid w:val="00E273F1"/>
    <w:rsid w:val="00E27B53"/>
    <w:rsid w:val="00E30227"/>
    <w:rsid w:val="00E30BA5"/>
    <w:rsid w:val="00E313BF"/>
    <w:rsid w:val="00E313D9"/>
    <w:rsid w:val="00E31445"/>
    <w:rsid w:val="00E314D6"/>
    <w:rsid w:val="00E31654"/>
    <w:rsid w:val="00E31C25"/>
    <w:rsid w:val="00E3273F"/>
    <w:rsid w:val="00E33CB9"/>
    <w:rsid w:val="00E33DAE"/>
    <w:rsid w:val="00E33FC0"/>
    <w:rsid w:val="00E34A31"/>
    <w:rsid w:val="00E34D60"/>
    <w:rsid w:val="00E350C8"/>
    <w:rsid w:val="00E3595C"/>
    <w:rsid w:val="00E3645A"/>
    <w:rsid w:val="00E366D3"/>
    <w:rsid w:val="00E36712"/>
    <w:rsid w:val="00E36FD1"/>
    <w:rsid w:val="00E37404"/>
    <w:rsid w:val="00E3780B"/>
    <w:rsid w:val="00E37B41"/>
    <w:rsid w:val="00E40683"/>
    <w:rsid w:val="00E40A8F"/>
    <w:rsid w:val="00E40BB3"/>
    <w:rsid w:val="00E410B1"/>
    <w:rsid w:val="00E411E5"/>
    <w:rsid w:val="00E4220C"/>
    <w:rsid w:val="00E4227E"/>
    <w:rsid w:val="00E42827"/>
    <w:rsid w:val="00E43386"/>
    <w:rsid w:val="00E4394B"/>
    <w:rsid w:val="00E43DCA"/>
    <w:rsid w:val="00E44096"/>
    <w:rsid w:val="00E4413F"/>
    <w:rsid w:val="00E44730"/>
    <w:rsid w:val="00E44B89"/>
    <w:rsid w:val="00E44D96"/>
    <w:rsid w:val="00E44EF3"/>
    <w:rsid w:val="00E45267"/>
    <w:rsid w:val="00E45AED"/>
    <w:rsid w:val="00E4660F"/>
    <w:rsid w:val="00E47356"/>
    <w:rsid w:val="00E5047B"/>
    <w:rsid w:val="00E5086D"/>
    <w:rsid w:val="00E50874"/>
    <w:rsid w:val="00E513E6"/>
    <w:rsid w:val="00E51688"/>
    <w:rsid w:val="00E51990"/>
    <w:rsid w:val="00E51B8D"/>
    <w:rsid w:val="00E528BB"/>
    <w:rsid w:val="00E52B5B"/>
    <w:rsid w:val="00E52CEB"/>
    <w:rsid w:val="00E53FB3"/>
    <w:rsid w:val="00E54321"/>
    <w:rsid w:val="00E54610"/>
    <w:rsid w:val="00E54A8C"/>
    <w:rsid w:val="00E55515"/>
    <w:rsid w:val="00E5617B"/>
    <w:rsid w:val="00E56CA5"/>
    <w:rsid w:val="00E56EFD"/>
    <w:rsid w:val="00E574F8"/>
    <w:rsid w:val="00E57F9B"/>
    <w:rsid w:val="00E612BF"/>
    <w:rsid w:val="00E625A0"/>
    <w:rsid w:val="00E628BE"/>
    <w:rsid w:val="00E62EC5"/>
    <w:rsid w:val="00E631F2"/>
    <w:rsid w:val="00E6383C"/>
    <w:rsid w:val="00E63B95"/>
    <w:rsid w:val="00E64A1C"/>
    <w:rsid w:val="00E64C4C"/>
    <w:rsid w:val="00E6524D"/>
    <w:rsid w:val="00E65AF0"/>
    <w:rsid w:val="00E663B2"/>
    <w:rsid w:val="00E66B36"/>
    <w:rsid w:val="00E67DF1"/>
    <w:rsid w:val="00E701DE"/>
    <w:rsid w:val="00E7035A"/>
    <w:rsid w:val="00E70436"/>
    <w:rsid w:val="00E70D8B"/>
    <w:rsid w:val="00E71AB6"/>
    <w:rsid w:val="00E71B57"/>
    <w:rsid w:val="00E71C54"/>
    <w:rsid w:val="00E72244"/>
    <w:rsid w:val="00E73354"/>
    <w:rsid w:val="00E740FF"/>
    <w:rsid w:val="00E741BD"/>
    <w:rsid w:val="00E743AB"/>
    <w:rsid w:val="00E74BAE"/>
    <w:rsid w:val="00E74CE7"/>
    <w:rsid w:val="00E74D83"/>
    <w:rsid w:val="00E75261"/>
    <w:rsid w:val="00E756BF"/>
    <w:rsid w:val="00E76329"/>
    <w:rsid w:val="00E7691F"/>
    <w:rsid w:val="00E76DE5"/>
    <w:rsid w:val="00E778B9"/>
    <w:rsid w:val="00E8097A"/>
    <w:rsid w:val="00E80A04"/>
    <w:rsid w:val="00E812A9"/>
    <w:rsid w:val="00E81661"/>
    <w:rsid w:val="00E81FC7"/>
    <w:rsid w:val="00E826BA"/>
    <w:rsid w:val="00E82911"/>
    <w:rsid w:val="00E83E64"/>
    <w:rsid w:val="00E85EEC"/>
    <w:rsid w:val="00E8659E"/>
    <w:rsid w:val="00E866E9"/>
    <w:rsid w:val="00E87051"/>
    <w:rsid w:val="00E875B6"/>
    <w:rsid w:val="00E90008"/>
    <w:rsid w:val="00E9120A"/>
    <w:rsid w:val="00E91F48"/>
    <w:rsid w:val="00E91F5B"/>
    <w:rsid w:val="00E9261D"/>
    <w:rsid w:val="00E935A1"/>
    <w:rsid w:val="00E9395A"/>
    <w:rsid w:val="00E93CB1"/>
    <w:rsid w:val="00E94303"/>
    <w:rsid w:val="00E943AE"/>
    <w:rsid w:val="00E9553F"/>
    <w:rsid w:val="00E958D9"/>
    <w:rsid w:val="00E95A4C"/>
    <w:rsid w:val="00E9636F"/>
    <w:rsid w:val="00E963E3"/>
    <w:rsid w:val="00E97FE2"/>
    <w:rsid w:val="00EA012E"/>
    <w:rsid w:val="00EA22A3"/>
    <w:rsid w:val="00EA2C9E"/>
    <w:rsid w:val="00EA4371"/>
    <w:rsid w:val="00EA45E9"/>
    <w:rsid w:val="00EA4AAB"/>
    <w:rsid w:val="00EA4C4F"/>
    <w:rsid w:val="00EA6284"/>
    <w:rsid w:val="00EA70C6"/>
    <w:rsid w:val="00EA7FDC"/>
    <w:rsid w:val="00EB000C"/>
    <w:rsid w:val="00EB03B4"/>
    <w:rsid w:val="00EB0CDA"/>
    <w:rsid w:val="00EB2362"/>
    <w:rsid w:val="00EB2DF5"/>
    <w:rsid w:val="00EB2EFB"/>
    <w:rsid w:val="00EB4046"/>
    <w:rsid w:val="00EB4108"/>
    <w:rsid w:val="00EB45D9"/>
    <w:rsid w:val="00EB501F"/>
    <w:rsid w:val="00EB53B6"/>
    <w:rsid w:val="00EB570C"/>
    <w:rsid w:val="00EB591B"/>
    <w:rsid w:val="00EB5F1E"/>
    <w:rsid w:val="00EB64D4"/>
    <w:rsid w:val="00EB658A"/>
    <w:rsid w:val="00EB6676"/>
    <w:rsid w:val="00EB66F3"/>
    <w:rsid w:val="00EB6EFC"/>
    <w:rsid w:val="00EB76E9"/>
    <w:rsid w:val="00EB7A54"/>
    <w:rsid w:val="00EC0757"/>
    <w:rsid w:val="00EC0910"/>
    <w:rsid w:val="00EC111E"/>
    <w:rsid w:val="00EC1444"/>
    <w:rsid w:val="00EC25DD"/>
    <w:rsid w:val="00EC43DF"/>
    <w:rsid w:val="00EC4B81"/>
    <w:rsid w:val="00EC4B87"/>
    <w:rsid w:val="00EC553A"/>
    <w:rsid w:val="00EC5F3E"/>
    <w:rsid w:val="00EC624E"/>
    <w:rsid w:val="00EC6532"/>
    <w:rsid w:val="00EC6B14"/>
    <w:rsid w:val="00EC6B1D"/>
    <w:rsid w:val="00EC7E3B"/>
    <w:rsid w:val="00ED0C78"/>
    <w:rsid w:val="00ED0CCF"/>
    <w:rsid w:val="00ED0F82"/>
    <w:rsid w:val="00ED1AC7"/>
    <w:rsid w:val="00ED1C4A"/>
    <w:rsid w:val="00ED2110"/>
    <w:rsid w:val="00ED2808"/>
    <w:rsid w:val="00ED2B2A"/>
    <w:rsid w:val="00ED3EF4"/>
    <w:rsid w:val="00ED428A"/>
    <w:rsid w:val="00ED480E"/>
    <w:rsid w:val="00ED4C54"/>
    <w:rsid w:val="00ED5453"/>
    <w:rsid w:val="00ED5A4E"/>
    <w:rsid w:val="00ED6297"/>
    <w:rsid w:val="00ED661B"/>
    <w:rsid w:val="00ED6B48"/>
    <w:rsid w:val="00ED7233"/>
    <w:rsid w:val="00ED72B7"/>
    <w:rsid w:val="00ED7C87"/>
    <w:rsid w:val="00EE0A25"/>
    <w:rsid w:val="00EE0D37"/>
    <w:rsid w:val="00EE0E22"/>
    <w:rsid w:val="00EE1802"/>
    <w:rsid w:val="00EE22C5"/>
    <w:rsid w:val="00EE292F"/>
    <w:rsid w:val="00EE2C85"/>
    <w:rsid w:val="00EE2DCC"/>
    <w:rsid w:val="00EE322E"/>
    <w:rsid w:val="00EE3BD9"/>
    <w:rsid w:val="00EE3DDC"/>
    <w:rsid w:val="00EE4AB4"/>
    <w:rsid w:val="00EE4D71"/>
    <w:rsid w:val="00EE5E6E"/>
    <w:rsid w:val="00EE6216"/>
    <w:rsid w:val="00EE6301"/>
    <w:rsid w:val="00EE6CF4"/>
    <w:rsid w:val="00EE7102"/>
    <w:rsid w:val="00EF02CF"/>
    <w:rsid w:val="00EF03F0"/>
    <w:rsid w:val="00EF04BC"/>
    <w:rsid w:val="00EF0CC8"/>
    <w:rsid w:val="00EF10B3"/>
    <w:rsid w:val="00EF1AA7"/>
    <w:rsid w:val="00EF1B22"/>
    <w:rsid w:val="00EF23A8"/>
    <w:rsid w:val="00EF2522"/>
    <w:rsid w:val="00EF2B91"/>
    <w:rsid w:val="00EF3B1E"/>
    <w:rsid w:val="00EF3FD0"/>
    <w:rsid w:val="00EF48FD"/>
    <w:rsid w:val="00EF4D82"/>
    <w:rsid w:val="00EF55D5"/>
    <w:rsid w:val="00EF5BF0"/>
    <w:rsid w:val="00EF5C8F"/>
    <w:rsid w:val="00EF6A92"/>
    <w:rsid w:val="00EF737F"/>
    <w:rsid w:val="00EF7565"/>
    <w:rsid w:val="00EF7B04"/>
    <w:rsid w:val="00EF7B1B"/>
    <w:rsid w:val="00EF7C24"/>
    <w:rsid w:val="00F00255"/>
    <w:rsid w:val="00F0037A"/>
    <w:rsid w:val="00F004AA"/>
    <w:rsid w:val="00F00913"/>
    <w:rsid w:val="00F01D71"/>
    <w:rsid w:val="00F01F2B"/>
    <w:rsid w:val="00F020F8"/>
    <w:rsid w:val="00F03986"/>
    <w:rsid w:val="00F04159"/>
    <w:rsid w:val="00F044EF"/>
    <w:rsid w:val="00F044F4"/>
    <w:rsid w:val="00F04679"/>
    <w:rsid w:val="00F04C39"/>
    <w:rsid w:val="00F062AA"/>
    <w:rsid w:val="00F06437"/>
    <w:rsid w:val="00F07736"/>
    <w:rsid w:val="00F07D99"/>
    <w:rsid w:val="00F07EAE"/>
    <w:rsid w:val="00F100B9"/>
    <w:rsid w:val="00F10412"/>
    <w:rsid w:val="00F10C9B"/>
    <w:rsid w:val="00F1166C"/>
    <w:rsid w:val="00F12AC7"/>
    <w:rsid w:val="00F12D63"/>
    <w:rsid w:val="00F12FFD"/>
    <w:rsid w:val="00F13819"/>
    <w:rsid w:val="00F13A40"/>
    <w:rsid w:val="00F13BC2"/>
    <w:rsid w:val="00F1434A"/>
    <w:rsid w:val="00F14BB7"/>
    <w:rsid w:val="00F154B3"/>
    <w:rsid w:val="00F168D1"/>
    <w:rsid w:val="00F16AD9"/>
    <w:rsid w:val="00F16C39"/>
    <w:rsid w:val="00F16C75"/>
    <w:rsid w:val="00F16DEF"/>
    <w:rsid w:val="00F17A2D"/>
    <w:rsid w:val="00F2038C"/>
    <w:rsid w:val="00F203CC"/>
    <w:rsid w:val="00F20713"/>
    <w:rsid w:val="00F21177"/>
    <w:rsid w:val="00F218B8"/>
    <w:rsid w:val="00F220D3"/>
    <w:rsid w:val="00F22863"/>
    <w:rsid w:val="00F22CA0"/>
    <w:rsid w:val="00F22E6A"/>
    <w:rsid w:val="00F238C7"/>
    <w:rsid w:val="00F2407E"/>
    <w:rsid w:val="00F2462E"/>
    <w:rsid w:val="00F24965"/>
    <w:rsid w:val="00F25737"/>
    <w:rsid w:val="00F257EB"/>
    <w:rsid w:val="00F25A8A"/>
    <w:rsid w:val="00F26C22"/>
    <w:rsid w:val="00F26FB5"/>
    <w:rsid w:val="00F274E7"/>
    <w:rsid w:val="00F27B32"/>
    <w:rsid w:val="00F30A65"/>
    <w:rsid w:val="00F30EB4"/>
    <w:rsid w:val="00F3200E"/>
    <w:rsid w:val="00F32651"/>
    <w:rsid w:val="00F32674"/>
    <w:rsid w:val="00F33F2E"/>
    <w:rsid w:val="00F33FF0"/>
    <w:rsid w:val="00F343DD"/>
    <w:rsid w:val="00F34621"/>
    <w:rsid w:val="00F34A58"/>
    <w:rsid w:val="00F35191"/>
    <w:rsid w:val="00F3532B"/>
    <w:rsid w:val="00F355C9"/>
    <w:rsid w:val="00F358B0"/>
    <w:rsid w:val="00F35D4A"/>
    <w:rsid w:val="00F3613C"/>
    <w:rsid w:val="00F37207"/>
    <w:rsid w:val="00F3720C"/>
    <w:rsid w:val="00F4062A"/>
    <w:rsid w:val="00F40891"/>
    <w:rsid w:val="00F423B7"/>
    <w:rsid w:val="00F4370C"/>
    <w:rsid w:val="00F43C46"/>
    <w:rsid w:val="00F43D1C"/>
    <w:rsid w:val="00F43EC9"/>
    <w:rsid w:val="00F442A2"/>
    <w:rsid w:val="00F44D8D"/>
    <w:rsid w:val="00F44FB9"/>
    <w:rsid w:val="00F4637B"/>
    <w:rsid w:val="00F468E8"/>
    <w:rsid w:val="00F472EE"/>
    <w:rsid w:val="00F47393"/>
    <w:rsid w:val="00F475F6"/>
    <w:rsid w:val="00F47E76"/>
    <w:rsid w:val="00F5260B"/>
    <w:rsid w:val="00F5288B"/>
    <w:rsid w:val="00F52C72"/>
    <w:rsid w:val="00F52E04"/>
    <w:rsid w:val="00F53105"/>
    <w:rsid w:val="00F53282"/>
    <w:rsid w:val="00F532B8"/>
    <w:rsid w:val="00F5388F"/>
    <w:rsid w:val="00F53F9F"/>
    <w:rsid w:val="00F54345"/>
    <w:rsid w:val="00F547E0"/>
    <w:rsid w:val="00F54B9E"/>
    <w:rsid w:val="00F550DC"/>
    <w:rsid w:val="00F5550B"/>
    <w:rsid w:val="00F55D41"/>
    <w:rsid w:val="00F56C37"/>
    <w:rsid w:val="00F56D26"/>
    <w:rsid w:val="00F573A8"/>
    <w:rsid w:val="00F57BED"/>
    <w:rsid w:val="00F60CCE"/>
    <w:rsid w:val="00F6119B"/>
    <w:rsid w:val="00F61589"/>
    <w:rsid w:val="00F63654"/>
    <w:rsid w:val="00F6440B"/>
    <w:rsid w:val="00F64472"/>
    <w:rsid w:val="00F65C78"/>
    <w:rsid w:val="00F66351"/>
    <w:rsid w:val="00F66E55"/>
    <w:rsid w:val="00F675CF"/>
    <w:rsid w:val="00F67BA0"/>
    <w:rsid w:val="00F7053B"/>
    <w:rsid w:val="00F705FF"/>
    <w:rsid w:val="00F7084D"/>
    <w:rsid w:val="00F71F41"/>
    <w:rsid w:val="00F720C3"/>
    <w:rsid w:val="00F720DC"/>
    <w:rsid w:val="00F72480"/>
    <w:rsid w:val="00F727C1"/>
    <w:rsid w:val="00F736BF"/>
    <w:rsid w:val="00F74A6A"/>
    <w:rsid w:val="00F74F42"/>
    <w:rsid w:val="00F7500E"/>
    <w:rsid w:val="00F754A2"/>
    <w:rsid w:val="00F75EBE"/>
    <w:rsid w:val="00F766FC"/>
    <w:rsid w:val="00F80D2A"/>
    <w:rsid w:val="00F81053"/>
    <w:rsid w:val="00F814D1"/>
    <w:rsid w:val="00F81533"/>
    <w:rsid w:val="00F81DE7"/>
    <w:rsid w:val="00F83215"/>
    <w:rsid w:val="00F834C6"/>
    <w:rsid w:val="00F83F4A"/>
    <w:rsid w:val="00F84CA6"/>
    <w:rsid w:val="00F84E0C"/>
    <w:rsid w:val="00F85206"/>
    <w:rsid w:val="00F85B37"/>
    <w:rsid w:val="00F86254"/>
    <w:rsid w:val="00F86EAF"/>
    <w:rsid w:val="00F87408"/>
    <w:rsid w:val="00F8744D"/>
    <w:rsid w:val="00F87DDD"/>
    <w:rsid w:val="00F87E91"/>
    <w:rsid w:val="00F91695"/>
    <w:rsid w:val="00F91B60"/>
    <w:rsid w:val="00F9246E"/>
    <w:rsid w:val="00F93A52"/>
    <w:rsid w:val="00F93E3D"/>
    <w:rsid w:val="00F94375"/>
    <w:rsid w:val="00F94E1B"/>
    <w:rsid w:val="00F959FF"/>
    <w:rsid w:val="00F9692D"/>
    <w:rsid w:val="00F974D0"/>
    <w:rsid w:val="00F97A3B"/>
    <w:rsid w:val="00FA1B70"/>
    <w:rsid w:val="00FA3610"/>
    <w:rsid w:val="00FA3631"/>
    <w:rsid w:val="00FA3728"/>
    <w:rsid w:val="00FA37E1"/>
    <w:rsid w:val="00FA413D"/>
    <w:rsid w:val="00FA46EE"/>
    <w:rsid w:val="00FA4DDC"/>
    <w:rsid w:val="00FA6111"/>
    <w:rsid w:val="00FA6BAA"/>
    <w:rsid w:val="00FA7A9A"/>
    <w:rsid w:val="00FB0567"/>
    <w:rsid w:val="00FB0850"/>
    <w:rsid w:val="00FB1923"/>
    <w:rsid w:val="00FB3444"/>
    <w:rsid w:val="00FB42A9"/>
    <w:rsid w:val="00FB4B14"/>
    <w:rsid w:val="00FB5DE0"/>
    <w:rsid w:val="00FC057A"/>
    <w:rsid w:val="00FC05B5"/>
    <w:rsid w:val="00FC24E6"/>
    <w:rsid w:val="00FC336C"/>
    <w:rsid w:val="00FC38F4"/>
    <w:rsid w:val="00FC3BD2"/>
    <w:rsid w:val="00FC3E32"/>
    <w:rsid w:val="00FC42CF"/>
    <w:rsid w:val="00FC4BF6"/>
    <w:rsid w:val="00FC51F4"/>
    <w:rsid w:val="00FC5AAF"/>
    <w:rsid w:val="00FC5D7A"/>
    <w:rsid w:val="00FC611E"/>
    <w:rsid w:val="00FC68DF"/>
    <w:rsid w:val="00FC6A98"/>
    <w:rsid w:val="00FC73E8"/>
    <w:rsid w:val="00FC75FF"/>
    <w:rsid w:val="00FC7A25"/>
    <w:rsid w:val="00FD08E6"/>
    <w:rsid w:val="00FD0AFF"/>
    <w:rsid w:val="00FD106B"/>
    <w:rsid w:val="00FD15AE"/>
    <w:rsid w:val="00FD185A"/>
    <w:rsid w:val="00FD18FE"/>
    <w:rsid w:val="00FD1954"/>
    <w:rsid w:val="00FD20EA"/>
    <w:rsid w:val="00FD32C3"/>
    <w:rsid w:val="00FD3E19"/>
    <w:rsid w:val="00FD47D6"/>
    <w:rsid w:val="00FD48DD"/>
    <w:rsid w:val="00FD5194"/>
    <w:rsid w:val="00FD5889"/>
    <w:rsid w:val="00FD674E"/>
    <w:rsid w:val="00FD738C"/>
    <w:rsid w:val="00FE0DDC"/>
    <w:rsid w:val="00FE0FF0"/>
    <w:rsid w:val="00FE10C5"/>
    <w:rsid w:val="00FE1938"/>
    <w:rsid w:val="00FE1DFC"/>
    <w:rsid w:val="00FE2A2D"/>
    <w:rsid w:val="00FE2D3A"/>
    <w:rsid w:val="00FE2FD0"/>
    <w:rsid w:val="00FE337F"/>
    <w:rsid w:val="00FE375C"/>
    <w:rsid w:val="00FE3836"/>
    <w:rsid w:val="00FE42EF"/>
    <w:rsid w:val="00FE45EF"/>
    <w:rsid w:val="00FE6588"/>
    <w:rsid w:val="00FE686F"/>
    <w:rsid w:val="00FE6875"/>
    <w:rsid w:val="00FF016F"/>
    <w:rsid w:val="00FF09A4"/>
    <w:rsid w:val="00FF0F49"/>
    <w:rsid w:val="00FF1309"/>
    <w:rsid w:val="00FF140A"/>
    <w:rsid w:val="00FF1E82"/>
    <w:rsid w:val="00FF24E3"/>
    <w:rsid w:val="00FF25C3"/>
    <w:rsid w:val="00FF27DD"/>
    <w:rsid w:val="00FF28D8"/>
    <w:rsid w:val="00FF36E1"/>
    <w:rsid w:val="00FF423E"/>
    <w:rsid w:val="00FF4247"/>
    <w:rsid w:val="00FF4841"/>
    <w:rsid w:val="00FF524A"/>
    <w:rsid w:val="00FF5A89"/>
    <w:rsid w:val="00FF5B31"/>
    <w:rsid w:val="00FF62AC"/>
    <w:rsid w:val="00FF6A27"/>
    <w:rsid w:val="00FF6C2E"/>
    <w:rsid w:val="00FF7C2B"/>
    <w:rsid w:val="00FF7F09"/>
    <w:rsid w:val="0100249C"/>
    <w:rsid w:val="0128774A"/>
    <w:rsid w:val="012C715D"/>
    <w:rsid w:val="014C06BA"/>
    <w:rsid w:val="0166552E"/>
    <w:rsid w:val="01717737"/>
    <w:rsid w:val="01C473EA"/>
    <w:rsid w:val="01D70F12"/>
    <w:rsid w:val="02194954"/>
    <w:rsid w:val="02FB0F39"/>
    <w:rsid w:val="04704EF9"/>
    <w:rsid w:val="04973976"/>
    <w:rsid w:val="04B74A5A"/>
    <w:rsid w:val="04EA4727"/>
    <w:rsid w:val="05C37B73"/>
    <w:rsid w:val="060709F8"/>
    <w:rsid w:val="06D33F77"/>
    <w:rsid w:val="06DB7544"/>
    <w:rsid w:val="07F17D12"/>
    <w:rsid w:val="07F75BF3"/>
    <w:rsid w:val="081F55BD"/>
    <w:rsid w:val="08626EF2"/>
    <w:rsid w:val="09133A70"/>
    <w:rsid w:val="0946153C"/>
    <w:rsid w:val="0A05659C"/>
    <w:rsid w:val="0A155561"/>
    <w:rsid w:val="0A1B4021"/>
    <w:rsid w:val="0A5C2A4A"/>
    <w:rsid w:val="0B3D4182"/>
    <w:rsid w:val="0B866567"/>
    <w:rsid w:val="0B93741F"/>
    <w:rsid w:val="0B9F4AE3"/>
    <w:rsid w:val="0BA141F4"/>
    <w:rsid w:val="0C0A4CA3"/>
    <w:rsid w:val="0C6B330D"/>
    <w:rsid w:val="0C7739DE"/>
    <w:rsid w:val="0CA63DF6"/>
    <w:rsid w:val="0D596AF1"/>
    <w:rsid w:val="0DFD26A2"/>
    <w:rsid w:val="0EA5716D"/>
    <w:rsid w:val="0ECD6374"/>
    <w:rsid w:val="0F1C57A5"/>
    <w:rsid w:val="0F9641F4"/>
    <w:rsid w:val="0FC45D95"/>
    <w:rsid w:val="105E1310"/>
    <w:rsid w:val="11052CEE"/>
    <w:rsid w:val="1121391C"/>
    <w:rsid w:val="12185037"/>
    <w:rsid w:val="124E20B2"/>
    <w:rsid w:val="12906099"/>
    <w:rsid w:val="12EB1C6A"/>
    <w:rsid w:val="13700715"/>
    <w:rsid w:val="13B57EAC"/>
    <w:rsid w:val="13F65B9B"/>
    <w:rsid w:val="1525057B"/>
    <w:rsid w:val="15F2118D"/>
    <w:rsid w:val="1622589D"/>
    <w:rsid w:val="16710F9F"/>
    <w:rsid w:val="172022F1"/>
    <w:rsid w:val="175027F8"/>
    <w:rsid w:val="177B04E9"/>
    <w:rsid w:val="17832204"/>
    <w:rsid w:val="17A72F0B"/>
    <w:rsid w:val="17C200E5"/>
    <w:rsid w:val="17CC608C"/>
    <w:rsid w:val="18080316"/>
    <w:rsid w:val="180A7A04"/>
    <w:rsid w:val="195D3230"/>
    <w:rsid w:val="19B5096B"/>
    <w:rsid w:val="19B90C5C"/>
    <w:rsid w:val="19CC1CBB"/>
    <w:rsid w:val="19D328F8"/>
    <w:rsid w:val="1AB97630"/>
    <w:rsid w:val="1B292742"/>
    <w:rsid w:val="1B5069A9"/>
    <w:rsid w:val="1B89285E"/>
    <w:rsid w:val="1C30582F"/>
    <w:rsid w:val="1C8A27E6"/>
    <w:rsid w:val="1C93545A"/>
    <w:rsid w:val="1DA01FDE"/>
    <w:rsid w:val="1E90563F"/>
    <w:rsid w:val="1ECB18A5"/>
    <w:rsid w:val="1F4229AD"/>
    <w:rsid w:val="1F770B30"/>
    <w:rsid w:val="1FF903D0"/>
    <w:rsid w:val="2083610F"/>
    <w:rsid w:val="20944394"/>
    <w:rsid w:val="20E26DAD"/>
    <w:rsid w:val="21A76086"/>
    <w:rsid w:val="21BC742A"/>
    <w:rsid w:val="21CF7369"/>
    <w:rsid w:val="21FF755E"/>
    <w:rsid w:val="231D1100"/>
    <w:rsid w:val="23CF052C"/>
    <w:rsid w:val="23EA468B"/>
    <w:rsid w:val="24387A47"/>
    <w:rsid w:val="243F0896"/>
    <w:rsid w:val="24B25302"/>
    <w:rsid w:val="25200378"/>
    <w:rsid w:val="25604079"/>
    <w:rsid w:val="258F49A6"/>
    <w:rsid w:val="25D44270"/>
    <w:rsid w:val="26316326"/>
    <w:rsid w:val="26675034"/>
    <w:rsid w:val="26716D9E"/>
    <w:rsid w:val="268851A5"/>
    <w:rsid w:val="27C97949"/>
    <w:rsid w:val="2825726B"/>
    <w:rsid w:val="287559A7"/>
    <w:rsid w:val="28E1312E"/>
    <w:rsid w:val="294839B1"/>
    <w:rsid w:val="29881C14"/>
    <w:rsid w:val="29D975A8"/>
    <w:rsid w:val="2A197591"/>
    <w:rsid w:val="2AB705E3"/>
    <w:rsid w:val="2C1C4452"/>
    <w:rsid w:val="2D6E3695"/>
    <w:rsid w:val="2E0A33C3"/>
    <w:rsid w:val="2E566E8A"/>
    <w:rsid w:val="2EB61F5F"/>
    <w:rsid w:val="2F190B7D"/>
    <w:rsid w:val="2F873023"/>
    <w:rsid w:val="2F890C92"/>
    <w:rsid w:val="3089730A"/>
    <w:rsid w:val="308F15EA"/>
    <w:rsid w:val="30AC06EB"/>
    <w:rsid w:val="3102779B"/>
    <w:rsid w:val="31AA7F96"/>
    <w:rsid w:val="31AD5BDA"/>
    <w:rsid w:val="31BD1C80"/>
    <w:rsid w:val="31F839CE"/>
    <w:rsid w:val="32AC498F"/>
    <w:rsid w:val="32F856D6"/>
    <w:rsid w:val="33262751"/>
    <w:rsid w:val="33991605"/>
    <w:rsid w:val="344E3EEB"/>
    <w:rsid w:val="35803DA0"/>
    <w:rsid w:val="363E0AD1"/>
    <w:rsid w:val="36935B86"/>
    <w:rsid w:val="36AD20BB"/>
    <w:rsid w:val="370868A2"/>
    <w:rsid w:val="370B6E0B"/>
    <w:rsid w:val="37446801"/>
    <w:rsid w:val="379D47E0"/>
    <w:rsid w:val="37C2329D"/>
    <w:rsid w:val="38F26DF0"/>
    <w:rsid w:val="39A56A98"/>
    <w:rsid w:val="3A2B3BA2"/>
    <w:rsid w:val="3A876CBD"/>
    <w:rsid w:val="3AF75A75"/>
    <w:rsid w:val="3B605326"/>
    <w:rsid w:val="3BE9248C"/>
    <w:rsid w:val="3C010145"/>
    <w:rsid w:val="3C2E518A"/>
    <w:rsid w:val="3C527AD9"/>
    <w:rsid w:val="3C7948D5"/>
    <w:rsid w:val="3CDB5A2C"/>
    <w:rsid w:val="3CFF71F6"/>
    <w:rsid w:val="3D751CD2"/>
    <w:rsid w:val="3F0F664B"/>
    <w:rsid w:val="3F23723E"/>
    <w:rsid w:val="3F501B18"/>
    <w:rsid w:val="40670D25"/>
    <w:rsid w:val="4068223A"/>
    <w:rsid w:val="40CE6D1E"/>
    <w:rsid w:val="41CE157D"/>
    <w:rsid w:val="42594233"/>
    <w:rsid w:val="431F755A"/>
    <w:rsid w:val="432C2B4E"/>
    <w:rsid w:val="434F44A9"/>
    <w:rsid w:val="436854A0"/>
    <w:rsid w:val="439741A3"/>
    <w:rsid w:val="44547030"/>
    <w:rsid w:val="44A84573"/>
    <w:rsid w:val="44E22E7A"/>
    <w:rsid w:val="46940FD3"/>
    <w:rsid w:val="46FA4249"/>
    <w:rsid w:val="47712A45"/>
    <w:rsid w:val="47FF7D44"/>
    <w:rsid w:val="480209D2"/>
    <w:rsid w:val="484A756F"/>
    <w:rsid w:val="486E1809"/>
    <w:rsid w:val="490A7008"/>
    <w:rsid w:val="49104AE1"/>
    <w:rsid w:val="493A451D"/>
    <w:rsid w:val="4941552C"/>
    <w:rsid w:val="495306FF"/>
    <w:rsid w:val="4A0651C3"/>
    <w:rsid w:val="4A70761B"/>
    <w:rsid w:val="4B34535C"/>
    <w:rsid w:val="4B3F4D9D"/>
    <w:rsid w:val="4B4328CF"/>
    <w:rsid w:val="4B590FE5"/>
    <w:rsid w:val="4BD04A24"/>
    <w:rsid w:val="4D231112"/>
    <w:rsid w:val="4DAD7415"/>
    <w:rsid w:val="4DBF4E66"/>
    <w:rsid w:val="4E06139A"/>
    <w:rsid w:val="4E693894"/>
    <w:rsid w:val="4EDE0BB0"/>
    <w:rsid w:val="4EE1540E"/>
    <w:rsid w:val="4EFB34CF"/>
    <w:rsid w:val="513C4FBF"/>
    <w:rsid w:val="51CA2BAA"/>
    <w:rsid w:val="532A4B0C"/>
    <w:rsid w:val="536C2FA8"/>
    <w:rsid w:val="54630BEC"/>
    <w:rsid w:val="546D58C7"/>
    <w:rsid w:val="551819EC"/>
    <w:rsid w:val="56341290"/>
    <w:rsid w:val="56350004"/>
    <w:rsid w:val="56AB6380"/>
    <w:rsid w:val="56B644F3"/>
    <w:rsid w:val="5705179C"/>
    <w:rsid w:val="57111659"/>
    <w:rsid w:val="57240136"/>
    <w:rsid w:val="57617ACA"/>
    <w:rsid w:val="579A3DEC"/>
    <w:rsid w:val="57EA445E"/>
    <w:rsid w:val="588B5808"/>
    <w:rsid w:val="58AE034F"/>
    <w:rsid w:val="58DF5A6C"/>
    <w:rsid w:val="59084D27"/>
    <w:rsid w:val="5956368C"/>
    <w:rsid w:val="597C60AC"/>
    <w:rsid w:val="5A68276D"/>
    <w:rsid w:val="5A764A00"/>
    <w:rsid w:val="5A8F22E2"/>
    <w:rsid w:val="5AC57997"/>
    <w:rsid w:val="5D32471E"/>
    <w:rsid w:val="5EDE4020"/>
    <w:rsid w:val="604B686B"/>
    <w:rsid w:val="6050444B"/>
    <w:rsid w:val="60CA6010"/>
    <w:rsid w:val="60F6531D"/>
    <w:rsid w:val="6148436A"/>
    <w:rsid w:val="61AE3429"/>
    <w:rsid w:val="62922EC7"/>
    <w:rsid w:val="630338C8"/>
    <w:rsid w:val="630C0033"/>
    <w:rsid w:val="63781569"/>
    <w:rsid w:val="63A37BB3"/>
    <w:rsid w:val="64B37D04"/>
    <w:rsid w:val="64FA4F93"/>
    <w:rsid w:val="651B0C9A"/>
    <w:rsid w:val="653612D1"/>
    <w:rsid w:val="67A668BA"/>
    <w:rsid w:val="68D33F34"/>
    <w:rsid w:val="69172167"/>
    <w:rsid w:val="69286910"/>
    <w:rsid w:val="6A00460E"/>
    <w:rsid w:val="6ACB39DD"/>
    <w:rsid w:val="6B1356EC"/>
    <w:rsid w:val="6B393442"/>
    <w:rsid w:val="6BE067E0"/>
    <w:rsid w:val="6CB836D7"/>
    <w:rsid w:val="6DC700E6"/>
    <w:rsid w:val="6E680AA0"/>
    <w:rsid w:val="6E984471"/>
    <w:rsid w:val="6ECB2457"/>
    <w:rsid w:val="6EDB6ABA"/>
    <w:rsid w:val="6EEC3EA8"/>
    <w:rsid w:val="6F4715AA"/>
    <w:rsid w:val="6FED3A6A"/>
    <w:rsid w:val="70341036"/>
    <w:rsid w:val="705C7D11"/>
    <w:rsid w:val="70611AAA"/>
    <w:rsid w:val="70EC1921"/>
    <w:rsid w:val="71F038F2"/>
    <w:rsid w:val="73BE70BA"/>
    <w:rsid w:val="73DC51CB"/>
    <w:rsid w:val="746C5B73"/>
    <w:rsid w:val="75073A63"/>
    <w:rsid w:val="76854383"/>
    <w:rsid w:val="77961AEA"/>
    <w:rsid w:val="77A76187"/>
    <w:rsid w:val="77D03CD5"/>
    <w:rsid w:val="7856502E"/>
    <w:rsid w:val="79A017F5"/>
    <w:rsid w:val="7A263DC7"/>
    <w:rsid w:val="7A2B5E57"/>
    <w:rsid w:val="7B381E94"/>
    <w:rsid w:val="7B524468"/>
    <w:rsid w:val="7C7C3FC9"/>
    <w:rsid w:val="7C8C22E1"/>
    <w:rsid w:val="7CCA2B5E"/>
    <w:rsid w:val="7E62472C"/>
    <w:rsid w:val="7F381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28"/>
      <w:lang w:val="en-US" w:eastAsia="zh-CN" w:bidi="ar-SA"/>
    </w:rPr>
  </w:style>
  <w:style w:type="paragraph" w:styleId="3">
    <w:name w:val="heading 1"/>
    <w:basedOn w:val="1"/>
    <w:next w:val="1"/>
    <w:qFormat/>
    <w:uiPriority w:val="0"/>
    <w:pPr>
      <w:keepNext/>
      <w:spacing w:line="400" w:lineRule="exact"/>
      <w:jc w:val="center"/>
      <w:outlineLvl w:val="0"/>
    </w:pPr>
    <w:rPr>
      <w:rFonts w:ascii="仿宋_GB2312" w:hAnsi="宋体"/>
      <w:b/>
      <w:bCs/>
      <w:sz w:val="24"/>
    </w:rPr>
  </w:style>
  <w:style w:type="paragraph" w:styleId="4">
    <w:name w:val="heading 2"/>
    <w:basedOn w:val="1"/>
    <w:next w:val="1"/>
    <w:qFormat/>
    <w:uiPriority w:val="0"/>
    <w:pPr>
      <w:keepNext/>
      <w:spacing w:line="400" w:lineRule="exact"/>
      <w:outlineLvl w:val="1"/>
    </w:pPr>
    <w:rPr>
      <w:b/>
      <w:bCs/>
      <w:sz w:val="24"/>
    </w:rPr>
  </w:style>
  <w:style w:type="paragraph" w:styleId="5">
    <w:name w:val="heading 3"/>
    <w:basedOn w:val="1"/>
    <w:next w:val="6"/>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keepLines/>
      <w:spacing w:before="280" w:after="290" w:line="372" w:lineRule="auto"/>
      <w:outlineLvl w:val="3"/>
    </w:pPr>
    <w:rPr>
      <w:rFonts w:ascii="Arial" w:hAnsi="Arial" w:eastAsia="黑体"/>
      <w:b/>
      <w:bCs/>
      <w:szCs w:val="28"/>
    </w:rPr>
  </w:style>
  <w:style w:type="character" w:default="1" w:styleId="35">
    <w:name w:val="Default Paragraph Font"/>
    <w:semiHidden/>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表格内"/>
    <w:basedOn w:val="1"/>
    <w:link w:val="80"/>
    <w:qFormat/>
    <w:uiPriority w:val="0"/>
    <w:pPr>
      <w:adjustRightInd w:val="0"/>
      <w:snapToGrid w:val="0"/>
      <w:spacing w:line="360" w:lineRule="exact"/>
      <w:jc w:val="center"/>
    </w:pPr>
    <w:rPr>
      <w:rFonts w:eastAsia="Times New Roman"/>
      <w:snapToGrid w:val="0"/>
      <w:kern w:val="0"/>
      <w:sz w:val="21"/>
      <w:szCs w:val="21"/>
      <w:lang w:val="zh-CN"/>
    </w:rPr>
  </w:style>
  <w:style w:type="paragraph" w:styleId="6">
    <w:name w:val="Normal Indent"/>
    <w:basedOn w:val="1"/>
    <w:link w:val="56"/>
    <w:qFormat/>
    <w:uiPriority w:val="0"/>
    <w:pPr>
      <w:ind w:firstLine="420"/>
    </w:pPr>
    <w:rPr>
      <w:rFonts w:eastAsia="黑体"/>
      <w:sz w:val="32"/>
      <w:lang w:val="zh-CN"/>
    </w:rPr>
  </w:style>
  <w:style w:type="paragraph" w:styleId="8">
    <w:name w:val="toc 7"/>
    <w:basedOn w:val="1"/>
    <w:next w:val="1"/>
    <w:qFormat/>
    <w:uiPriority w:val="0"/>
    <w:pPr>
      <w:ind w:left="2520" w:leftChars="1200"/>
    </w:pPr>
  </w:style>
  <w:style w:type="paragraph" w:styleId="9">
    <w:name w:val="caption"/>
    <w:basedOn w:val="1"/>
    <w:next w:val="1"/>
    <w:link w:val="103"/>
    <w:qFormat/>
    <w:uiPriority w:val="0"/>
    <w:pPr>
      <w:spacing w:line="520" w:lineRule="exact"/>
      <w:ind w:firstLine="200" w:firstLineChars="200"/>
    </w:pPr>
    <w:rPr>
      <w:rFonts w:eastAsia="宋体"/>
      <w:b/>
      <w:sz w:val="24"/>
      <w:szCs w:val="24"/>
      <w:lang w:val="zh-CN"/>
    </w:rPr>
  </w:style>
  <w:style w:type="paragraph" w:styleId="10">
    <w:name w:val="Document Map"/>
    <w:basedOn w:val="1"/>
    <w:qFormat/>
    <w:uiPriority w:val="0"/>
    <w:pPr>
      <w:shd w:val="clear" w:color="auto" w:fill="000080"/>
    </w:pPr>
  </w:style>
  <w:style w:type="paragraph" w:styleId="11">
    <w:name w:val="annotation text"/>
    <w:basedOn w:val="1"/>
    <w:link w:val="79"/>
    <w:qFormat/>
    <w:uiPriority w:val="0"/>
    <w:pPr>
      <w:spacing w:line="360" w:lineRule="auto"/>
      <w:jc w:val="left"/>
    </w:pPr>
    <w:rPr>
      <w:rFonts w:eastAsia="宋体"/>
      <w:sz w:val="24"/>
      <w:szCs w:val="24"/>
    </w:rPr>
  </w:style>
  <w:style w:type="paragraph" w:styleId="12">
    <w:name w:val="Body Text"/>
    <w:basedOn w:val="1"/>
    <w:link w:val="54"/>
    <w:qFormat/>
    <w:uiPriority w:val="0"/>
    <w:pPr>
      <w:adjustRightInd w:val="0"/>
      <w:snapToGrid w:val="0"/>
      <w:spacing w:line="336" w:lineRule="auto"/>
    </w:pPr>
    <w:rPr>
      <w:rFonts w:ascii="宋体" w:eastAsia="宋体"/>
      <w:b/>
      <w:bCs/>
      <w:lang w:val="zh-CN"/>
    </w:rPr>
  </w:style>
  <w:style w:type="paragraph" w:styleId="13">
    <w:name w:val="Body Text Indent"/>
    <w:basedOn w:val="1"/>
    <w:qFormat/>
    <w:uiPriority w:val="0"/>
    <w:pPr>
      <w:spacing w:line="360" w:lineRule="auto"/>
      <w:ind w:firstLine="570"/>
    </w:pPr>
  </w:style>
  <w:style w:type="paragraph" w:styleId="14">
    <w:name w:val="Block Text"/>
    <w:basedOn w:val="1"/>
    <w:qFormat/>
    <w:uiPriority w:val="0"/>
    <w:pPr>
      <w:spacing w:line="540" w:lineRule="exact"/>
      <w:ind w:left="-3" w:right="-14" w:firstLine="524" w:firstLineChars="187"/>
    </w:pPr>
    <w:rPr>
      <w:rFonts w:eastAsia="方正仿宋简体"/>
    </w:rPr>
  </w:style>
  <w:style w:type="paragraph" w:styleId="15">
    <w:name w:val="Plain Text"/>
    <w:basedOn w:val="1"/>
    <w:link w:val="87"/>
    <w:qFormat/>
    <w:uiPriority w:val="0"/>
    <w:rPr>
      <w:rFonts w:ascii="宋体" w:hAnsi="Courier New"/>
    </w:rPr>
  </w:style>
  <w:style w:type="paragraph" w:styleId="16">
    <w:name w:val="Date"/>
    <w:basedOn w:val="1"/>
    <w:next w:val="1"/>
    <w:link w:val="90"/>
    <w:qFormat/>
    <w:uiPriority w:val="0"/>
    <w:rPr>
      <w:rFonts w:eastAsia="宋体"/>
      <w:lang w:val="zh-CN"/>
    </w:rPr>
  </w:style>
  <w:style w:type="paragraph" w:styleId="17">
    <w:name w:val="Body Text Indent 2"/>
    <w:basedOn w:val="1"/>
    <w:qFormat/>
    <w:uiPriority w:val="0"/>
    <w:pPr>
      <w:spacing w:line="360" w:lineRule="auto"/>
      <w:ind w:firstLine="956" w:firstLineChars="332"/>
    </w:pPr>
  </w:style>
  <w:style w:type="paragraph" w:styleId="18">
    <w:name w:val="Balloon Text"/>
    <w:basedOn w:val="1"/>
    <w:semiHidden/>
    <w:qFormat/>
    <w:uiPriority w:val="0"/>
    <w:rPr>
      <w:rFonts w:eastAsia="宋体"/>
      <w:sz w:val="18"/>
    </w:rPr>
  </w:style>
  <w:style w:type="paragraph" w:styleId="19">
    <w:name w:val="footer"/>
    <w:basedOn w:val="1"/>
    <w:link w:val="57"/>
    <w:qFormat/>
    <w:uiPriority w:val="99"/>
    <w:pPr>
      <w:tabs>
        <w:tab w:val="center" w:pos="4153"/>
        <w:tab w:val="right" w:pos="8306"/>
      </w:tabs>
      <w:snapToGrid w:val="0"/>
      <w:jc w:val="left"/>
    </w:pPr>
    <w:rPr>
      <w:sz w:val="18"/>
      <w:lang w:val="zh-CN"/>
    </w:rPr>
  </w:style>
  <w:style w:type="paragraph" w:styleId="20">
    <w:name w:val="header"/>
    <w:basedOn w:val="1"/>
    <w:link w:val="106"/>
    <w:qFormat/>
    <w:uiPriority w:val="0"/>
    <w:pPr>
      <w:pBdr>
        <w:bottom w:val="single" w:color="auto" w:sz="6" w:space="1"/>
      </w:pBdr>
      <w:tabs>
        <w:tab w:val="center" w:pos="4153"/>
        <w:tab w:val="right" w:pos="8306"/>
      </w:tabs>
      <w:snapToGrid w:val="0"/>
      <w:jc w:val="center"/>
    </w:pPr>
    <w:rPr>
      <w:sz w:val="18"/>
    </w:rPr>
  </w:style>
  <w:style w:type="paragraph" w:styleId="21">
    <w:name w:val="index heading"/>
    <w:basedOn w:val="1"/>
    <w:next w:val="22"/>
    <w:qFormat/>
    <w:uiPriority w:val="0"/>
    <w:pPr>
      <w:adjustRightInd w:val="0"/>
      <w:spacing w:line="360" w:lineRule="auto"/>
      <w:ind w:firstLine="561"/>
      <w:textAlignment w:val="baseline"/>
    </w:pPr>
    <w:rPr>
      <w:rFonts w:eastAsia="宋体"/>
      <w:kern w:val="0"/>
    </w:rPr>
  </w:style>
  <w:style w:type="paragraph" w:styleId="22">
    <w:name w:val="index 1"/>
    <w:basedOn w:val="1"/>
    <w:next w:val="1"/>
    <w:qFormat/>
    <w:uiPriority w:val="0"/>
  </w:style>
  <w:style w:type="paragraph" w:styleId="23">
    <w:name w:val="List"/>
    <w:basedOn w:val="1"/>
    <w:qFormat/>
    <w:uiPriority w:val="0"/>
    <w:pPr>
      <w:ind w:left="200" w:hanging="200" w:hangingChars="200"/>
      <w:contextualSpacing/>
    </w:pPr>
  </w:style>
  <w:style w:type="paragraph" w:styleId="24">
    <w:name w:val="Body Text Indent 3"/>
    <w:basedOn w:val="1"/>
    <w:qFormat/>
    <w:uiPriority w:val="0"/>
    <w:pPr>
      <w:snapToGrid w:val="0"/>
      <w:spacing w:line="336" w:lineRule="auto"/>
      <w:ind w:firstLine="560" w:firstLineChars="200"/>
    </w:pPr>
    <w:rPr>
      <w:rFonts w:ascii="仿宋_GB2312"/>
    </w:rPr>
  </w:style>
  <w:style w:type="paragraph" w:styleId="25">
    <w:name w:val="toc 2"/>
    <w:basedOn w:val="1"/>
    <w:next w:val="1"/>
    <w:qFormat/>
    <w:uiPriority w:val="0"/>
    <w:pPr>
      <w:spacing w:line="360" w:lineRule="auto"/>
      <w:ind w:left="240"/>
      <w:jc w:val="left"/>
    </w:pPr>
    <w:rPr>
      <w:rFonts w:eastAsia="宋体"/>
      <w:smallCaps/>
      <w:sz w:val="20"/>
    </w:rPr>
  </w:style>
  <w:style w:type="paragraph" w:styleId="26">
    <w:name w:val="Body Text 2"/>
    <w:basedOn w:val="1"/>
    <w:link w:val="49"/>
    <w:qFormat/>
    <w:uiPriority w:val="0"/>
    <w:pPr>
      <w:spacing w:after="120" w:line="480" w:lineRule="auto"/>
    </w:pPr>
    <w:rPr>
      <w:lang w:val="zh-CN"/>
    </w:rPr>
  </w:style>
  <w:style w:type="paragraph" w:styleId="27">
    <w:name w:val="HTML Preformatted"/>
    <w:basedOn w:val="1"/>
    <w:link w:val="8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kern w:val="0"/>
      <w:sz w:val="24"/>
      <w:szCs w:val="24"/>
      <w:lang w:val="zh-CN"/>
    </w:rPr>
  </w:style>
  <w:style w:type="paragraph" w:styleId="28">
    <w:name w:val="Normal (Web)"/>
    <w:basedOn w:val="1"/>
    <w:qFormat/>
    <w:uiPriority w:val="0"/>
    <w:pPr>
      <w:widowControl/>
      <w:spacing w:before="100" w:beforeAutospacing="1" w:after="100" w:afterAutospacing="1"/>
      <w:jc w:val="left"/>
    </w:pPr>
    <w:rPr>
      <w:rFonts w:ascii="宋体" w:hAnsi="宋体" w:eastAsia="宋体"/>
      <w:kern w:val="0"/>
      <w:sz w:val="24"/>
      <w:szCs w:val="24"/>
    </w:rPr>
  </w:style>
  <w:style w:type="paragraph" w:styleId="29">
    <w:name w:val="Title"/>
    <w:basedOn w:val="1"/>
    <w:next w:val="1"/>
    <w:link w:val="102"/>
    <w:qFormat/>
    <w:uiPriority w:val="0"/>
    <w:pPr>
      <w:spacing w:before="240" w:after="60"/>
      <w:jc w:val="center"/>
      <w:outlineLvl w:val="0"/>
    </w:pPr>
    <w:rPr>
      <w:rFonts w:ascii="Cambria" w:hAnsi="Cambria" w:eastAsia="宋体"/>
      <w:b/>
      <w:bCs/>
      <w:kern w:val="0"/>
      <w:sz w:val="32"/>
      <w:szCs w:val="32"/>
      <w:lang w:val="zh-CN"/>
    </w:rPr>
  </w:style>
  <w:style w:type="paragraph" w:styleId="30">
    <w:name w:val="annotation subject"/>
    <w:basedOn w:val="11"/>
    <w:next w:val="11"/>
    <w:link w:val="113"/>
    <w:qFormat/>
    <w:uiPriority w:val="0"/>
    <w:pPr>
      <w:spacing w:line="240" w:lineRule="auto"/>
    </w:pPr>
    <w:rPr>
      <w:rFonts w:eastAsia="仿宋_GB2312"/>
      <w:b/>
      <w:bCs/>
      <w:sz w:val="28"/>
      <w:szCs w:val="20"/>
    </w:rPr>
  </w:style>
  <w:style w:type="paragraph" w:styleId="31">
    <w:name w:val="Body Text First Indent"/>
    <w:basedOn w:val="12"/>
    <w:qFormat/>
    <w:uiPriority w:val="0"/>
    <w:pPr>
      <w:adjustRightInd/>
      <w:snapToGrid/>
      <w:spacing w:after="120" w:line="240" w:lineRule="auto"/>
      <w:ind w:firstLine="420" w:firstLineChars="100"/>
    </w:pPr>
    <w:rPr>
      <w:rFonts w:ascii="Times New Roman" w:eastAsia="仿宋_GB2312"/>
      <w:b w:val="0"/>
      <w:bCs w:val="0"/>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34">
    <w:name w:val="Table Grid 5"/>
    <w:basedOn w:val="3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character" w:styleId="36">
    <w:name w:val="Strong"/>
    <w:qFormat/>
    <w:uiPriority w:val="0"/>
    <w:rPr>
      <w:b/>
      <w:bCs/>
    </w:rPr>
  </w:style>
  <w:style w:type="character" w:styleId="37">
    <w:name w:val="page number"/>
    <w:basedOn w:val="35"/>
    <w:qFormat/>
    <w:uiPriority w:val="0"/>
  </w:style>
  <w:style w:type="character" w:styleId="38">
    <w:name w:val="Emphasis"/>
    <w:qFormat/>
    <w:uiPriority w:val="20"/>
    <w:rPr>
      <w:i/>
      <w:iCs/>
    </w:rPr>
  </w:style>
  <w:style w:type="character" w:styleId="39">
    <w:name w:val="Hyperlink"/>
    <w:qFormat/>
    <w:uiPriority w:val="0"/>
    <w:rPr>
      <w:color w:val="0000FF"/>
      <w:u w:val="single"/>
    </w:rPr>
  </w:style>
  <w:style w:type="character" w:styleId="40">
    <w:name w:val="annotation reference"/>
    <w:qFormat/>
    <w:uiPriority w:val="0"/>
    <w:rPr>
      <w:sz w:val="21"/>
      <w:szCs w:val="21"/>
    </w:rPr>
  </w:style>
  <w:style w:type="paragraph" w:customStyle="1" w:styleId="41">
    <w:name w:val="报告"/>
    <w:basedOn w:val="1"/>
    <w:qFormat/>
    <w:uiPriority w:val="0"/>
    <w:pPr>
      <w:adjustRightInd w:val="0"/>
      <w:spacing w:line="360" w:lineRule="auto"/>
      <w:ind w:firstLine="505"/>
      <w:textAlignment w:val="center"/>
    </w:pPr>
    <w:rPr>
      <w:rFonts w:ascii="TimesNewRoman" w:hAnsi="TimesNewRoman" w:eastAsia="宋体"/>
      <w:kern w:val="0"/>
      <w:sz w:val="24"/>
    </w:rPr>
  </w:style>
  <w:style w:type="character" w:customStyle="1" w:styleId="42">
    <w:name w:val="正文格式 Char"/>
    <w:link w:val="43"/>
    <w:qFormat/>
    <w:uiPriority w:val="0"/>
    <w:rPr>
      <w:rFonts w:ascii="宋体" w:eastAsia="宋体"/>
      <w:kern w:val="2"/>
      <w:sz w:val="24"/>
      <w:szCs w:val="24"/>
      <w:lang w:val="en-US" w:eastAsia="zh-CN" w:bidi="ar-SA"/>
    </w:rPr>
  </w:style>
  <w:style w:type="paragraph" w:customStyle="1" w:styleId="43">
    <w:name w:val="正文格式"/>
    <w:basedOn w:val="31"/>
    <w:link w:val="42"/>
    <w:qFormat/>
    <w:uiPriority w:val="0"/>
    <w:pPr>
      <w:spacing w:after="0" w:line="360" w:lineRule="auto"/>
      <w:ind w:firstLine="200" w:firstLineChars="200"/>
    </w:pPr>
    <w:rPr>
      <w:rFonts w:ascii="宋体" w:eastAsia="宋体"/>
      <w:sz w:val="24"/>
      <w:szCs w:val="24"/>
      <w:lang w:val="en-US"/>
    </w:rPr>
  </w:style>
  <w:style w:type="character" w:customStyle="1" w:styleId="44">
    <w:name w:val="标题 Char1"/>
    <w:qFormat/>
    <w:uiPriority w:val="0"/>
    <w:rPr>
      <w:rFonts w:ascii="Cambria" w:hAnsi="Cambria" w:cs="Times New Roman"/>
      <w:b/>
      <w:bCs/>
      <w:kern w:val="2"/>
      <w:sz w:val="32"/>
      <w:szCs w:val="32"/>
    </w:rPr>
  </w:style>
  <w:style w:type="character" w:customStyle="1" w:styleId="45">
    <w:name w:val="表 Char"/>
    <w:link w:val="46"/>
    <w:qFormat/>
    <w:uiPriority w:val="0"/>
    <w:rPr>
      <w:spacing w:val="2"/>
      <w:kern w:val="2"/>
      <w:sz w:val="21"/>
    </w:rPr>
  </w:style>
  <w:style w:type="paragraph" w:customStyle="1" w:styleId="46">
    <w:name w:val="表"/>
    <w:basedOn w:val="1"/>
    <w:link w:val="45"/>
    <w:qFormat/>
    <w:uiPriority w:val="0"/>
    <w:pPr>
      <w:snapToGrid w:val="0"/>
      <w:spacing w:line="400" w:lineRule="exact"/>
      <w:jc w:val="center"/>
    </w:pPr>
    <w:rPr>
      <w:rFonts w:eastAsia="宋体"/>
      <w:spacing w:val="2"/>
      <w:sz w:val="21"/>
      <w:lang w:val="zh-CN"/>
    </w:rPr>
  </w:style>
  <w:style w:type="character" w:customStyle="1" w:styleId="47">
    <w:name w:val="4正文 Char Char"/>
    <w:link w:val="48"/>
    <w:qFormat/>
    <w:uiPriority w:val="0"/>
    <w:rPr>
      <w:kern w:val="2"/>
      <w:sz w:val="24"/>
      <w:szCs w:val="22"/>
    </w:rPr>
  </w:style>
  <w:style w:type="paragraph" w:customStyle="1" w:styleId="48">
    <w:name w:val="4正文"/>
    <w:basedOn w:val="1"/>
    <w:link w:val="47"/>
    <w:qFormat/>
    <w:uiPriority w:val="0"/>
    <w:pPr>
      <w:widowControl/>
      <w:spacing w:line="360" w:lineRule="auto"/>
      <w:ind w:firstLine="200" w:firstLineChars="200"/>
    </w:pPr>
    <w:rPr>
      <w:rFonts w:eastAsia="宋体"/>
      <w:sz w:val="24"/>
      <w:szCs w:val="22"/>
      <w:lang w:val="zh-CN"/>
    </w:rPr>
  </w:style>
  <w:style w:type="character" w:customStyle="1" w:styleId="49">
    <w:name w:val="正文文本 2 Char"/>
    <w:link w:val="26"/>
    <w:qFormat/>
    <w:uiPriority w:val="0"/>
    <w:rPr>
      <w:rFonts w:eastAsia="仿宋_GB2312"/>
      <w:kern w:val="2"/>
      <w:sz w:val="28"/>
    </w:rPr>
  </w:style>
  <w:style w:type="character" w:customStyle="1" w:styleId="50">
    <w:name w:val="样式 标题 2head 08h2Major HeadingMajor Heading1节标题 1.1 + (西文) ... Char Char"/>
    <w:link w:val="51"/>
    <w:qFormat/>
    <w:uiPriority w:val="0"/>
    <w:rPr>
      <w:rFonts w:ascii="Arial" w:hAnsi="Arial" w:eastAsia="黑体"/>
      <w:b/>
      <w:bCs/>
      <w:kern w:val="2"/>
      <w:sz w:val="24"/>
      <w:szCs w:val="24"/>
    </w:rPr>
  </w:style>
  <w:style w:type="paragraph" w:customStyle="1" w:styleId="51">
    <w:name w:val="样式 标题 2head 08h2Major HeadingMajor Heading1节标题 1.1 + (西文) ..."/>
    <w:basedOn w:val="4"/>
    <w:link w:val="50"/>
    <w:qFormat/>
    <w:uiPriority w:val="0"/>
    <w:pPr>
      <w:keepLines/>
      <w:spacing w:before="260" w:after="260" w:line="240" w:lineRule="auto"/>
      <w:ind w:firstLine="482"/>
    </w:pPr>
    <w:rPr>
      <w:rFonts w:ascii="Arial" w:hAnsi="Arial" w:eastAsia="黑体"/>
      <w:szCs w:val="24"/>
      <w:lang w:val="zh-CN"/>
    </w:rPr>
  </w:style>
  <w:style w:type="character" w:customStyle="1" w:styleId="52">
    <w:name w:val="！1-1 Char"/>
    <w:link w:val="53"/>
    <w:qFormat/>
    <w:uiPriority w:val="0"/>
    <w:rPr>
      <w:b/>
      <w:kern w:val="2"/>
      <w:sz w:val="24"/>
      <w:szCs w:val="24"/>
    </w:rPr>
  </w:style>
  <w:style w:type="paragraph" w:customStyle="1" w:styleId="53">
    <w:name w:val="！1-1"/>
    <w:basedOn w:val="1"/>
    <w:link w:val="52"/>
    <w:qFormat/>
    <w:uiPriority w:val="0"/>
    <w:pPr>
      <w:spacing w:line="560" w:lineRule="exact"/>
      <w:ind w:firstLine="472" w:firstLineChars="196"/>
    </w:pPr>
    <w:rPr>
      <w:rFonts w:eastAsia="宋体"/>
      <w:b/>
      <w:sz w:val="24"/>
      <w:szCs w:val="24"/>
      <w:lang w:val="zh-CN"/>
    </w:rPr>
  </w:style>
  <w:style w:type="character" w:customStyle="1" w:styleId="54">
    <w:name w:val="正文文本 Char"/>
    <w:link w:val="12"/>
    <w:qFormat/>
    <w:uiPriority w:val="0"/>
    <w:rPr>
      <w:rFonts w:ascii="宋体"/>
      <w:b/>
      <w:bCs/>
      <w:kern w:val="2"/>
      <w:sz w:val="28"/>
    </w:rPr>
  </w:style>
  <w:style w:type="character" w:customStyle="1" w:styleId="55">
    <w:name w:val="wenben2"/>
    <w:qFormat/>
    <w:uiPriority w:val="0"/>
    <w:rPr>
      <w:color w:val="1C1C1C"/>
      <w:sz w:val="21"/>
      <w:szCs w:val="21"/>
      <w:u w:val="none"/>
    </w:rPr>
  </w:style>
  <w:style w:type="character" w:customStyle="1" w:styleId="56">
    <w:name w:val="正文缩进 Char"/>
    <w:link w:val="6"/>
    <w:qFormat/>
    <w:uiPriority w:val="0"/>
    <w:rPr>
      <w:rFonts w:eastAsia="黑体"/>
      <w:kern w:val="2"/>
      <w:sz w:val="32"/>
    </w:rPr>
  </w:style>
  <w:style w:type="character" w:customStyle="1" w:styleId="57">
    <w:name w:val="页脚 Char"/>
    <w:link w:val="19"/>
    <w:qFormat/>
    <w:uiPriority w:val="99"/>
    <w:rPr>
      <w:rFonts w:eastAsia="仿宋_GB2312"/>
      <w:kern w:val="2"/>
      <w:sz w:val="18"/>
    </w:rPr>
  </w:style>
  <w:style w:type="character" w:customStyle="1" w:styleId="58">
    <w:name w:val="正文(首行缩进) Char"/>
    <w:link w:val="59"/>
    <w:qFormat/>
    <w:locked/>
    <w:uiPriority w:val="0"/>
    <w:rPr>
      <w:rFonts w:eastAsia="仿宋_GB2312"/>
      <w:snapToGrid w:val="0"/>
      <w:color w:val="000000"/>
      <w:sz w:val="24"/>
    </w:rPr>
  </w:style>
  <w:style w:type="paragraph" w:customStyle="1" w:styleId="59">
    <w:name w:val="正文(首行缩进)"/>
    <w:basedOn w:val="1"/>
    <w:link w:val="58"/>
    <w:qFormat/>
    <w:uiPriority w:val="0"/>
    <w:pPr>
      <w:spacing w:line="360" w:lineRule="auto"/>
      <w:ind w:firstLine="540" w:firstLineChars="225"/>
    </w:pPr>
    <w:rPr>
      <w:snapToGrid w:val="0"/>
      <w:color w:val="000000"/>
      <w:kern w:val="0"/>
      <w:sz w:val="24"/>
      <w:lang w:val="zh-CN"/>
    </w:rPr>
  </w:style>
  <w:style w:type="character" w:customStyle="1" w:styleId="60">
    <w:name w:val="font21"/>
    <w:qFormat/>
    <w:uiPriority w:val="0"/>
    <w:rPr>
      <w:rFonts w:hint="eastAsia" w:ascii="宋体" w:hAnsi="宋体" w:eastAsia="宋体" w:cs="宋体"/>
      <w:color w:val="000000"/>
      <w:sz w:val="20"/>
      <w:szCs w:val="20"/>
      <w:u w:val="none"/>
    </w:rPr>
  </w:style>
  <w:style w:type="character" w:customStyle="1" w:styleId="61">
    <w:name w:val="ft231"/>
    <w:qFormat/>
    <w:uiPriority w:val="0"/>
    <w:rPr>
      <w:rFonts w:hint="default" w:ascii="Times" w:hAnsi="Times"/>
      <w:color w:val="000000"/>
      <w:spacing w:val="14"/>
      <w:sz w:val="24"/>
      <w:szCs w:val="24"/>
    </w:rPr>
  </w:style>
  <w:style w:type="character" w:customStyle="1" w:styleId="62">
    <w:name w:val="！表 Char"/>
    <w:link w:val="63"/>
    <w:qFormat/>
    <w:uiPriority w:val="0"/>
    <w:rPr>
      <w:rFonts w:eastAsia="黑体"/>
      <w:kern w:val="2"/>
      <w:sz w:val="24"/>
      <w:szCs w:val="24"/>
    </w:rPr>
  </w:style>
  <w:style w:type="paragraph" w:customStyle="1" w:styleId="63">
    <w:name w:val="！表"/>
    <w:basedOn w:val="1"/>
    <w:link w:val="62"/>
    <w:qFormat/>
    <w:uiPriority w:val="0"/>
    <w:pPr>
      <w:spacing w:line="360" w:lineRule="auto"/>
      <w:jc w:val="center"/>
    </w:pPr>
    <w:rPr>
      <w:rFonts w:eastAsia="黑体"/>
      <w:sz w:val="24"/>
      <w:szCs w:val="24"/>
      <w:lang w:val="zh-CN"/>
    </w:rPr>
  </w:style>
  <w:style w:type="character" w:customStyle="1" w:styleId="64">
    <w:name w:val="批注文字 Char1"/>
    <w:semiHidden/>
    <w:qFormat/>
    <w:locked/>
    <w:uiPriority w:val="99"/>
    <w:rPr>
      <w:rFonts w:ascii="Times New Roman" w:hAnsi="Times New Roman" w:eastAsia="宋体" w:cs="Times New Roman"/>
      <w:sz w:val="24"/>
      <w:szCs w:val="24"/>
    </w:rPr>
  </w:style>
  <w:style w:type="character" w:customStyle="1" w:styleId="65">
    <w:name w:val="表头 Char"/>
    <w:link w:val="66"/>
    <w:qFormat/>
    <w:uiPriority w:val="0"/>
    <w:rPr>
      <w:rFonts w:eastAsia="黑体"/>
      <w:kern w:val="2"/>
      <w:sz w:val="21"/>
      <w:szCs w:val="24"/>
    </w:rPr>
  </w:style>
  <w:style w:type="paragraph" w:customStyle="1" w:styleId="66">
    <w:name w:val="表头"/>
    <w:basedOn w:val="1"/>
    <w:link w:val="65"/>
    <w:qFormat/>
    <w:uiPriority w:val="0"/>
    <w:pPr>
      <w:spacing w:line="360" w:lineRule="auto"/>
      <w:jc w:val="center"/>
    </w:pPr>
    <w:rPr>
      <w:rFonts w:eastAsia="黑体"/>
      <w:sz w:val="21"/>
      <w:szCs w:val="24"/>
      <w:lang w:val="zh-CN"/>
    </w:rPr>
  </w:style>
  <w:style w:type="character" w:customStyle="1" w:styleId="67">
    <w:name w:val="表格 Char"/>
    <w:qFormat/>
    <w:uiPriority w:val="0"/>
    <w:rPr>
      <w:rFonts w:eastAsia="仿宋_GB2312"/>
      <w:kern w:val="2"/>
      <w:sz w:val="28"/>
      <w:lang w:val="en-US" w:eastAsia="zh-CN" w:bidi="ar-SA"/>
    </w:rPr>
  </w:style>
  <w:style w:type="character" w:customStyle="1" w:styleId="68">
    <w:name w:val="apple-style-span"/>
    <w:basedOn w:val="35"/>
    <w:qFormat/>
    <w:uiPriority w:val="0"/>
  </w:style>
  <w:style w:type="character" w:customStyle="1" w:styleId="69">
    <w:name w:val="c1"/>
    <w:qFormat/>
    <w:uiPriority w:val="0"/>
    <w:rPr>
      <w:rFonts w:hint="default" w:ascii="ˎ̥" w:hAnsi="ˎ̥"/>
      <w:color w:val="000000"/>
      <w:sz w:val="21"/>
      <w:szCs w:val="21"/>
      <w:u w:val="none"/>
    </w:rPr>
  </w:style>
  <w:style w:type="character" w:customStyle="1" w:styleId="70">
    <w:name w:val="fontstyle31"/>
    <w:qFormat/>
    <w:uiPriority w:val="0"/>
    <w:rPr>
      <w:rFonts w:hint="default" w:ascii="TimesNewRomanPSMT" w:hAnsi="TimesNewRomanPSMT"/>
      <w:color w:val="000000"/>
      <w:sz w:val="24"/>
      <w:szCs w:val="24"/>
    </w:rPr>
  </w:style>
  <w:style w:type="character" w:customStyle="1" w:styleId="71">
    <w:name w:val="表头 Char Char"/>
    <w:qFormat/>
    <w:uiPriority w:val="0"/>
    <w:rPr>
      <w:rFonts w:ascii="黑体" w:hAnsi="宋体" w:eastAsia="黑体"/>
      <w:bCs/>
      <w:szCs w:val="28"/>
    </w:rPr>
  </w:style>
  <w:style w:type="character" w:customStyle="1" w:styleId="72">
    <w:name w:val="纯文本 Char2"/>
    <w:qFormat/>
    <w:uiPriority w:val="0"/>
    <w:rPr>
      <w:rFonts w:ascii="宋体" w:hAnsi="Courier New" w:eastAsia="宋体"/>
      <w:kern w:val="2"/>
      <w:sz w:val="21"/>
      <w:szCs w:val="24"/>
      <w:lang w:val="en-US" w:eastAsia="zh-CN" w:bidi="ar-SA"/>
    </w:rPr>
  </w:style>
  <w:style w:type="character" w:customStyle="1" w:styleId="73">
    <w:name w:val="缩进 Char"/>
    <w:link w:val="74"/>
    <w:qFormat/>
    <w:uiPriority w:val="0"/>
    <w:rPr>
      <w:sz w:val="24"/>
    </w:rPr>
  </w:style>
  <w:style w:type="paragraph" w:customStyle="1" w:styleId="74">
    <w:name w:val="缩进"/>
    <w:basedOn w:val="1"/>
    <w:link w:val="73"/>
    <w:qFormat/>
    <w:uiPriority w:val="0"/>
    <w:pPr>
      <w:autoSpaceDE w:val="0"/>
      <w:autoSpaceDN w:val="0"/>
      <w:adjustRightInd w:val="0"/>
      <w:spacing w:line="400" w:lineRule="atLeast"/>
      <w:ind w:firstLine="425" w:firstLineChars="200"/>
      <w:textAlignment w:val="baseline"/>
    </w:pPr>
    <w:rPr>
      <w:rFonts w:eastAsia="宋体"/>
      <w:kern w:val="0"/>
      <w:sz w:val="24"/>
      <w:lang w:val="zh-CN"/>
    </w:rPr>
  </w:style>
  <w:style w:type="character" w:customStyle="1" w:styleId="75">
    <w:name w:val="表格文字 Char"/>
    <w:qFormat/>
    <w:uiPriority w:val="0"/>
    <w:rPr>
      <w:rFonts w:ascii="宋体" w:hAnsi="Times New Roman" w:eastAsia="宋体" w:cs="Times New Roman"/>
      <w:kern w:val="24"/>
      <w:szCs w:val="20"/>
    </w:rPr>
  </w:style>
  <w:style w:type="character" w:customStyle="1" w:styleId="76">
    <w:name w:val="表头 Char2"/>
    <w:qFormat/>
    <w:uiPriority w:val="0"/>
    <w:rPr>
      <w:rFonts w:ascii="楷体_GB2312" w:hAnsi="楷体_GB2312" w:eastAsia="楷体_GB2312" w:cs="楷体_GB2312"/>
      <w:b/>
      <w:kern w:val="2"/>
      <w:sz w:val="24"/>
      <w:szCs w:val="24"/>
    </w:rPr>
  </w:style>
  <w:style w:type="character" w:customStyle="1" w:styleId="77">
    <w:name w:val="正文缩进 Char1"/>
    <w:qFormat/>
    <w:uiPriority w:val="0"/>
    <w:rPr>
      <w:rFonts w:eastAsia="宋体"/>
      <w:kern w:val="2"/>
      <w:sz w:val="28"/>
      <w:lang w:val="en-US" w:eastAsia="zh-CN" w:bidi="ar-SA"/>
    </w:rPr>
  </w:style>
  <w:style w:type="character" w:customStyle="1" w:styleId="78">
    <w:name w:val="fontstyle01"/>
    <w:qFormat/>
    <w:uiPriority w:val="0"/>
    <w:rPr>
      <w:rFonts w:hint="eastAsia" w:ascii="黑体" w:hAnsi="黑体" w:eastAsia="黑体"/>
      <w:color w:val="000000"/>
      <w:sz w:val="30"/>
      <w:szCs w:val="30"/>
    </w:rPr>
  </w:style>
  <w:style w:type="character" w:customStyle="1" w:styleId="79">
    <w:name w:val="批注文字 Char"/>
    <w:link w:val="11"/>
    <w:qFormat/>
    <w:uiPriority w:val="0"/>
    <w:rPr>
      <w:kern w:val="2"/>
      <w:sz w:val="24"/>
      <w:szCs w:val="24"/>
      <w:lang w:val="en-US" w:eastAsia="zh-CN"/>
    </w:rPr>
  </w:style>
  <w:style w:type="character" w:customStyle="1" w:styleId="80">
    <w:name w:val="表格内 Char"/>
    <w:link w:val="2"/>
    <w:qFormat/>
    <w:uiPriority w:val="0"/>
    <w:rPr>
      <w:rFonts w:eastAsia="Times New Roman"/>
      <w:snapToGrid w:val="0"/>
      <w:sz w:val="21"/>
      <w:szCs w:val="21"/>
    </w:rPr>
  </w:style>
  <w:style w:type="character" w:customStyle="1" w:styleId="81">
    <w:name w:val="4刘群正文* Char"/>
    <w:link w:val="82"/>
    <w:qFormat/>
    <w:uiPriority w:val="0"/>
    <w:rPr>
      <w:kern w:val="2"/>
      <w:sz w:val="24"/>
      <w:szCs w:val="24"/>
    </w:rPr>
  </w:style>
  <w:style w:type="paragraph" w:customStyle="1" w:styleId="82">
    <w:name w:val="4刘群正文*"/>
    <w:basedOn w:val="1"/>
    <w:link w:val="81"/>
    <w:qFormat/>
    <w:uiPriority w:val="0"/>
    <w:pPr>
      <w:spacing w:line="520" w:lineRule="exact"/>
      <w:ind w:firstLine="480" w:firstLineChars="200"/>
    </w:pPr>
    <w:rPr>
      <w:rFonts w:eastAsia="宋体"/>
      <w:sz w:val="24"/>
      <w:szCs w:val="24"/>
      <w:lang w:val="zh-CN"/>
    </w:rPr>
  </w:style>
  <w:style w:type="character" w:customStyle="1" w:styleId="83">
    <w:name w:val="!z Char"/>
    <w:link w:val="84"/>
    <w:qFormat/>
    <w:uiPriority w:val="0"/>
    <w:rPr>
      <w:kern w:val="2"/>
      <w:sz w:val="24"/>
      <w:szCs w:val="24"/>
    </w:rPr>
  </w:style>
  <w:style w:type="paragraph" w:customStyle="1" w:styleId="84">
    <w:name w:val="!z"/>
    <w:basedOn w:val="1"/>
    <w:link w:val="83"/>
    <w:qFormat/>
    <w:uiPriority w:val="0"/>
    <w:pPr>
      <w:spacing w:line="560" w:lineRule="exact"/>
      <w:ind w:firstLine="480" w:firstLineChars="200"/>
    </w:pPr>
    <w:rPr>
      <w:rFonts w:eastAsia="宋体"/>
      <w:sz w:val="24"/>
      <w:szCs w:val="24"/>
      <w:lang w:val="zh-CN"/>
    </w:rPr>
  </w:style>
  <w:style w:type="character" w:customStyle="1" w:styleId="85">
    <w:name w:val="正文 小四 行距: 1.5 倍行距 Char"/>
    <w:link w:val="86"/>
    <w:qFormat/>
    <w:uiPriority w:val="0"/>
    <w:rPr>
      <w:kern w:val="2"/>
      <w:sz w:val="24"/>
    </w:rPr>
  </w:style>
  <w:style w:type="paragraph" w:customStyle="1" w:styleId="86">
    <w:name w:val="正文 小四 行距: 1.5 倍行距"/>
    <w:basedOn w:val="1"/>
    <w:link w:val="85"/>
    <w:qFormat/>
    <w:uiPriority w:val="0"/>
    <w:pPr>
      <w:spacing w:line="360" w:lineRule="auto"/>
      <w:ind w:firstLine="480" w:firstLineChars="200"/>
    </w:pPr>
    <w:rPr>
      <w:rFonts w:eastAsia="宋体"/>
      <w:sz w:val="24"/>
      <w:lang w:val="zh-CN"/>
    </w:rPr>
  </w:style>
  <w:style w:type="character" w:customStyle="1" w:styleId="87">
    <w:name w:val="纯文本 Char"/>
    <w:link w:val="15"/>
    <w:qFormat/>
    <w:uiPriority w:val="0"/>
    <w:rPr>
      <w:rFonts w:ascii="宋体" w:hAnsi="Courier New" w:eastAsia="仿宋_GB2312"/>
      <w:kern w:val="2"/>
      <w:sz w:val="28"/>
      <w:lang w:val="en-US" w:eastAsia="zh-CN" w:bidi="ar-SA"/>
    </w:rPr>
  </w:style>
  <w:style w:type="character" w:customStyle="1" w:styleId="88">
    <w:name w:val="HTML 预设格式 Char"/>
    <w:link w:val="27"/>
    <w:qFormat/>
    <w:uiPriority w:val="99"/>
    <w:rPr>
      <w:rFonts w:ascii="宋体" w:hAnsi="宋体" w:cs="宋体"/>
      <w:sz w:val="24"/>
      <w:szCs w:val="24"/>
    </w:rPr>
  </w:style>
  <w:style w:type="character" w:customStyle="1" w:styleId="89">
    <w:name w:val="ft310"/>
    <w:qFormat/>
    <w:uiPriority w:val="0"/>
    <w:rPr>
      <w:rFonts w:hint="default" w:ascii="Times" w:hAnsi="Times"/>
      <w:color w:val="000000"/>
      <w:spacing w:val="0"/>
      <w:sz w:val="24"/>
      <w:szCs w:val="24"/>
    </w:rPr>
  </w:style>
  <w:style w:type="character" w:customStyle="1" w:styleId="90">
    <w:name w:val="日期 Char"/>
    <w:link w:val="16"/>
    <w:qFormat/>
    <w:uiPriority w:val="0"/>
    <w:rPr>
      <w:kern w:val="2"/>
      <w:sz w:val="28"/>
    </w:rPr>
  </w:style>
  <w:style w:type="character" w:customStyle="1" w:styleId="91">
    <w:name w:val="表格文字 Char Char"/>
    <w:link w:val="92"/>
    <w:qFormat/>
    <w:uiPriority w:val="0"/>
    <w:rPr>
      <w:rFonts w:ascii="宋体"/>
      <w:kern w:val="2"/>
      <w:sz w:val="21"/>
      <w:szCs w:val="24"/>
    </w:rPr>
  </w:style>
  <w:style w:type="paragraph" w:customStyle="1" w:styleId="92">
    <w:name w:val="表格文字"/>
    <w:basedOn w:val="12"/>
    <w:link w:val="91"/>
    <w:qFormat/>
    <w:uiPriority w:val="0"/>
    <w:pPr>
      <w:adjustRightInd/>
      <w:snapToGrid/>
      <w:spacing w:line="320" w:lineRule="exact"/>
      <w:jc w:val="center"/>
    </w:pPr>
    <w:rPr>
      <w:b w:val="0"/>
      <w:bCs w:val="0"/>
      <w:sz w:val="21"/>
      <w:szCs w:val="24"/>
    </w:rPr>
  </w:style>
  <w:style w:type="character" w:customStyle="1" w:styleId="93">
    <w:name w:val="ft510"/>
    <w:qFormat/>
    <w:uiPriority w:val="0"/>
    <w:rPr>
      <w:rFonts w:hint="default" w:ascii="Times" w:hAnsi="Times"/>
      <w:color w:val="000000"/>
      <w:spacing w:val="0"/>
      <w:sz w:val="20"/>
      <w:szCs w:val="20"/>
    </w:rPr>
  </w:style>
  <w:style w:type="character" w:customStyle="1" w:styleId="94">
    <w:name w:val="正文 Char"/>
    <w:link w:val="95"/>
    <w:qFormat/>
    <w:uiPriority w:val="0"/>
    <w:rPr>
      <w:rFonts w:hAnsi="宋体"/>
      <w:kern w:val="2"/>
      <w:sz w:val="24"/>
    </w:rPr>
  </w:style>
  <w:style w:type="paragraph" w:customStyle="1" w:styleId="95">
    <w:name w:val="正文1"/>
    <w:basedOn w:val="1"/>
    <w:link w:val="94"/>
    <w:qFormat/>
    <w:uiPriority w:val="0"/>
    <w:pPr>
      <w:spacing w:line="360" w:lineRule="auto"/>
      <w:ind w:firstLine="480" w:firstLineChars="200"/>
    </w:pPr>
    <w:rPr>
      <w:rFonts w:hAnsi="宋体" w:eastAsia="宋体"/>
      <w:sz w:val="24"/>
      <w:lang w:val="zh-CN"/>
    </w:rPr>
  </w:style>
  <w:style w:type="character" w:customStyle="1" w:styleId="96">
    <w:name w:val="_正文格式 Char Char"/>
    <w:link w:val="97"/>
    <w:qFormat/>
    <w:uiPriority w:val="0"/>
    <w:rPr>
      <w:kern w:val="2"/>
      <w:sz w:val="24"/>
      <w:szCs w:val="24"/>
    </w:rPr>
  </w:style>
  <w:style w:type="paragraph" w:customStyle="1" w:styleId="97">
    <w:name w:val="_正文格式"/>
    <w:basedOn w:val="1"/>
    <w:link w:val="96"/>
    <w:qFormat/>
    <w:uiPriority w:val="0"/>
    <w:pPr>
      <w:spacing w:line="500" w:lineRule="exact"/>
      <w:ind w:firstLine="567"/>
      <w:jc w:val="left"/>
    </w:pPr>
    <w:rPr>
      <w:rFonts w:eastAsia="宋体"/>
      <w:sz w:val="24"/>
      <w:szCs w:val="24"/>
      <w:lang w:val="zh-CN"/>
    </w:rPr>
  </w:style>
  <w:style w:type="character" w:customStyle="1" w:styleId="98">
    <w:name w:val="fontstyle21"/>
    <w:qFormat/>
    <w:uiPriority w:val="0"/>
    <w:rPr>
      <w:rFonts w:hint="eastAsia" w:ascii="宋体" w:hAnsi="宋体" w:eastAsia="宋体"/>
      <w:color w:val="000000"/>
      <w:sz w:val="24"/>
      <w:szCs w:val="24"/>
    </w:rPr>
  </w:style>
  <w:style w:type="character" w:customStyle="1" w:styleId="99">
    <w:name w:val="表头格式1 Char"/>
    <w:link w:val="100"/>
    <w:semiHidden/>
    <w:qFormat/>
    <w:uiPriority w:val="0"/>
    <w:rPr>
      <w:rFonts w:hAnsi="宋体"/>
      <w:b/>
      <w:kern w:val="2"/>
      <w:sz w:val="24"/>
    </w:rPr>
  </w:style>
  <w:style w:type="paragraph" w:customStyle="1" w:styleId="100">
    <w:name w:val="表头格式1"/>
    <w:basedOn w:val="1"/>
    <w:link w:val="99"/>
    <w:semiHidden/>
    <w:qFormat/>
    <w:uiPriority w:val="0"/>
    <w:pPr>
      <w:spacing w:line="360" w:lineRule="auto"/>
      <w:ind w:firstLine="420"/>
      <w:jc w:val="center"/>
    </w:pPr>
    <w:rPr>
      <w:rFonts w:hAnsi="宋体" w:eastAsia="宋体"/>
      <w:b/>
      <w:sz w:val="24"/>
      <w:lang w:val="zh-CN"/>
    </w:rPr>
  </w:style>
  <w:style w:type="character" w:customStyle="1" w:styleId="101">
    <w:name w:val="font01"/>
    <w:qFormat/>
    <w:uiPriority w:val="0"/>
    <w:rPr>
      <w:rFonts w:hint="default" w:ascii="Times New Roman" w:hAnsi="Times New Roman" w:cs="Times New Roman"/>
      <w:color w:val="000000"/>
      <w:sz w:val="20"/>
      <w:szCs w:val="20"/>
      <w:u w:val="none"/>
    </w:rPr>
  </w:style>
  <w:style w:type="character" w:customStyle="1" w:styleId="102">
    <w:name w:val="标题 Char"/>
    <w:link w:val="29"/>
    <w:qFormat/>
    <w:uiPriority w:val="0"/>
    <w:rPr>
      <w:rFonts w:ascii="Cambria" w:hAnsi="Cambria"/>
      <w:b/>
      <w:bCs/>
      <w:sz w:val="32"/>
      <w:szCs w:val="32"/>
    </w:rPr>
  </w:style>
  <w:style w:type="character" w:customStyle="1" w:styleId="103">
    <w:name w:val="题注 Char"/>
    <w:link w:val="9"/>
    <w:qFormat/>
    <w:uiPriority w:val="0"/>
    <w:rPr>
      <w:b/>
      <w:kern w:val="2"/>
      <w:sz w:val="24"/>
      <w:szCs w:val="24"/>
    </w:rPr>
  </w:style>
  <w:style w:type="character" w:customStyle="1" w:styleId="104">
    <w:name w:val="表格内容 Char"/>
    <w:link w:val="105"/>
    <w:qFormat/>
    <w:uiPriority w:val="0"/>
    <w:rPr>
      <w:rFonts w:ascii="宋体" w:hAnsi="宋体"/>
      <w:snapToGrid w:val="0"/>
      <w:kern w:val="2"/>
      <w:sz w:val="18"/>
    </w:rPr>
  </w:style>
  <w:style w:type="paragraph" w:customStyle="1" w:styleId="105">
    <w:name w:val="表格内容"/>
    <w:basedOn w:val="1"/>
    <w:link w:val="104"/>
    <w:qFormat/>
    <w:uiPriority w:val="0"/>
    <w:pPr>
      <w:spacing w:line="280" w:lineRule="exact"/>
      <w:ind w:left="-19" w:leftChars="-9" w:firstLine="20" w:firstLineChars="11"/>
      <w:jc w:val="center"/>
    </w:pPr>
    <w:rPr>
      <w:rFonts w:ascii="宋体" w:hAnsi="宋体" w:eastAsia="宋体"/>
      <w:snapToGrid w:val="0"/>
      <w:sz w:val="18"/>
      <w:lang w:val="zh-CN"/>
    </w:rPr>
  </w:style>
  <w:style w:type="character" w:customStyle="1" w:styleId="106">
    <w:name w:val="页眉 Char"/>
    <w:link w:val="20"/>
    <w:qFormat/>
    <w:uiPriority w:val="0"/>
    <w:rPr>
      <w:rFonts w:eastAsia="仿宋_GB2312"/>
      <w:kern w:val="2"/>
      <w:sz w:val="18"/>
      <w:lang w:val="en-US" w:eastAsia="zh-CN" w:bidi="ar-SA"/>
    </w:rPr>
  </w:style>
  <w:style w:type="character" w:customStyle="1" w:styleId="107">
    <w:name w:val="表格 Char Char"/>
    <w:link w:val="108"/>
    <w:qFormat/>
    <w:uiPriority w:val="0"/>
    <w:rPr>
      <w:rFonts w:ascii="宋体" w:hAnsi="宋体"/>
      <w:kern w:val="2"/>
      <w:sz w:val="18"/>
    </w:rPr>
  </w:style>
  <w:style w:type="paragraph" w:customStyle="1" w:styleId="108">
    <w:name w:val="表格"/>
    <w:basedOn w:val="1"/>
    <w:next w:val="6"/>
    <w:link w:val="107"/>
    <w:qFormat/>
    <w:uiPriority w:val="0"/>
    <w:pPr>
      <w:adjustRightInd w:val="0"/>
      <w:snapToGrid w:val="0"/>
      <w:spacing w:line="220" w:lineRule="atLeast"/>
      <w:jc w:val="center"/>
    </w:pPr>
    <w:rPr>
      <w:rFonts w:ascii="宋体" w:hAnsi="宋体" w:eastAsia="宋体"/>
      <w:sz w:val="18"/>
      <w:lang w:val="zh-CN"/>
    </w:rPr>
  </w:style>
  <w:style w:type="character" w:customStyle="1" w:styleId="109">
    <w:name w:val="样式4 Char Char"/>
    <w:link w:val="110"/>
    <w:qFormat/>
    <w:uiPriority w:val="0"/>
    <w:rPr>
      <w:rFonts w:ascii="ˎ̥" w:hAnsi="ˎ̥" w:cs="宋体"/>
      <w:sz w:val="28"/>
      <w:szCs w:val="28"/>
    </w:rPr>
  </w:style>
  <w:style w:type="paragraph" w:customStyle="1" w:styleId="110">
    <w:name w:val="样式4"/>
    <w:basedOn w:val="1"/>
    <w:link w:val="109"/>
    <w:qFormat/>
    <w:uiPriority w:val="0"/>
    <w:pPr>
      <w:tabs>
        <w:tab w:val="left" w:pos="9128"/>
      </w:tabs>
      <w:adjustRightInd w:val="0"/>
      <w:snapToGrid w:val="0"/>
      <w:spacing w:line="500" w:lineRule="exact"/>
      <w:jc w:val="center"/>
    </w:pPr>
    <w:rPr>
      <w:rFonts w:ascii="ˎ̥" w:hAnsi="ˎ̥" w:eastAsia="宋体"/>
      <w:kern w:val="0"/>
      <w:szCs w:val="28"/>
      <w:lang w:val="zh-CN"/>
    </w:rPr>
  </w:style>
  <w:style w:type="character" w:customStyle="1" w:styleId="111">
    <w:name w:val="样式1 Char"/>
    <w:link w:val="112"/>
    <w:qFormat/>
    <w:uiPriority w:val="0"/>
    <w:rPr>
      <w:sz w:val="28"/>
    </w:rPr>
  </w:style>
  <w:style w:type="paragraph" w:customStyle="1" w:styleId="112">
    <w:name w:val="样式1"/>
    <w:basedOn w:val="1"/>
    <w:link w:val="111"/>
    <w:qFormat/>
    <w:uiPriority w:val="0"/>
    <w:pPr>
      <w:spacing w:line="560" w:lineRule="exact"/>
      <w:ind w:firstLine="200" w:firstLineChars="200"/>
    </w:pPr>
    <w:rPr>
      <w:rFonts w:eastAsia="宋体"/>
      <w:kern w:val="0"/>
      <w:lang w:val="zh-CN"/>
    </w:rPr>
  </w:style>
  <w:style w:type="character" w:customStyle="1" w:styleId="113">
    <w:name w:val="批注主题 Char"/>
    <w:link w:val="30"/>
    <w:qFormat/>
    <w:uiPriority w:val="0"/>
    <w:rPr>
      <w:kern w:val="2"/>
      <w:sz w:val="24"/>
      <w:szCs w:val="24"/>
      <w:lang w:val="en-US" w:eastAsia="zh-CN"/>
    </w:rPr>
  </w:style>
  <w:style w:type="character" w:customStyle="1" w:styleId="114">
    <w:name w:val="正文 楷体 Char"/>
    <w:link w:val="115"/>
    <w:qFormat/>
    <w:uiPriority w:val="0"/>
    <w:rPr>
      <w:rFonts w:ascii="楷体_GB2312" w:hAnsi="楷体_GB2312" w:eastAsia="楷体_GB2312" w:cs="宋体"/>
      <w:sz w:val="24"/>
      <w:szCs w:val="24"/>
    </w:rPr>
  </w:style>
  <w:style w:type="paragraph" w:customStyle="1" w:styleId="115">
    <w:name w:val="正文 楷体"/>
    <w:basedOn w:val="1"/>
    <w:link w:val="114"/>
    <w:qFormat/>
    <w:uiPriority w:val="0"/>
    <w:pPr>
      <w:spacing w:line="500" w:lineRule="exact"/>
      <w:ind w:firstLine="200" w:firstLineChars="200"/>
    </w:pPr>
    <w:rPr>
      <w:rFonts w:ascii="楷体_GB2312" w:hAnsi="楷体_GB2312" w:eastAsia="楷体_GB2312"/>
      <w:kern w:val="0"/>
      <w:sz w:val="24"/>
      <w:szCs w:val="24"/>
      <w:lang w:val="zh-CN"/>
    </w:rPr>
  </w:style>
  <w:style w:type="character" w:customStyle="1" w:styleId="116">
    <w:name w:val="textbig1"/>
    <w:qFormat/>
    <w:uiPriority w:val="0"/>
    <w:rPr>
      <w:sz w:val="18"/>
      <w:szCs w:val="18"/>
    </w:rPr>
  </w:style>
  <w:style w:type="character" w:customStyle="1" w:styleId="117">
    <w:name w:val="标题四 Char"/>
    <w:link w:val="118"/>
    <w:qFormat/>
    <w:uiPriority w:val="0"/>
    <w:rPr>
      <w:rFonts w:ascii="楷体_GB2312" w:hAnsi="Calibri" w:eastAsia="楷体_GB2312" w:cs="宋体"/>
      <w:b/>
      <w:sz w:val="24"/>
      <w:szCs w:val="24"/>
    </w:rPr>
  </w:style>
  <w:style w:type="paragraph" w:customStyle="1" w:styleId="118">
    <w:name w:val="标题四"/>
    <w:basedOn w:val="115"/>
    <w:link w:val="117"/>
    <w:qFormat/>
    <w:uiPriority w:val="0"/>
    <w:pPr>
      <w:ind w:firstLine="0" w:firstLineChars="0"/>
    </w:pPr>
    <w:rPr>
      <w:rFonts w:hAnsi="Calibri"/>
      <w:b/>
    </w:rPr>
  </w:style>
  <w:style w:type="character" w:customStyle="1" w:styleId="119">
    <w:name w:val="!1 Char"/>
    <w:link w:val="120"/>
    <w:qFormat/>
    <w:uiPriority w:val="0"/>
    <w:rPr>
      <w:rFonts w:eastAsia="黑体"/>
      <w:kern w:val="2"/>
      <w:sz w:val="28"/>
      <w:szCs w:val="28"/>
    </w:rPr>
  </w:style>
  <w:style w:type="paragraph" w:customStyle="1" w:styleId="120">
    <w:name w:val="!1"/>
    <w:basedOn w:val="1"/>
    <w:link w:val="119"/>
    <w:qFormat/>
    <w:uiPriority w:val="0"/>
    <w:pPr>
      <w:spacing w:line="560" w:lineRule="exact"/>
      <w:ind w:firstLine="560" w:firstLineChars="200"/>
    </w:pPr>
    <w:rPr>
      <w:rFonts w:eastAsia="黑体"/>
      <w:szCs w:val="28"/>
      <w:lang w:val="zh-CN"/>
    </w:rPr>
  </w:style>
  <w:style w:type="character" w:customStyle="1" w:styleId="121">
    <w:name w:val="！正文 Char Char"/>
    <w:link w:val="122"/>
    <w:qFormat/>
    <w:uiPriority w:val="0"/>
    <w:rPr>
      <w:rFonts w:ascii="Calibri" w:hAnsi="Calibri"/>
      <w:sz w:val="24"/>
    </w:rPr>
  </w:style>
  <w:style w:type="paragraph" w:customStyle="1" w:styleId="122">
    <w:name w:val="！正文"/>
    <w:basedOn w:val="1"/>
    <w:link w:val="121"/>
    <w:qFormat/>
    <w:uiPriority w:val="0"/>
    <w:pPr>
      <w:spacing w:line="360" w:lineRule="auto"/>
      <w:ind w:firstLine="200" w:firstLineChars="200"/>
    </w:pPr>
    <w:rPr>
      <w:rFonts w:ascii="Calibri" w:hAnsi="Calibri" w:eastAsia="宋体"/>
      <w:kern w:val="0"/>
      <w:sz w:val="24"/>
      <w:lang w:val="zh-CN"/>
    </w:rPr>
  </w:style>
  <w:style w:type="character" w:customStyle="1" w:styleId="123">
    <w:name w:val="正文四号 Char Char"/>
    <w:link w:val="124"/>
    <w:qFormat/>
    <w:uiPriority w:val="0"/>
    <w:rPr>
      <w:kern w:val="2"/>
      <w:sz w:val="28"/>
    </w:rPr>
  </w:style>
  <w:style w:type="paragraph" w:customStyle="1" w:styleId="124">
    <w:name w:val="正文四号"/>
    <w:basedOn w:val="1"/>
    <w:link w:val="123"/>
    <w:qFormat/>
    <w:uiPriority w:val="0"/>
    <w:pPr>
      <w:spacing w:line="360" w:lineRule="auto"/>
      <w:ind w:firstLine="200" w:firstLineChars="200"/>
    </w:pPr>
    <w:rPr>
      <w:rFonts w:eastAsia="宋体"/>
      <w:lang w:val="zh-CN"/>
    </w:rPr>
  </w:style>
  <w:style w:type="character" w:customStyle="1" w:styleId="125">
    <w:name w:val="表名 Char Char"/>
    <w:link w:val="126"/>
    <w:qFormat/>
    <w:uiPriority w:val="0"/>
    <w:rPr>
      <w:rFonts w:ascii="Arial" w:hAnsi="Arial" w:eastAsia="黑体"/>
      <w:sz w:val="21"/>
    </w:rPr>
  </w:style>
  <w:style w:type="paragraph" w:customStyle="1" w:styleId="126">
    <w:name w:val="表名"/>
    <w:basedOn w:val="1"/>
    <w:link w:val="125"/>
    <w:qFormat/>
    <w:uiPriority w:val="0"/>
    <w:pPr>
      <w:autoSpaceDE w:val="0"/>
      <w:autoSpaceDN w:val="0"/>
      <w:adjustRightInd w:val="0"/>
      <w:spacing w:before="163"/>
      <w:jc w:val="center"/>
      <w:textAlignment w:val="baseline"/>
    </w:pPr>
    <w:rPr>
      <w:rFonts w:ascii="Arial" w:hAnsi="Arial" w:eastAsia="黑体"/>
      <w:kern w:val="0"/>
      <w:sz w:val="21"/>
      <w:lang w:val="zh-CN"/>
    </w:rPr>
  </w:style>
  <w:style w:type="paragraph" w:customStyle="1" w:styleId="12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128">
    <w:name w:val="纯文本2"/>
    <w:basedOn w:val="1"/>
    <w:qFormat/>
    <w:uiPriority w:val="0"/>
    <w:rPr>
      <w:rFonts w:ascii="宋体" w:hAnsi="Courier New" w:eastAsia="宋体"/>
      <w:sz w:val="21"/>
    </w:rPr>
  </w:style>
  <w:style w:type="paragraph" w:customStyle="1" w:styleId="129">
    <w:name w:val="Char1"/>
    <w:basedOn w:val="1"/>
    <w:qFormat/>
    <w:uiPriority w:val="0"/>
    <w:pPr>
      <w:widowControl/>
      <w:spacing w:after="160" w:line="240" w:lineRule="exact"/>
      <w:jc w:val="left"/>
    </w:pPr>
    <w:rPr>
      <w:rFonts w:ascii="Verdana" w:hAnsi="Verdana" w:eastAsia="宋体"/>
      <w:kern w:val="0"/>
      <w:sz w:val="20"/>
      <w:lang w:eastAsia="en-US"/>
    </w:rPr>
  </w:style>
  <w:style w:type="paragraph" w:customStyle="1" w:styleId="130">
    <w:name w:val="0"/>
    <w:basedOn w:val="1"/>
    <w:qFormat/>
    <w:uiPriority w:val="0"/>
    <w:pPr>
      <w:tabs>
        <w:tab w:val="left" w:pos="975"/>
      </w:tabs>
      <w:wordWrap w:val="0"/>
      <w:overflowPunct w:val="0"/>
      <w:snapToGrid w:val="0"/>
      <w:jc w:val="left"/>
    </w:pPr>
    <w:rPr>
      <w:rFonts w:ascii="Arial" w:hAnsi="宋体"/>
      <w:sz w:val="18"/>
    </w:rPr>
  </w:style>
  <w:style w:type="paragraph" w:customStyle="1" w:styleId="131">
    <w:name w:val="Char Char Char Char Char Char Char Char Char Char Char Char Char Char Char Char"/>
    <w:basedOn w:val="1"/>
    <w:qFormat/>
    <w:uiPriority w:val="0"/>
    <w:rPr>
      <w:rFonts w:eastAsia="宋体"/>
      <w:sz w:val="21"/>
      <w:szCs w:val="24"/>
    </w:rPr>
  </w:style>
  <w:style w:type="paragraph" w:customStyle="1" w:styleId="132">
    <w:name w:val="表格正文"/>
    <w:basedOn w:val="1"/>
    <w:qFormat/>
    <w:uiPriority w:val="0"/>
    <w:pPr>
      <w:spacing w:line="360" w:lineRule="exact"/>
      <w:jc w:val="center"/>
    </w:pPr>
    <w:rPr>
      <w:rFonts w:eastAsia="宋体"/>
      <w:sz w:val="21"/>
    </w:rPr>
  </w:style>
  <w:style w:type="paragraph" w:customStyle="1" w:styleId="133">
    <w:name w:val="三级标题"/>
    <w:basedOn w:val="1"/>
    <w:semiHidden/>
    <w:qFormat/>
    <w:uiPriority w:val="0"/>
    <w:pPr>
      <w:keepNext/>
      <w:keepLines/>
      <w:spacing w:line="360" w:lineRule="auto"/>
      <w:outlineLvl w:val="2"/>
    </w:pPr>
    <w:rPr>
      <w:rFonts w:eastAsia="宋体"/>
      <w:b/>
      <w:bCs/>
      <w:sz w:val="24"/>
    </w:rPr>
  </w:style>
  <w:style w:type="paragraph" w:customStyle="1" w:styleId="134">
    <w:name w:val="WPS Plain"/>
    <w:qFormat/>
    <w:uiPriority w:val="0"/>
    <w:rPr>
      <w:rFonts w:ascii="Times New Roman" w:hAnsi="Times New Roman" w:eastAsia="宋体" w:cs="Times New Roman"/>
      <w:lang w:val="en-US" w:eastAsia="zh-CN" w:bidi="ar-SA"/>
    </w:rPr>
  </w:style>
  <w:style w:type="paragraph" w:customStyle="1" w:styleId="135">
    <w:name w:val="01"/>
    <w:basedOn w:val="1"/>
    <w:qFormat/>
    <w:uiPriority w:val="0"/>
    <w:pPr>
      <w:spacing w:line="560" w:lineRule="exact"/>
      <w:ind w:firstLine="200" w:firstLineChars="200"/>
    </w:pPr>
    <w:rPr>
      <w:rFonts w:eastAsia="仿宋"/>
      <w:bCs/>
      <w:sz w:val="32"/>
      <w:szCs w:val="32"/>
    </w:rPr>
  </w:style>
  <w:style w:type="paragraph" w:customStyle="1" w:styleId="136">
    <w:name w:val="表格标题"/>
    <w:basedOn w:val="1"/>
    <w:qFormat/>
    <w:uiPriority w:val="0"/>
    <w:pPr>
      <w:spacing w:before="120"/>
      <w:jc w:val="center"/>
    </w:pPr>
    <w:rPr>
      <w:rFonts w:eastAsia="宋体"/>
      <w:sz w:val="24"/>
    </w:rPr>
  </w:style>
  <w:style w:type="paragraph" w:customStyle="1" w:styleId="137">
    <w:name w:val="1正文段落"/>
    <w:basedOn w:val="1"/>
    <w:qFormat/>
    <w:uiPriority w:val="0"/>
    <w:pPr>
      <w:spacing w:line="360" w:lineRule="auto"/>
      <w:ind w:firstLine="480" w:firstLineChars="200"/>
      <w:jc w:val="left"/>
    </w:pPr>
    <w:rPr>
      <w:rFonts w:eastAsia="宋体"/>
      <w:snapToGrid w:val="0"/>
      <w:kern w:val="0"/>
      <w:sz w:val="24"/>
      <w:szCs w:val="24"/>
    </w:rPr>
  </w:style>
  <w:style w:type="paragraph" w:customStyle="1" w:styleId="138">
    <w:name w:val="正文001"/>
    <w:basedOn w:val="1"/>
    <w:qFormat/>
    <w:uiPriority w:val="0"/>
    <w:pPr>
      <w:spacing w:before="60" w:line="420" w:lineRule="exact"/>
      <w:ind w:firstLine="482"/>
    </w:pPr>
    <w:rPr>
      <w:rFonts w:eastAsia="宋体"/>
      <w:sz w:val="24"/>
    </w:rPr>
  </w:style>
  <w:style w:type="paragraph" w:customStyle="1" w:styleId="139">
    <w:name w:val="Table Paragraph"/>
    <w:basedOn w:val="1"/>
    <w:qFormat/>
    <w:uiPriority w:val="1"/>
    <w:pPr>
      <w:jc w:val="left"/>
    </w:pPr>
    <w:rPr>
      <w:rFonts w:ascii="Calibri" w:hAnsi="Calibri" w:eastAsia="宋体"/>
      <w:kern w:val="0"/>
      <w:sz w:val="22"/>
      <w:szCs w:val="22"/>
      <w:lang w:eastAsia="en-US"/>
    </w:rPr>
  </w:style>
  <w:style w:type="paragraph" w:customStyle="1" w:styleId="140">
    <w:name w:val="p0"/>
    <w:basedOn w:val="1"/>
    <w:qFormat/>
    <w:uiPriority w:val="0"/>
    <w:pPr>
      <w:widowControl/>
    </w:pPr>
    <w:rPr>
      <w:rFonts w:eastAsia="宋体"/>
      <w:kern w:val="0"/>
      <w:sz w:val="21"/>
      <w:szCs w:val="21"/>
    </w:rPr>
  </w:style>
  <w:style w:type="paragraph" w:customStyle="1" w:styleId="141">
    <w:name w:val="新利正文"/>
    <w:basedOn w:val="1"/>
    <w:qFormat/>
    <w:uiPriority w:val="0"/>
    <w:pPr>
      <w:spacing w:beforeLines="25" w:line="440" w:lineRule="exact"/>
      <w:ind w:firstLine="560"/>
    </w:pPr>
    <w:rPr>
      <w:rFonts w:eastAsia="宋体"/>
      <w:color w:val="000000"/>
      <w:sz w:val="24"/>
      <w:szCs w:val="24"/>
    </w:rPr>
  </w:style>
  <w:style w:type="paragraph" w:customStyle="1" w:styleId="142">
    <w:name w:val="标题三！！！！！！！"/>
    <w:basedOn w:val="5"/>
    <w:qFormat/>
    <w:uiPriority w:val="0"/>
    <w:pPr>
      <w:keepNext w:val="0"/>
      <w:keepLines w:val="0"/>
      <w:widowControl/>
      <w:spacing w:before="0" w:after="0" w:line="500" w:lineRule="exact"/>
      <w:jc w:val="left"/>
    </w:pPr>
    <w:rPr>
      <w:rFonts w:ascii="楷体_GB2312" w:hAnsi="楷体_GB2312" w:eastAsia="楷体_GB2312" w:cs="楷体_GB2312"/>
      <w:bCs w:val="0"/>
      <w:kern w:val="0"/>
      <w:sz w:val="28"/>
      <w:szCs w:val="28"/>
    </w:rPr>
  </w:style>
  <w:style w:type="paragraph" w:customStyle="1" w:styleId="143">
    <w:name w:val="正文-2"/>
    <w:basedOn w:val="1"/>
    <w:qFormat/>
    <w:uiPriority w:val="0"/>
    <w:pPr>
      <w:spacing w:line="500" w:lineRule="exact"/>
      <w:ind w:firstLine="200" w:firstLineChars="200"/>
    </w:pPr>
    <w:rPr>
      <w:rFonts w:ascii="宋体"/>
      <w:szCs w:val="28"/>
    </w:rPr>
  </w:style>
  <w:style w:type="paragraph" w:customStyle="1" w:styleId="144">
    <w:name w:val="a)"/>
    <w:basedOn w:val="1"/>
    <w:qFormat/>
    <w:uiPriority w:val="0"/>
    <w:pPr>
      <w:widowControl/>
      <w:adjustRightInd w:val="0"/>
      <w:snapToGrid w:val="0"/>
      <w:spacing w:after="200" w:line="360" w:lineRule="auto"/>
      <w:ind w:firstLine="567"/>
      <w:jc w:val="left"/>
      <w:textAlignment w:val="baseline"/>
    </w:pPr>
    <w:rPr>
      <w:rFonts w:eastAsia="宋体"/>
      <w:kern w:val="0"/>
      <w:sz w:val="24"/>
    </w:rPr>
  </w:style>
  <w:style w:type="paragraph" w:customStyle="1" w:styleId="145">
    <w:name w:val="中文报告书样式"/>
    <w:basedOn w:val="1"/>
    <w:qFormat/>
    <w:uiPriority w:val="0"/>
    <w:pPr>
      <w:adjustRightInd w:val="0"/>
      <w:spacing w:line="480" w:lineRule="atLeast"/>
      <w:ind w:firstLine="482"/>
      <w:textAlignment w:val="baseline"/>
    </w:pPr>
    <w:rPr>
      <w:rFonts w:eastAsia="宋体"/>
      <w:kern w:val="24"/>
      <w:sz w:val="24"/>
    </w:rPr>
  </w:style>
  <w:style w:type="paragraph" w:customStyle="1" w:styleId="146">
    <w:name w:val="正文表"/>
    <w:basedOn w:val="1"/>
    <w:qFormat/>
    <w:uiPriority w:val="0"/>
    <w:pPr>
      <w:spacing w:line="240" w:lineRule="exact"/>
      <w:jc w:val="center"/>
    </w:pPr>
    <w:rPr>
      <w:rFonts w:ascii="仿宋_GB2312" w:hAnsi="宋体"/>
      <w:bCs/>
      <w:sz w:val="21"/>
      <w:szCs w:val="21"/>
    </w:rPr>
  </w:style>
  <w:style w:type="paragraph" w:customStyle="1" w:styleId="147">
    <w:name w:val="表格名称"/>
    <w:basedOn w:val="1"/>
    <w:qFormat/>
    <w:uiPriority w:val="0"/>
    <w:pPr>
      <w:spacing w:beforeLines="50" w:line="240" w:lineRule="atLeast"/>
      <w:jc w:val="center"/>
    </w:pPr>
    <w:rPr>
      <w:rFonts w:ascii="黑体" w:hAnsi="黑体" w:eastAsia="黑体"/>
      <w:kern w:val="0"/>
      <w:sz w:val="24"/>
      <w:szCs w:val="24"/>
    </w:rPr>
  </w:style>
  <w:style w:type="paragraph" w:customStyle="1" w:styleId="148">
    <w:name w:val="表中"/>
    <w:qFormat/>
    <w:uiPriority w:val="0"/>
    <w:pPr>
      <w:widowControl w:val="0"/>
      <w:adjustRightInd w:val="0"/>
      <w:snapToGrid w:val="0"/>
      <w:spacing w:line="280" w:lineRule="exact"/>
      <w:jc w:val="center"/>
    </w:pPr>
    <w:rPr>
      <w:rFonts w:ascii="宋体" w:hAnsi="宋体" w:eastAsia="宋体" w:cs="Times New Roman"/>
      <w:color w:val="003366"/>
      <w:kern w:val="2"/>
      <w:sz w:val="18"/>
      <w:szCs w:val="18"/>
      <w:lang w:val="en-US" w:eastAsia="zh-CN" w:bidi="ar-SA"/>
    </w:rPr>
  </w:style>
  <w:style w:type="paragraph" w:customStyle="1" w:styleId="149">
    <w:name w:val="Char Char Char Char Char Char"/>
    <w:basedOn w:val="1"/>
    <w:qFormat/>
    <w:uiPriority w:val="0"/>
    <w:rPr>
      <w:rFonts w:eastAsia="宋体"/>
      <w:sz w:val="21"/>
      <w:szCs w:val="24"/>
    </w:rPr>
  </w:style>
  <w:style w:type="paragraph" w:customStyle="1" w:styleId="150">
    <w:name w:val="表格内容1"/>
    <w:basedOn w:val="1"/>
    <w:qFormat/>
    <w:uiPriority w:val="0"/>
    <w:pPr>
      <w:tabs>
        <w:tab w:val="left" w:pos="1535"/>
        <w:tab w:val="left" w:pos="3105"/>
        <w:tab w:val="left" w:pos="4676"/>
        <w:tab w:val="left" w:pos="6247"/>
        <w:tab w:val="left" w:pos="7740"/>
        <w:tab w:val="left" w:pos="9288"/>
      </w:tabs>
      <w:adjustRightInd w:val="0"/>
      <w:snapToGrid w:val="0"/>
      <w:spacing w:line="300" w:lineRule="atLeast"/>
      <w:jc w:val="center"/>
    </w:pPr>
    <w:rPr>
      <w:rFonts w:ascii="宋体" w:hAnsi="宋体" w:eastAsia="宋体"/>
      <w:sz w:val="21"/>
    </w:rPr>
  </w:style>
  <w:style w:type="paragraph" w:customStyle="1" w:styleId="151">
    <w:name w:val="样式 样式 文本正文 + (符号) Times New Roman + 首行缩进:  2 字符"/>
    <w:basedOn w:val="1"/>
    <w:qFormat/>
    <w:uiPriority w:val="0"/>
    <w:pPr>
      <w:spacing w:line="500" w:lineRule="exact"/>
      <w:ind w:firstLine="480"/>
    </w:pPr>
    <w:rPr>
      <w:rFonts w:eastAsia="宋体" w:cs="宋体"/>
    </w:rPr>
  </w:style>
  <w:style w:type="paragraph" w:customStyle="1" w:styleId="152">
    <w:name w:val="样式 首行缩进:  2 字符"/>
    <w:basedOn w:val="1"/>
    <w:qFormat/>
    <w:uiPriority w:val="0"/>
    <w:pPr>
      <w:ind w:firstLine="200" w:firstLineChars="200"/>
    </w:pPr>
    <w:rPr>
      <w:rFonts w:ascii="仿宋_GB2312)" w:cs="宋体"/>
    </w:rPr>
  </w:style>
  <w:style w:type="paragraph" w:customStyle="1" w:styleId="153">
    <w:name w:val="2222222222"/>
    <w:basedOn w:val="1"/>
    <w:qFormat/>
    <w:uiPriority w:val="0"/>
    <w:pPr>
      <w:spacing w:line="460" w:lineRule="exact"/>
      <w:ind w:firstLine="200" w:firstLineChars="200"/>
    </w:pPr>
    <w:rPr>
      <w:rFonts w:ascii="宋体" w:hAnsi="宋体" w:eastAsia="宋体"/>
      <w:color w:val="000000"/>
      <w:sz w:val="26"/>
    </w:rPr>
  </w:style>
  <w:style w:type="paragraph" w:customStyle="1" w:styleId="154">
    <w:name w:val="表体"/>
    <w:basedOn w:val="66"/>
    <w:qFormat/>
    <w:uiPriority w:val="0"/>
    <w:pPr>
      <w:overflowPunct w:val="0"/>
      <w:adjustRightInd w:val="0"/>
      <w:spacing w:line="300" w:lineRule="atLeast"/>
      <w:textAlignment w:val="baseline"/>
    </w:pPr>
    <w:rPr>
      <w:rFonts w:eastAsia="宋体"/>
      <w:color w:val="000000"/>
      <w:kern w:val="24"/>
      <w:sz w:val="18"/>
      <w:szCs w:val="20"/>
    </w:rPr>
  </w:style>
  <w:style w:type="paragraph" w:customStyle="1" w:styleId="155">
    <w:name w:val="文字表格1"/>
    <w:qFormat/>
    <w:uiPriority w:val="0"/>
    <w:pPr>
      <w:widowControl w:val="0"/>
      <w:adjustRightInd w:val="0"/>
      <w:snapToGrid w:val="0"/>
      <w:spacing w:line="360" w:lineRule="exact"/>
      <w:jc w:val="center"/>
    </w:pPr>
    <w:rPr>
      <w:rFonts w:ascii="Times New Roman" w:hAnsi="Times New Roman" w:eastAsia="宋体" w:cs="Times New Roman"/>
      <w:b/>
      <w:bCs/>
      <w:color w:val="000000"/>
      <w:sz w:val="21"/>
      <w:szCs w:val="21"/>
      <w:lang w:val="en-US" w:eastAsia="zh-CN" w:bidi="ar-SA"/>
    </w:rPr>
  </w:style>
  <w:style w:type="paragraph" w:customStyle="1" w:styleId="156">
    <w:name w:val="文本框"/>
    <w:basedOn w:val="1"/>
    <w:qFormat/>
    <w:uiPriority w:val="0"/>
    <w:pPr>
      <w:spacing w:line="240" w:lineRule="atLeast"/>
    </w:pPr>
    <w:rPr>
      <w:rFonts w:ascii="宋体" w:eastAsia="宋体"/>
      <w:sz w:val="21"/>
    </w:rPr>
  </w:style>
  <w:style w:type="paragraph" w:styleId="157">
    <w:name w:val="List Paragraph"/>
    <w:basedOn w:val="1"/>
    <w:qFormat/>
    <w:uiPriority w:val="0"/>
    <w:pPr>
      <w:ind w:firstLine="420" w:firstLineChars="200"/>
    </w:pPr>
    <w:rPr>
      <w:rFonts w:ascii="Arial" w:hAnsi="Arial" w:eastAsia="宋体"/>
      <w:sz w:val="24"/>
      <w:szCs w:val="24"/>
    </w:rPr>
  </w:style>
  <w:style w:type="paragraph" w:customStyle="1" w:styleId="158">
    <w:name w:val="Char"/>
    <w:qFormat/>
    <w:uiPriority w:val="0"/>
    <w:pPr>
      <w:widowControl w:val="0"/>
      <w:overflowPunct w:val="0"/>
      <w:snapToGrid w:val="0"/>
      <w:spacing w:line="360" w:lineRule="auto"/>
      <w:ind w:firstLine="480" w:firstLineChars="200"/>
    </w:pPr>
    <w:rPr>
      <w:rFonts w:ascii="仿宋_GB2312" w:hAnsi="宋体" w:eastAsia="仿宋_GB2312" w:cs="Times New Roman"/>
      <w:snapToGrid w:val="0"/>
      <w:sz w:val="24"/>
      <w:szCs w:val="24"/>
      <w:lang w:val="en-US" w:eastAsia="zh-CN" w:bidi="ar-SA"/>
    </w:rPr>
  </w:style>
  <w:style w:type="paragraph" w:customStyle="1" w:styleId="159">
    <w:name w:val="默认段落字体 Para Char"/>
    <w:basedOn w:val="1"/>
    <w:next w:val="1"/>
    <w:qFormat/>
    <w:uiPriority w:val="0"/>
    <w:pPr>
      <w:spacing w:line="360" w:lineRule="auto"/>
      <w:ind w:firstLine="200" w:firstLineChars="200"/>
    </w:pPr>
    <w:rPr>
      <w:rFonts w:eastAsia="宋体"/>
      <w:sz w:val="21"/>
    </w:rPr>
  </w:style>
  <w:style w:type="paragraph" w:customStyle="1" w:styleId="160">
    <w:name w:val="表格样式"/>
    <w:basedOn w:val="1"/>
    <w:qFormat/>
    <w:uiPriority w:val="0"/>
    <w:pPr>
      <w:spacing w:line="360" w:lineRule="exact"/>
      <w:jc w:val="center"/>
    </w:pPr>
    <w:rPr>
      <w:sz w:val="24"/>
      <w:szCs w:val="24"/>
    </w:rPr>
  </w:style>
  <w:style w:type="paragraph" w:customStyle="1" w:styleId="161">
    <w:name w:val="样式 样式 样式 样式1 + 宋体 首行缩进:  2 字符 + 首行缩进:  2 字符 + 首行缩进:  2 字符"/>
    <w:basedOn w:val="1"/>
    <w:qFormat/>
    <w:uiPriority w:val="0"/>
    <w:pPr>
      <w:spacing w:line="360" w:lineRule="auto"/>
      <w:ind w:firstLine="200" w:firstLineChars="200"/>
    </w:pPr>
    <w:rPr>
      <w:rFonts w:ascii="宋体" w:hAnsi="宋体" w:eastAsia="宋体" w:cs="宋体"/>
      <w:sz w:val="24"/>
    </w:rPr>
  </w:style>
  <w:style w:type="paragraph" w:customStyle="1" w:styleId="162">
    <w:name w:val="表格式"/>
    <w:basedOn w:val="23"/>
    <w:qFormat/>
    <w:uiPriority w:val="0"/>
    <w:pPr>
      <w:spacing w:line="400" w:lineRule="exact"/>
      <w:ind w:left="0" w:firstLine="0" w:firstLineChars="0"/>
      <w:jc w:val="center"/>
    </w:pPr>
    <w:rPr>
      <w:rFonts w:ascii="宋体" w:eastAsia="宋体"/>
      <w:sz w:val="21"/>
    </w:rPr>
  </w:style>
  <w:style w:type="paragraph" w:customStyle="1" w:styleId="163">
    <w:name w:val="_Style 1"/>
    <w:qFormat/>
    <w:uiPriority w:val="0"/>
    <w:pPr>
      <w:spacing w:line="360" w:lineRule="auto"/>
      <w:ind w:firstLine="200" w:firstLineChars="200"/>
    </w:pPr>
    <w:rPr>
      <w:rFonts w:ascii="Calibri" w:hAnsi="Calibri" w:eastAsia="宋体" w:cs="Times New Roman"/>
      <w:sz w:val="22"/>
      <w:szCs w:val="22"/>
      <w:lang w:val="en-US" w:eastAsia="zh-CN" w:bidi="ar-SA"/>
    </w:rPr>
  </w:style>
  <w:style w:type="paragraph" w:customStyle="1" w:styleId="164">
    <w:name w:val="正文1 Char"/>
    <w:basedOn w:val="1"/>
    <w:qFormat/>
    <w:uiPriority w:val="0"/>
    <w:pPr>
      <w:snapToGrid w:val="0"/>
      <w:spacing w:line="520" w:lineRule="exact"/>
      <w:ind w:firstLine="560" w:firstLineChars="200"/>
      <w:jc w:val="left"/>
    </w:pPr>
    <w:rPr>
      <w:rFonts w:ascii="宋体" w:hAnsi="宋体" w:eastAsia="宋体" w:cs="宋体"/>
      <w:kern w:val="0"/>
      <w:szCs w:val="28"/>
    </w:rPr>
  </w:style>
  <w:style w:type="paragraph" w:customStyle="1" w:styleId="16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6">
    <w:name w:val="燕山正文"/>
    <w:basedOn w:val="1"/>
    <w:qFormat/>
    <w:uiPriority w:val="0"/>
    <w:pPr>
      <w:spacing w:line="580" w:lineRule="exact"/>
      <w:ind w:firstLine="480" w:firstLineChars="200"/>
      <w:jc w:val="left"/>
    </w:pPr>
    <w:rPr>
      <w:rFonts w:ascii="宋体" w:hAnsi="宋体" w:eastAsia="宋体"/>
      <w:kern w:val="0"/>
      <w:sz w:val="24"/>
      <w:szCs w:val="24"/>
    </w:rPr>
  </w:style>
  <w:style w:type="paragraph" w:customStyle="1" w:styleId="167">
    <w:name w:val="zhang正文"/>
    <w:basedOn w:val="13"/>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168">
    <w:name w:val="表+五号"/>
    <w:basedOn w:val="1"/>
    <w:qFormat/>
    <w:uiPriority w:val="0"/>
    <w:rPr>
      <w:rFonts w:eastAsia="宋体"/>
      <w:sz w:val="21"/>
      <w:szCs w:val="28"/>
    </w:rPr>
  </w:style>
  <w:style w:type="paragraph" w:customStyle="1" w:styleId="169">
    <w:name w:val="报告书"/>
    <w:basedOn w:val="1"/>
    <w:qFormat/>
    <w:uiPriority w:val="0"/>
    <w:pPr>
      <w:autoSpaceDE w:val="0"/>
      <w:autoSpaceDN w:val="0"/>
      <w:adjustRightInd w:val="0"/>
      <w:spacing w:line="520" w:lineRule="exact"/>
      <w:ind w:firstLine="480" w:firstLineChars="200"/>
      <w:jc w:val="left"/>
      <w:textAlignment w:val="bottom"/>
    </w:pPr>
    <w:rPr>
      <w:rFonts w:ascii="宋体" w:hAnsi="宋体" w:eastAsia="宋体" w:cs="宋体"/>
      <w:color w:val="0000FF"/>
      <w:sz w:val="24"/>
    </w:rPr>
  </w:style>
  <w:style w:type="paragraph" w:customStyle="1" w:styleId="170">
    <w:name w:val="Char Char Char Char Char Char Char"/>
    <w:basedOn w:val="1"/>
    <w:qFormat/>
    <w:uiPriority w:val="0"/>
    <w:rPr>
      <w:rFonts w:eastAsia="宋体"/>
      <w:sz w:val="24"/>
      <w:szCs w:val="24"/>
    </w:rPr>
  </w:style>
  <w:style w:type="paragraph" w:customStyle="1" w:styleId="171">
    <w:name w:val="表格1"/>
    <w:basedOn w:val="1"/>
    <w:qFormat/>
    <w:uiPriority w:val="0"/>
    <w:pPr>
      <w:adjustRightInd w:val="0"/>
      <w:spacing w:line="400" w:lineRule="atLeast"/>
      <w:ind w:firstLine="200" w:firstLineChars="200"/>
      <w:jc w:val="center"/>
      <w:textAlignment w:val="baseline"/>
    </w:pPr>
    <w:rPr>
      <w:rFonts w:eastAsia="宋体"/>
      <w:kern w:val="0"/>
      <w:sz w:val="24"/>
    </w:rPr>
  </w:style>
  <w:style w:type="paragraph" w:customStyle="1" w:styleId="172">
    <w:name w:val="报告表正文"/>
    <w:basedOn w:val="1"/>
    <w:qFormat/>
    <w:uiPriority w:val="0"/>
    <w:pPr>
      <w:adjustRightInd w:val="0"/>
      <w:spacing w:line="312" w:lineRule="auto"/>
      <w:ind w:left="113" w:right="113" w:firstLine="482"/>
      <w:jc w:val="left"/>
      <w:textAlignment w:val="baseline"/>
    </w:pPr>
    <w:rPr>
      <w:rFonts w:eastAsia="宋体"/>
      <w:kern w:val="0"/>
      <w:sz w:val="24"/>
    </w:rPr>
  </w:style>
  <w:style w:type="paragraph" w:customStyle="1" w:styleId="173">
    <w:name w:val="Char Char Char Char Char Char Char Char Char Char"/>
    <w:basedOn w:val="1"/>
    <w:qFormat/>
    <w:uiPriority w:val="0"/>
    <w:rPr>
      <w:rFonts w:ascii="Tahoma" w:hAnsi="Tahoma" w:eastAsia="宋体"/>
      <w:sz w:val="24"/>
    </w:rPr>
  </w:style>
  <w:style w:type="paragraph" w:customStyle="1" w:styleId="174">
    <w:name w:val="表样式2"/>
    <w:basedOn w:val="1"/>
    <w:qFormat/>
    <w:uiPriority w:val="0"/>
    <w:pPr>
      <w:adjustRightInd w:val="0"/>
      <w:snapToGrid w:val="0"/>
      <w:spacing w:line="420" w:lineRule="exact"/>
      <w:ind w:firstLine="200" w:firstLineChars="200"/>
    </w:pPr>
    <w:rPr>
      <w:rFonts w:eastAsia="宋体"/>
      <w:sz w:val="24"/>
      <w:szCs w:val="24"/>
    </w:rPr>
  </w:style>
  <w:style w:type="paragraph" w:customStyle="1" w:styleId="175">
    <w:name w:val="表格头"/>
    <w:qFormat/>
    <w:uiPriority w:val="0"/>
    <w:pPr>
      <w:spacing w:before="120" w:after="120" w:line="480" w:lineRule="atLeast"/>
      <w:jc w:val="center"/>
    </w:pPr>
    <w:rPr>
      <w:rFonts w:ascii="Times New Roman" w:hAnsi="Times New Roman" w:eastAsia="宋体" w:cs="Times New Roman"/>
      <w:sz w:val="24"/>
      <w:lang w:val="en-US" w:eastAsia="zh-CN" w:bidi="ar-SA"/>
    </w:rPr>
  </w:style>
  <w:style w:type="paragraph" w:customStyle="1" w:styleId="176">
    <w:name w:val="表格小"/>
    <w:basedOn w:val="1"/>
    <w:qFormat/>
    <w:uiPriority w:val="0"/>
    <w:pPr>
      <w:spacing w:line="520" w:lineRule="exact"/>
      <w:ind w:firstLine="200" w:firstLineChars="200"/>
      <w:jc w:val="center"/>
    </w:pPr>
    <w:rPr>
      <w:rFonts w:eastAsia="宋体"/>
      <w:sz w:val="18"/>
      <w:szCs w:val="24"/>
    </w:rPr>
  </w:style>
  <w:style w:type="paragraph" w:customStyle="1" w:styleId="177">
    <w:name w:val="样式 样式 样式 样式 首行缩进:  2 字符 段后: 0.5 行 + 首行缩进:  2 字符 段后: 0.5 行 + 黑体 小...2"/>
    <w:basedOn w:val="1"/>
    <w:qFormat/>
    <w:uiPriority w:val="0"/>
    <w:pPr>
      <w:spacing w:line="640" w:lineRule="exact"/>
      <w:jc w:val="center"/>
    </w:pPr>
    <w:rPr>
      <w:rFonts w:eastAsia="宋体" w:cs="宋体"/>
      <w:b/>
    </w:rPr>
  </w:style>
  <w:style w:type="paragraph" w:customStyle="1" w:styleId="178">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宋体"/>
      <w:color w:val="FF0000"/>
      <w:kern w:val="0"/>
      <w:sz w:val="18"/>
      <w:szCs w:val="18"/>
    </w:rPr>
  </w:style>
  <w:style w:type="paragraph" w:customStyle="1" w:styleId="179">
    <w:name w:val="表文2"/>
    <w:basedOn w:val="1"/>
    <w:qFormat/>
    <w:uiPriority w:val="0"/>
    <w:pPr>
      <w:overflowPunct w:val="0"/>
      <w:autoSpaceDE w:val="0"/>
      <w:autoSpaceDN w:val="0"/>
      <w:adjustRightInd w:val="0"/>
      <w:spacing w:line="140" w:lineRule="atLeast"/>
      <w:jc w:val="center"/>
      <w:textAlignment w:val="baseline"/>
    </w:pPr>
    <w:rPr>
      <w:rFonts w:eastAsia="宋体"/>
      <w:color w:val="000000"/>
      <w:kern w:val="0"/>
      <w:sz w:val="21"/>
    </w:rPr>
  </w:style>
  <w:style w:type="table" w:customStyle="1" w:styleId="180">
    <w:name w:val="Table Normal"/>
    <w:unhideWhenUsed/>
    <w:qFormat/>
    <w:uiPriority w:val="2"/>
    <w:pPr>
      <w:widowControl w:val="0"/>
    </w:pPr>
    <w:rPr>
      <w:rFonts w:ascii="Calibri" w:hAnsi="Calibri"/>
      <w:sz w:val="22"/>
      <w:szCs w:val="22"/>
      <w:lang w:eastAsia="en-US"/>
    </w:rPr>
    <w:tblPr>
      <w:tblLayout w:type="fixed"/>
      <w:tblCellMar>
        <w:top w:w="0" w:type="dxa"/>
        <w:left w:w="0" w:type="dxa"/>
        <w:bottom w:w="0" w:type="dxa"/>
        <w:right w:w="0" w:type="dxa"/>
      </w:tblCellMar>
    </w:tblPr>
  </w:style>
  <w:style w:type="character" w:customStyle="1" w:styleId="181">
    <w:name w:val="标准文本 首行缩进:2 字符 行距1倍 Char1"/>
    <w:link w:val="182"/>
    <w:qFormat/>
    <w:uiPriority w:val="0"/>
    <w:rPr>
      <w:rFonts w:cs="宋体"/>
      <w:kern w:val="2"/>
      <w:sz w:val="24"/>
    </w:rPr>
  </w:style>
  <w:style w:type="paragraph" w:customStyle="1" w:styleId="182">
    <w:name w:val="标准文本 首行缩进:2 字符 行距1倍"/>
    <w:basedOn w:val="1"/>
    <w:link w:val="181"/>
    <w:qFormat/>
    <w:uiPriority w:val="0"/>
    <w:pPr>
      <w:adjustRightInd w:val="0"/>
      <w:snapToGrid w:val="0"/>
      <w:spacing w:line="460" w:lineRule="exact"/>
      <w:ind w:firstLine="540" w:firstLineChars="225"/>
      <w:textAlignment w:val="center"/>
    </w:pPr>
    <w:rPr>
      <w:rFonts w:eastAsia="宋体" w:cs="宋体"/>
      <w:sz w:val="24"/>
    </w:rPr>
  </w:style>
  <w:style w:type="character" w:customStyle="1" w:styleId="183">
    <w:name w:val="表格表头 Char Char"/>
    <w:link w:val="184"/>
    <w:qFormat/>
    <w:uiPriority w:val="0"/>
    <w:rPr>
      <w:b/>
      <w:sz w:val="24"/>
      <w:szCs w:val="21"/>
    </w:rPr>
  </w:style>
  <w:style w:type="paragraph" w:customStyle="1" w:styleId="184">
    <w:name w:val="表格表头"/>
    <w:basedOn w:val="1"/>
    <w:link w:val="183"/>
    <w:qFormat/>
    <w:uiPriority w:val="0"/>
    <w:pPr>
      <w:spacing w:beforeLines="50"/>
      <w:jc w:val="center"/>
    </w:pPr>
    <w:rPr>
      <w:rFonts w:eastAsia="宋体"/>
      <w:b/>
      <w:kern w:val="0"/>
      <w:sz w:val="24"/>
      <w:szCs w:val="21"/>
    </w:rPr>
  </w:style>
  <w:style w:type="paragraph" w:styleId="185">
    <w:name w:val="No Spacing"/>
    <w:qFormat/>
    <w:uiPriority w:val="1"/>
    <w:pPr>
      <w:jc w:val="center"/>
    </w:pPr>
    <w:rPr>
      <w:rFonts w:ascii="Times New Roman" w:hAnsi="Times New Roman" w:eastAsia="Times New Roman" w:cs="Times New Roman"/>
      <w:kern w:val="2"/>
      <w:sz w:val="21"/>
      <w:lang w:val="en-US" w:eastAsia="zh-CN" w:bidi="ar-SA"/>
    </w:rPr>
  </w:style>
  <w:style w:type="paragraph" w:customStyle="1" w:styleId="186">
    <w:name w:val="表格文字小四号"/>
    <w:basedOn w:val="1"/>
    <w:qFormat/>
    <w:uiPriority w:val="0"/>
    <w:pPr>
      <w:spacing w:line="320" w:lineRule="exact"/>
      <w:jc w:val="center"/>
    </w:pPr>
    <w:rPr>
      <w:rFonts w:ascii="宋体" w:hAnsi="Calibri" w:eastAsia="宋体"/>
      <w:sz w:val="24"/>
      <w:szCs w:val="24"/>
    </w:rPr>
  </w:style>
  <w:style w:type="character" w:customStyle="1" w:styleId="187">
    <w:name w:val="样式5 Char"/>
    <w:link w:val="188"/>
    <w:qFormat/>
    <w:uiPriority w:val="0"/>
    <w:rPr>
      <w:b/>
    </w:rPr>
  </w:style>
  <w:style w:type="paragraph" w:customStyle="1" w:styleId="188">
    <w:name w:val="样式5"/>
    <w:basedOn w:val="1"/>
    <w:link w:val="187"/>
    <w:qFormat/>
    <w:uiPriority w:val="0"/>
    <w:pPr>
      <w:jc w:val="center"/>
    </w:pPr>
    <w:rPr>
      <w:rFonts w:eastAsia="宋体"/>
      <w:b/>
      <w:kern w:val="0"/>
      <w:sz w:val="20"/>
    </w:rPr>
  </w:style>
  <w:style w:type="paragraph" w:customStyle="1" w:styleId="189">
    <w:name w:val="样式12"/>
    <w:basedOn w:val="188"/>
    <w:qFormat/>
    <w:uiPriority w:val="0"/>
    <w:pPr>
      <w:outlineLvl w:val="1"/>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wmf"/><Relationship Id="rId16" Type="http://schemas.openxmlformats.org/officeDocument/2006/relationships/oleObject" Target="embeddings/oleObject3.bin"/><Relationship Id="rId15" Type="http://schemas.openxmlformats.org/officeDocument/2006/relationships/image" Target="media/image6.wmf"/><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FDF0B9-90DE-4004-ACD8-17A8E53C495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65</Pages>
  <Words>5998</Words>
  <Characters>34191</Characters>
  <Lines>284</Lines>
  <Paragraphs>80</Paragraphs>
  <TotalTime>6</TotalTime>
  <ScaleCrop>false</ScaleCrop>
  <LinksUpToDate>false</LinksUpToDate>
  <CharactersWithSpaces>40109</CharactersWithSpaces>
  <Application>WPS Office_11.1.0.8799_F1E327BC-269C-435d-A152-05C5408002CA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2019-09-04T15:00:00Z</dcterms:created>
  <dc:creator>elnino</dc:creator>
  <cp:lastModifiedBy>asus</cp:lastModifiedBy>
  <cp:lastPrinted>2019-05-31T02:56:00Z</cp:lastPrinted>
  <dcterms:modified xsi:type="dcterms:W3CDTF">2019-10-30T14:37:14Z</dcterms:modified>
  <dc:title>《建设项目环境影响报告表》编制说明</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