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昌吉州城乡规划管理局</w:t>
      </w:r>
      <w:r>
        <w:rPr>
          <w:rFonts w:hint="eastAsia" w:ascii="华文中宋" w:hAnsi="华文中宋" w:eastAsia="华文中宋"/>
          <w:sz w:val="36"/>
          <w:szCs w:val="36"/>
        </w:rPr>
        <w:t>调整预算补充公开说明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根据自治州党委、人民政府《关于&lt;昌吉回族自治州机构改革方案&gt;的实施意见》（昌州党办发[2019]1号）要求，按照《关于涉改部门单位调整预算的通知》（昌州财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华文中宋" w:eastAsia="仿宋_GB2312"/>
          <w:sz w:val="32"/>
          <w:szCs w:val="32"/>
        </w:rPr>
        <w:t>函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号），调整部门单位预算。现将我单位预算调整补充公开如下：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单位职能划转情况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我单位主要职能为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（1）贯彻执行国家、自治区有关城市发展及城市规划的 方针、政策和法律、法规；研究拟定自治州城乡规划发展战 略和城乡规划的规范性文件，并组织实施；对全州规划事业 进行行业管理。 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（2）指导全州城市规划、村镇规划、城市勘察和市政工 程测量工作，组织、指导编制自治州城镇体系规划、城镇总 体规划、风景名胜区规划、分区规划、控制性详细规划、修 建性详细规划、村镇规划以及各类专业、专项规划，指导边 境口岸的建设规划工作。负责全州各县市城镇体系规划、城 乡总体规划的审核、报批工作，负责权限内城市详细规划和 专项规划的核准工作。 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（3）负责城乡建设用地和建设项目的规划管理工作。负 责权限内建设项目选址意见书的审批，核发建设用地用地规 划许可证和建设工程规划许可证；参与建设工程的竣工验 收。 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（4）负责规划行业和规划设计市场的管理。研究制定行 业发展规划，组织推动规划行业技术进步；负责乙级、丙级 规划编制单位资质审核和规划设计单位的验证工作。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（5）负责组织各项规划实施情况的检查和各类建设项目 的规划监督管理，负责自治州城乡规划的行政执法管理，查 处各县市城乡规划的重大违法建设项目及违法案件，受理城 乡规划行政复议案件。 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（6）负责组织、指导城乡规划管理地理信息系统建设和 城建档案资料管理。 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（7）参与自治州国土和区域规划以及大中型建设项目的 可行性研究工作。 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（8）负责城市雕塑和城市地下空间开发利用的规划管理 工作，承担对历史文化名城、历史文化街区、历史文化建筑 相关的审查报批和保护监督。 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（9）承办州人民政府交办的其他事项。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贯彻落实自治州党政机构改革工作部署，本次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整体划入昌吉州自然资源局。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预算调整情况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经自治州第十五届人代会批复我单位2019年年初部门预算总额为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272.36</w:t>
      </w:r>
      <w:r>
        <w:rPr>
          <w:rFonts w:hint="eastAsia" w:ascii="仿宋_GB2312" w:hAnsi="华文中宋" w:eastAsia="仿宋_GB2312"/>
          <w:sz w:val="32"/>
          <w:szCs w:val="32"/>
        </w:rPr>
        <w:t>万元，本次调减预算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272.36</w:t>
      </w:r>
      <w:r>
        <w:rPr>
          <w:rFonts w:hint="eastAsia" w:ascii="仿宋_GB2312" w:hAnsi="华文中宋" w:eastAsia="仿宋_GB2312"/>
          <w:sz w:val="32"/>
          <w:szCs w:val="32"/>
        </w:rPr>
        <w:t>万元。具体情况为：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划出：整体划出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昌吉州城乡规划管理局</w:t>
      </w:r>
      <w:r>
        <w:rPr>
          <w:rFonts w:hint="eastAsia" w:ascii="仿宋_GB2312" w:hAnsi="华文中宋" w:eastAsia="仿宋_GB2312"/>
          <w:sz w:val="32"/>
          <w:szCs w:val="32"/>
        </w:rPr>
        <w:t>，划出预算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272.36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267.36</w:t>
      </w:r>
      <w:r>
        <w:rPr>
          <w:rFonts w:hint="eastAsia" w:ascii="仿宋_GB2312" w:hAnsi="华文中宋" w:eastAsia="仿宋_GB2312"/>
          <w:sz w:val="32"/>
          <w:szCs w:val="32"/>
        </w:rPr>
        <w:t>万元；项目支出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firstLine="160" w:firstLineChars="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“三公”经费变化情况为：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无变化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三、绩效目标调整情况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因项目金额、性质发生变化，原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州城乡规划管理局</w:t>
      </w:r>
      <w:r>
        <w:rPr>
          <w:rFonts w:hint="eastAsia" w:ascii="仿宋_GB2312" w:hAnsi="华文中宋" w:eastAsia="仿宋_GB2312"/>
          <w:sz w:val="32"/>
          <w:szCs w:val="32"/>
        </w:rPr>
        <w:t>项目经费绩效目标调整同步调整。</w:t>
      </w:r>
    </w:p>
    <w:p>
      <w:pPr>
        <w:ind w:left="481" w:leftChars="229" w:firstLine="160" w:firstLineChars="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以上具体情况，详见附件。</w:t>
      </w:r>
      <w:bookmarkStart w:id="0" w:name="_GoBack"/>
      <w:bookmarkEnd w:id="0"/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1：自治州党政机关机构改革预算调整表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2：项目绩效目标调整情况表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        2019年6月27日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C5F6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批注框文本1"/>
    <w:basedOn w:val="1"/>
    <w:link w:val="7"/>
    <w:uiPriority w:val="0"/>
    <w:rPr>
      <w:sz w:val="18"/>
      <w:szCs w:val="18"/>
    </w:rPr>
  </w:style>
  <w:style w:type="character" w:customStyle="1" w:styleId="7">
    <w:name w:val="批注框文本 Char"/>
    <w:basedOn w:val="5"/>
    <w:link w:val="6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页眉 Char"/>
    <w:basedOn w:val="5"/>
    <w:link w:val="3"/>
    <w:semiHidden/>
    <w:uiPriority w:val="0"/>
    <w:rPr>
      <w:sz w:val="18"/>
      <w:szCs w:val="18"/>
    </w:rPr>
  </w:style>
  <w:style w:type="paragraph" w:customStyle="1" w:styleId="10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407</Characters>
  <Lines>3</Lines>
  <Paragraphs>1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2019-07-04T13:19:00Z</dcterms:created>
  <dc:creator>刘大军（预算处）</dc:creator>
  <cp:lastModifiedBy>〃微笑姠暖ツ</cp:lastModifiedBy>
  <cp:lastPrinted>2019-03-16T09:32:00Z</cp:lastPrinted>
  <dcterms:modified xsi:type="dcterms:W3CDTF">2019-07-24T05:37:14Z</dcterms:modified>
  <dc:title>〃微笑姠暖ツ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