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jc w:val="center"/>
        <w:rPr>
          <w:rFonts w:hint="eastAsia" w:hAnsi="宋体"/>
          <w:b/>
          <w:sz w:val="24"/>
        </w:rPr>
      </w:pPr>
      <w:r>
        <w:rPr>
          <w:rFonts w:hint="eastAsia" w:hAnsi="宋体"/>
          <w:b/>
          <w:sz w:val="24"/>
        </w:rPr>
        <w:t>新疆新安特钢有限公司年产100万吨绿色智能高速棒材-型材生产线技术改造</w:t>
      </w:r>
    </w:p>
    <w:p>
      <w:pPr>
        <w:spacing w:line="500" w:lineRule="exact"/>
        <w:jc w:val="center"/>
      </w:pPr>
      <w:r>
        <w:rPr>
          <w:rFonts w:hint="eastAsia" w:hAnsi="宋体"/>
          <w:b/>
          <w:sz w:val="24"/>
        </w:rPr>
        <w:t>建设项目</w:t>
      </w:r>
      <w:r>
        <w:rPr>
          <w:rFonts w:hAnsi="宋体"/>
          <w:b/>
          <w:sz w:val="24"/>
        </w:rPr>
        <w:t>专家意见修改索引</w:t>
      </w:r>
    </w:p>
    <w:tbl>
      <w:tblPr>
        <w:tblStyle w:val="1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
        <w:gridCol w:w="2121"/>
        <w:gridCol w:w="4678"/>
        <w:gridCol w:w="769"/>
        <w:gridCol w:w="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 w:type="dxa"/>
            <w:vMerge w:val="restart"/>
            <w:tcMar>
              <w:top w:w="57" w:type="dxa"/>
              <w:left w:w="28" w:type="dxa"/>
              <w:bottom w:w="57" w:type="dxa"/>
              <w:right w:w="28" w:type="dxa"/>
            </w:tcMar>
            <w:vAlign w:val="center"/>
          </w:tcPr>
          <w:p>
            <w:pPr>
              <w:jc w:val="center"/>
              <w:rPr>
                <w:rFonts w:eastAsia="宋体"/>
                <w:szCs w:val="21"/>
              </w:rPr>
            </w:pPr>
            <w:r>
              <w:rPr>
                <w:rFonts w:eastAsia="宋体"/>
                <w:szCs w:val="21"/>
              </w:rPr>
              <w:t>序号</w:t>
            </w:r>
          </w:p>
        </w:tc>
        <w:tc>
          <w:tcPr>
            <w:tcW w:w="2121" w:type="dxa"/>
            <w:vMerge w:val="restart"/>
            <w:tcMar>
              <w:top w:w="57" w:type="dxa"/>
              <w:left w:w="28" w:type="dxa"/>
              <w:bottom w:w="57" w:type="dxa"/>
              <w:right w:w="28" w:type="dxa"/>
            </w:tcMar>
            <w:vAlign w:val="center"/>
          </w:tcPr>
          <w:p>
            <w:pPr>
              <w:jc w:val="center"/>
              <w:rPr>
                <w:rFonts w:eastAsia="宋体"/>
                <w:szCs w:val="21"/>
              </w:rPr>
            </w:pPr>
            <w:r>
              <w:rPr>
                <w:rFonts w:eastAsia="宋体"/>
                <w:szCs w:val="21"/>
              </w:rPr>
              <w:t>专家评审意见</w:t>
            </w:r>
          </w:p>
        </w:tc>
        <w:tc>
          <w:tcPr>
            <w:tcW w:w="5447" w:type="dxa"/>
            <w:gridSpan w:val="2"/>
            <w:tcMar>
              <w:top w:w="57" w:type="dxa"/>
              <w:left w:w="28" w:type="dxa"/>
              <w:bottom w:w="57" w:type="dxa"/>
              <w:right w:w="28" w:type="dxa"/>
            </w:tcMar>
            <w:vAlign w:val="center"/>
          </w:tcPr>
          <w:p>
            <w:pPr>
              <w:jc w:val="center"/>
              <w:rPr>
                <w:rFonts w:eastAsia="宋体"/>
                <w:szCs w:val="21"/>
              </w:rPr>
            </w:pPr>
            <w:r>
              <w:rPr>
                <w:rFonts w:eastAsia="宋体"/>
                <w:szCs w:val="21"/>
              </w:rPr>
              <w:t>修改</w:t>
            </w:r>
          </w:p>
        </w:tc>
        <w:tc>
          <w:tcPr>
            <w:tcW w:w="444" w:type="dxa"/>
            <w:vMerge w:val="restart"/>
            <w:vAlign w:val="center"/>
          </w:tcPr>
          <w:p>
            <w:pPr>
              <w:jc w:val="center"/>
              <w:rPr>
                <w:rFonts w:eastAsia="宋体"/>
                <w:szCs w:val="21"/>
              </w:rPr>
            </w:pPr>
            <w:r>
              <w:rPr>
                <w:rFonts w:eastAsia="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 w:type="dxa"/>
            <w:vMerge w:val="continue"/>
            <w:tcMar>
              <w:top w:w="57" w:type="dxa"/>
              <w:left w:w="28" w:type="dxa"/>
              <w:bottom w:w="57" w:type="dxa"/>
              <w:right w:w="28" w:type="dxa"/>
            </w:tcMar>
            <w:vAlign w:val="center"/>
          </w:tcPr>
          <w:p>
            <w:pPr>
              <w:jc w:val="center"/>
              <w:rPr>
                <w:rFonts w:eastAsia="宋体"/>
                <w:szCs w:val="21"/>
              </w:rPr>
            </w:pPr>
          </w:p>
        </w:tc>
        <w:tc>
          <w:tcPr>
            <w:tcW w:w="2121" w:type="dxa"/>
            <w:vMerge w:val="continue"/>
            <w:tcMar>
              <w:top w:w="57" w:type="dxa"/>
              <w:left w:w="28" w:type="dxa"/>
              <w:bottom w:w="57" w:type="dxa"/>
              <w:right w:w="28" w:type="dxa"/>
            </w:tcMar>
            <w:vAlign w:val="center"/>
          </w:tcPr>
          <w:p>
            <w:pPr>
              <w:jc w:val="center"/>
              <w:rPr>
                <w:rFonts w:eastAsia="宋体"/>
                <w:szCs w:val="21"/>
              </w:rPr>
            </w:pPr>
          </w:p>
        </w:tc>
        <w:tc>
          <w:tcPr>
            <w:tcW w:w="4678" w:type="dxa"/>
            <w:tcMar>
              <w:top w:w="57" w:type="dxa"/>
              <w:left w:w="28" w:type="dxa"/>
              <w:bottom w:w="57" w:type="dxa"/>
              <w:right w:w="28" w:type="dxa"/>
            </w:tcMar>
            <w:vAlign w:val="center"/>
          </w:tcPr>
          <w:p>
            <w:pPr>
              <w:jc w:val="center"/>
              <w:rPr>
                <w:rFonts w:eastAsia="宋体"/>
                <w:szCs w:val="21"/>
              </w:rPr>
            </w:pPr>
            <w:r>
              <w:rPr>
                <w:rFonts w:eastAsia="宋体"/>
                <w:szCs w:val="21"/>
              </w:rPr>
              <w:t>内容</w:t>
            </w:r>
          </w:p>
        </w:tc>
        <w:tc>
          <w:tcPr>
            <w:tcW w:w="769" w:type="dxa"/>
            <w:vAlign w:val="center"/>
          </w:tcPr>
          <w:p>
            <w:pPr>
              <w:jc w:val="center"/>
              <w:rPr>
                <w:rFonts w:eastAsia="宋体"/>
                <w:szCs w:val="21"/>
              </w:rPr>
            </w:pPr>
            <w:r>
              <w:rPr>
                <w:rFonts w:eastAsia="宋体"/>
                <w:szCs w:val="21"/>
              </w:rPr>
              <w:t>页 码</w:t>
            </w:r>
          </w:p>
        </w:tc>
        <w:tc>
          <w:tcPr>
            <w:tcW w:w="444" w:type="dxa"/>
            <w:vMerge w:val="continue"/>
            <w:vAlign w:val="center"/>
          </w:tcPr>
          <w:p>
            <w:pPr>
              <w:jc w:val="cente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7" w:hRule="atLeast"/>
          <w:jc w:val="center"/>
        </w:trPr>
        <w:tc>
          <w:tcPr>
            <w:tcW w:w="284" w:type="dxa"/>
            <w:tcMar>
              <w:top w:w="57" w:type="dxa"/>
              <w:left w:w="28" w:type="dxa"/>
              <w:bottom w:w="57" w:type="dxa"/>
              <w:right w:w="28" w:type="dxa"/>
            </w:tcMar>
            <w:vAlign w:val="center"/>
          </w:tcPr>
          <w:p>
            <w:pPr>
              <w:jc w:val="center"/>
              <w:rPr>
                <w:rFonts w:eastAsia="宋体"/>
                <w:szCs w:val="21"/>
              </w:rPr>
            </w:pPr>
            <w:r>
              <w:rPr>
                <w:rFonts w:eastAsia="宋体"/>
                <w:szCs w:val="21"/>
              </w:rPr>
              <w:t>1</w:t>
            </w:r>
          </w:p>
        </w:tc>
        <w:tc>
          <w:tcPr>
            <w:tcW w:w="2121" w:type="dxa"/>
            <w:tcMar>
              <w:top w:w="57" w:type="dxa"/>
              <w:left w:w="28" w:type="dxa"/>
              <w:bottom w:w="57" w:type="dxa"/>
              <w:right w:w="28" w:type="dxa"/>
            </w:tcMar>
            <w:vAlign w:val="center"/>
          </w:tcPr>
          <w:p>
            <w:pPr>
              <w:pStyle w:val="5"/>
              <w:widowControl/>
              <w:spacing w:line="240" w:lineRule="auto"/>
              <w:ind w:firstLine="420" w:firstLineChars="0"/>
              <w:jc w:val="center"/>
              <w:rPr>
                <w:rFonts w:hint="eastAsia" w:hAnsi="Times New Roman" w:eastAsia="宋体"/>
                <w:sz w:val="21"/>
                <w:szCs w:val="21"/>
              </w:rPr>
            </w:pPr>
            <w:r>
              <w:rPr>
                <w:rFonts w:hint="eastAsia" w:hAnsi="Times New Roman" w:eastAsia="宋体"/>
                <w:sz w:val="21"/>
                <w:szCs w:val="21"/>
              </w:rPr>
              <w:t>细化项目与园区规划及规划环评、产业政策、乌昌石区域环境同防同治实施方案、新疆维吾尔自治区重点行业准入条件等符合性分析。</w:t>
            </w:r>
          </w:p>
          <w:p>
            <w:pPr>
              <w:jc w:val="center"/>
              <w:rPr>
                <w:rFonts w:eastAsia="宋体"/>
                <w:szCs w:val="21"/>
              </w:rPr>
            </w:pPr>
          </w:p>
        </w:tc>
        <w:tc>
          <w:tcPr>
            <w:tcW w:w="4678" w:type="dxa"/>
            <w:tcMar>
              <w:top w:w="57" w:type="dxa"/>
              <w:left w:w="28" w:type="dxa"/>
              <w:bottom w:w="57" w:type="dxa"/>
              <w:right w:w="28" w:type="dxa"/>
            </w:tcMar>
            <w:vAlign w:val="center"/>
          </w:tcPr>
          <w:p>
            <w:pPr>
              <w:jc w:val="center"/>
              <w:rPr>
                <w:rFonts w:hint="eastAsia" w:eastAsia="宋体"/>
                <w:szCs w:val="21"/>
                <w:lang w:val="en-US" w:eastAsia="zh-CN"/>
              </w:rPr>
            </w:pPr>
            <w:r>
              <w:rPr>
                <w:rFonts w:hint="eastAsia"/>
                <w:sz w:val="21"/>
                <w:szCs w:val="21"/>
                <w:lang w:val="en-US" w:eastAsia="zh-CN"/>
              </w:rPr>
              <w:t>已补充细化本项目与园区规划及规划环评符合性分析；补充完善产业政策与与《关于加强乌鲁木齐、昌吉、石河子、五家渠区域环境同防同治的意见》相符性；</w:t>
            </w:r>
            <w:r>
              <w:rPr>
                <w:rFonts w:hint="eastAsia" w:hAnsi="Times New Roman" w:eastAsia="宋体"/>
                <w:sz w:val="21"/>
                <w:szCs w:val="21"/>
              </w:rPr>
              <w:t>新疆维吾尔自治区重点行业准入条件</w:t>
            </w:r>
            <w:r>
              <w:rPr>
                <w:rFonts w:hint="eastAsia"/>
                <w:sz w:val="21"/>
                <w:szCs w:val="21"/>
                <w:lang w:eastAsia="zh-CN"/>
              </w:rPr>
              <w:t>（</w:t>
            </w:r>
            <w:r>
              <w:rPr>
                <w:rFonts w:hint="eastAsia"/>
                <w:sz w:val="21"/>
                <w:szCs w:val="21"/>
                <w:lang w:val="en-US" w:eastAsia="zh-CN"/>
              </w:rPr>
              <w:t>实行</w:t>
            </w:r>
            <w:r>
              <w:rPr>
                <w:rFonts w:hint="eastAsia"/>
                <w:sz w:val="21"/>
                <w:szCs w:val="21"/>
                <w:lang w:eastAsia="zh-CN"/>
              </w:rPr>
              <w:t>）</w:t>
            </w:r>
            <w:r>
              <w:rPr>
                <w:rFonts w:hint="eastAsia"/>
                <w:sz w:val="21"/>
                <w:szCs w:val="21"/>
                <w:lang w:val="en-US" w:eastAsia="zh-CN"/>
              </w:rPr>
              <w:t>中制定非金属矿采选、金属矿采选、煤炭采选、化工（电石、氯碱、焦化）、电力、有色金属冶炼、纺织（棉浆粕、粘胶纤维、棉纺、印染行业）等七个主要行业的环境准入条件，本项目属于黑色金属冶炼和压延加工业，不在上述七个行业内。</w:t>
            </w:r>
          </w:p>
        </w:tc>
        <w:tc>
          <w:tcPr>
            <w:tcW w:w="769" w:type="dxa"/>
            <w:vAlign w:val="center"/>
          </w:tcPr>
          <w:p>
            <w:pPr>
              <w:jc w:val="center"/>
              <w:rPr>
                <w:rFonts w:hint="eastAsia" w:eastAsia="宋体"/>
                <w:szCs w:val="21"/>
                <w:lang w:val="en-US" w:eastAsia="zh-CN"/>
              </w:rPr>
            </w:pPr>
            <w:r>
              <w:rPr>
                <w:rFonts w:eastAsia="宋体"/>
                <w:szCs w:val="21"/>
              </w:rPr>
              <w:t>P2</w:t>
            </w:r>
            <w:r>
              <w:rPr>
                <w:rFonts w:hint="eastAsia"/>
                <w:szCs w:val="21"/>
                <w:lang w:val="en-US" w:eastAsia="zh-CN"/>
              </w:rPr>
              <w:t>~P4</w:t>
            </w:r>
          </w:p>
          <w:p>
            <w:pPr>
              <w:pStyle w:val="5"/>
              <w:spacing w:line="240" w:lineRule="auto"/>
              <w:ind w:firstLine="420"/>
              <w:jc w:val="center"/>
              <w:rPr>
                <w:rFonts w:hAnsi="Times New Roman" w:eastAsia="宋体"/>
                <w:sz w:val="21"/>
                <w:szCs w:val="21"/>
              </w:rPr>
            </w:pPr>
          </w:p>
        </w:tc>
        <w:tc>
          <w:tcPr>
            <w:tcW w:w="444" w:type="dxa"/>
            <w:vAlign w:val="center"/>
          </w:tcPr>
          <w:p>
            <w:pPr>
              <w:jc w:val="cente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jc w:val="center"/>
        </w:trPr>
        <w:tc>
          <w:tcPr>
            <w:tcW w:w="284" w:type="dxa"/>
            <w:tcMar>
              <w:top w:w="57" w:type="dxa"/>
              <w:left w:w="28" w:type="dxa"/>
              <w:bottom w:w="57" w:type="dxa"/>
              <w:right w:w="28" w:type="dxa"/>
            </w:tcMar>
            <w:vAlign w:val="center"/>
          </w:tcPr>
          <w:p>
            <w:pPr>
              <w:jc w:val="center"/>
              <w:rPr>
                <w:rFonts w:eastAsia="宋体"/>
                <w:szCs w:val="21"/>
              </w:rPr>
            </w:pPr>
            <w:r>
              <w:rPr>
                <w:rFonts w:eastAsia="宋体"/>
                <w:szCs w:val="21"/>
              </w:rPr>
              <w:t>2</w:t>
            </w:r>
          </w:p>
        </w:tc>
        <w:tc>
          <w:tcPr>
            <w:tcW w:w="2121" w:type="dxa"/>
            <w:tcMar>
              <w:top w:w="57" w:type="dxa"/>
              <w:left w:w="28" w:type="dxa"/>
              <w:bottom w:w="57" w:type="dxa"/>
              <w:right w:w="28" w:type="dxa"/>
            </w:tcMar>
            <w:vAlign w:val="center"/>
          </w:tcPr>
          <w:p>
            <w:pPr>
              <w:tabs>
                <w:tab w:val="left" w:pos="312"/>
              </w:tabs>
              <w:ind w:firstLine="210" w:firstLineChars="100"/>
              <w:jc w:val="center"/>
              <w:rPr>
                <w:rFonts w:eastAsia="宋体"/>
                <w:bCs/>
                <w:szCs w:val="21"/>
              </w:rPr>
            </w:pPr>
            <w:r>
              <w:rPr>
                <w:rFonts w:hint="eastAsia" w:eastAsia="宋体"/>
                <w:bCs/>
                <w:szCs w:val="21"/>
              </w:rPr>
              <w:t>依据总产能，补充技改前后产能变化分析，补充水平衡、物耗及能耗数据。完善现有环境问题调查，对照特别排放限值要求进行达标分析，提出“以新带老”措施。完善技改前后“三本账”内容。补充园区基础设施依托的可行性分析，核实废水、固废的合理处置去向。</w:t>
            </w:r>
          </w:p>
          <w:p>
            <w:pPr>
              <w:ind w:firstLine="420"/>
              <w:jc w:val="center"/>
              <w:rPr>
                <w:rFonts w:eastAsia="宋体"/>
                <w:szCs w:val="21"/>
              </w:rPr>
            </w:pPr>
          </w:p>
        </w:tc>
        <w:tc>
          <w:tcPr>
            <w:tcW w:w="4678" w:type="dxa"/>
            <w:tcMar>
              <w:top w:w="57" w:type="dxa"/>
              <w:left w:w="28" w:type="dxa"/>
              <w:bottom w:w="57" w:type="dxa"/>
              <w:right w:w="28" w:type="dxa"/>
            </w:tcMar>
            <w:vAlign w:val="center"/>
          </w:tcPr>
          <w:p>
            <w:pPr>
              <w:jc w:val="center"/>
              <w:rPr>
                <w:rFonts w:hint="eastAsia" w:eastAsia="宋体"/>
                <w:szCs w:val="21"/>
                <w:lang w:val="en-US" w:eastAsia="zh-CN"/>
              </w:rPr>
            </w:pPr>
            <w:r>
              <w:rPr>
                <w:rFonts w:hint="eastAsia"/>
                <w:szCs w:val="21"/>
                <w:lang w:val="en-US" w:eastAsia="zh-CN"/>
              </w:rPr>
              <w:t>已补充</w:t>
            </w:r>
            <w:r>
              <w:rPr>
                <w:rFonts w:hint="eastAsia" w:eastAsia="宋体"/>
                <w:bCs/>
                <w:szCs w:val="21"/>
              </w:rPr>
              <w:t>技改前后产能变化分析</w:t>
            </w:r>
            <w:r>
              <w:rPr>
                <w:rFonts w:hint="eastAsia"/>
                <w:bCs/>
                <w:szCs w:val="21"/>
                <w:lang w:eastAsia="zh-CN"/>
              </w:rPr>
              <w:t>；</w:t>
            </w:r>
            <w:r>
              <w:rPr>
                <w:rFonts w:hint="eastAsia"/>
                <w:bCs/>
                <w:szCs w:val="21"/>
                <w:lang w:val="en-US" w:eastAsia="zh-CN"/>
              </w:rPr>
              <w:t>已补充水平衡、物耗及能耗数据；已</w:t>
            </w:r>
            <w:r>
              <w:rPr>
                <w:rFonts w:hint="eastAsia" w:eastAsia="宋体"/>
                <w:bCs/>
                <w:szCs w:val="21"/>
              </w:rPr>
              <w:t>完善现有环境问题调查，</w:t>
            </w:r>
            <w:r>
              <w:rPr>
                <w:rFonts w:hint="eastAsia"/>
                <w:bCs/>
                <w:szCs w:val="21"/>
                <w:lang w:val="en-US" w:eastAsia="zh-CN"/>
              </w:rPr>
              <w:t>并且</w:t>
            </w:r>
            <w:r>
              <w:rPr>
                <w:rFonts w:hint="eastAsia" w:eastAsia="宋体"/>
                <w:bCs/>
                <w:szCs w:val="21"/>
              </w:rPr>
              <w:t>对照特别排放限值要求进行达标分析，</w:t>
            </w:r>
            <w:r>
              <w:rPr>
                <w:rFonts w:hint="eastAsia"/>
                <w:bCs/>
                <w:szCs w:val="21"/>
                <w:lang w:val="en-US" w:eastAsia="zh-CN"/>
              </w:rPr>
              <w:t>已</w:t>
            </w:r>
            <w:r>
              <w:rPr>
                <w:rFonts w:hint="eastAsia" w:eastAsia="宋体"/>
                <w:bCs/>
                <w:szCs w:val="21"/>
              </w:rPr>
              <w:t>提出“以新带老”措施</w:t>
            </w:r>
            <w:r>
              <w:rPr>
                <w:rFonts w:hint="eastAsia"/>
                <w:bCs/>
                <w:szCs w:val="21"/>
                <w:lang w:eastAsia="zh-CN"/>
              </w:rPr>
              <w:t>；</w:t>
            </w:r>
            <w:r>
              <w:rPr>
                <w:rFonts w:hint="eastAsia"/>
                <w:bCs/>
                <w:szCs w:val="21"/>
                <w:lang w:val="en-US" w:eastAsia="zh-CN"/>
              </w:rPr>
              <w:t>已</w:t>
            </w:r>
            <w:r>
              <w:rPr>
                <w:rFonts w:hint="eastAsia" w:eastAsia="宋体"/>
                <w:bCs/>
                <w:szCs w:val="21"/>
              </w:rPr>
              <w:t>完善技改前后“三本账”内容</w:t>
            </w:r>
            <w:r>
              <w:rPr>
                <w:rFonts w:hint="eastAsia"/>
                <w:bCs/>
                <w:szCs w:val="21"/>
                <w:lang w:eastAsia="zh-CN"/>
              </w:rPr>
              <w:t>；</w:t>
            </w:r>
            <w:r>
              <w:rPr>
                <w:rFonts w:hint="eastAsia"/>
                <w:bCs/>
                <w:szCs w:val="21"/>
                <w:lang w:val="en-US" w:eastAsia="zh-CN"/>
              </w:rPr>
              <w:t>已补充补充园区基础设施依托的可行性分析，核实废水、固废的合理处置去向。</w:t>
            </w:r>
          </w:p>
        </w:tc>
        <w:tc>
          <w:tcPr>
            <w:tcW w:w="769" w:type="dxa"/>
            <w:vAlign w:val="center"/>
          </w:tcPr>
          <w:p>
            <w:pPr>
              <w:jc w:val="center"/>
              <w:rPr>
                <w:rFonts w:hint="eastAsia" w:eastAsia="宋体"/>
                <w:szCs w:val="21"/>
                <w:lang w:val="en-US" w:eastAsia="zh-CN"/>
              </w:rPr>
            </w:pPr>
            <w:r>
              <w:rPr>
                <w:rFonts w:eastAsia="宋体"/>
                <w:szCs w:val="21"/>
              </w:rPr>
              <w:t>P</w:t>
            </w:r>
            <w:r>
              <w:rPr>
                <w:rFonts w:hint="eastAsia"/>
                <w:szCs w:val="21"/>
                <w:lang w:val="en-US" w:eastAsia="zh-CN"/>
              </w:rPr>
              <w:t>1~P2；P26、P9；P9、P12；P27；P5、P27</w:t>
            </w:r>
          </w:p>
        </w:tc>
        <w:tc>
          <w:tcPr>
            <w:tcW w:w="444" w:type="dxa"/>
            <w:vAlign w:val="center"/>
          </w:tcPr>
          <w:p>
            <w:pPr>
              <w:jc w:val="cente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0" w:hRule="atLeast"/>
          <w:jc w:val="center"/>
        </w:trPr>
        <w:tc>
          <w:tcPr>
            <w:tcW w:w="284" w:type="dxa"/>
            <w:tcMar>
              <w:top w:w="57" w:type="dxa"/>
              <w:left w:w="28" w:type="dxa"/>
              <w:bottom w:w="57" w:type="dxa"/>
              <w:right w:w="28" w:type="dxa"/>
            </w:tcMar>
            <w:vAlign w:val="center"/>
          </w:tcPr>
          <w:p>
            <w:pPr>
              <w:jc w:val="center"/>
              <w:rPr>
                <w:rFonts w:eastAsia="宋体"/>
                <w:szCs w:val="21"/>
              </w:rPr>
            </w:pPr>
            <w:r>
              <w:rPr>
                <w:rFonts w:eastAsia="宋体"/>
                <w:szCs w:val="21"/>
              </w:rPr>
              <w:t>3</w:t>
            </w:r>
          </w:p>
        </w:tc>
        <w:tc>
          <w:tcPr>
            <w:tcW w:w="2121" w:type="dxa"/>
            <w:tcMar>
              <w:top w:w="57" w:type="dxa"/>
              <w:left w:w="28" w:type="dxa"/>
              <w:bottom w:w="57" w:type="dxa"/>
              <w:right w:w="28" w:type="dxa"/>
            </w:tcMar>
            <w:vAlign w:val="center"/>
          </w:tcPr>
          <w:p>
            <w:pPr>
              <w:ind w:firstLine="420"/>
              <w:jc w:val="center"/>
              <w:rPr>
                <w:rFonts w:eastAsia="宋体"/>
                <w:szCs w:val="21"/>
              </w:rPr>
            </w:pPr>
            <w:r>
              <w:rPr>
                <w:rFonts w:hint="eastAsia" w:eastAsia="宋体"/>
                <w:bCs/>
                <w:szCs w:val="21"/>
              </w:rPr>
              <w:t>环境空气现状补充PM2.5监测数据。核实生产废水预处理措施。补充清洁生产水平分析。</w:t>
            </w:r>
          </w:p>
        </w:tc>
        <w:tc>
          <w:tcPr>
            <w:tcW w:w="4678" w:type="dxa"/>
            <w:tcMar>
              <w:top w:w="57" w:type="dxa"/>
              <w:left w:w="28" w:type="dxa"/>
              <w:bottom w:w="57" w:type="dxa"/>
              <w:right w:w="28" w:type="dxa"/>
            </w:tcMar>
            <w:vAlign w:val="center"/>
          </w:tcPr>
          <w:p>
            <w:pPr>
              <w:pStyle w:val="5"/>
              <w:spacing w:line="240" w:lineRule="auto"/>
              <w:ind w:firstLine="420"/>
              <w:jc w:val="center"/>
              <w:rPr>
                <w:rFonts w:hint="eastAsia" w:hAnsi="Times New Roman" w:eastAsia="宋体"/>
                <w:sz w:val="21"/>
                <w:szCs w:val="21"/>
                <w:vertAlign w:val="baseline"/>
                <w:lang w:val="en-US" w:eastAsia="zh-CN"/>
              </w:rPr>
            </w:pPr>
            <w:r>
              <w:rPr>
                <w:rFonts w:hint="eastAsia" w:hAnsi="Times New Roman"/>
                <w:sz w:val="21"/>
                <w:szCs w:val="21"/>
                <w:lang w:val="en-US" w:eastAsia="zh-CN"/>
              </w:rPr>
              <w:t>PM</w:t>
            </w:r>
            <w:r>
              <w:rPr>
                <w:rFonts w:hint="eastAsia" w:hAnsi="Times New Roman"/>
                <w:sz w:val="21"/>
                <w:szCs w:val="21"/>
                <w:vertAlign w:val="subscript"/>
                <w:lang w:val="en-US" w:eastAsia="zh-CN"/>
              </w:rPr>
              <w:t>2.5</w:t>
            </w:r>
            <w:r>
              <w:rPr>
                <w:rFonts w:hint="eastAsia" w:hAnsi="Times New Roman"/>
                <w:sz w:val="21"/>
                <w:szCs w:val="21"/>
                <w:vertAlign w:val="baseline"/>
                <w:lang w:val="en-US" w:eastAsia="zh-CN"/>
              </w:rPr>
              <w:t>目前正在检测中；已核实生产废水预处理措施；已补充清洁生产水平分析</w:t>
            </w:r>
          </w:p>
        </w:tc>
        <w:tc>
          <w:tcPr>
            <w:tcW w:w="769" w:type="dxa"/>
            <w:vAlign w:val="center"/>
          </w:tcPr>
          <w:p>
            <w:pPr>
              <w:pStyle w:val="5"/>
              <w:spacing w:line="240" w:lineRule="auto"/>
              <w:ind w:firstLine="0" w:firstLineChars="0"/>
              <w:jc w:val="center"/>
              <w:rPr>
                <w:rFonts w:hint="eastAsia" w:hAnsi="Times New Roman" w:eastAsia="宋体"/>
                <w:sz w:val="21"/>
                <w:szCs w:val="21"/>
                <w:lang w:val="en-US" w:eastAsia="zh-CN"/>
              </w:rPr>
            </w:pPr>
            <w:r>
              <w:rPr>
                <w:rFonts w:hAnsi="Times New Roman" w:eastAsia="宋体"/>
                <w:sz w:val="21"/>
                <w:szCs w:val="21"/>
              </w:rPr>
              <w:t>P</w:t>
            </w:r>
            <w:r>
              <w:rPr>
                <w:rFonts w:hint="eastAsia" w:hAnsi="Times New Roman"/>
                <w:sz w:val="21"/>
                <w:szCs w:val="21"/>
                <w:lang w:val="en-US" w:eastAsia="zh-CN"/>
              </w:rPr>
              <w:t>10；P34~P35</w:t>
            </w:r>
          </w:p>
        </w:tc>
        <w:tc>
          <w:tcPr>
            <w:tcW w:w="444" w:type="dxa"/>
            <w:vAlign w:val="center"/>
          </w:tcPr>
          <w:p>
            <w:pPr>
              <w:jc w:val="cente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284" w:type="dxa"/>
            <w:tcMar>
              <w:top w:w="57" w:type="dxa"/>
              <w:left w:w="28" w:type="dxa"/>
              <w:bottom w:w="57" w:type="dxa"/>
              <w:right w:w="28" w:type="dxa"/>
            </w:tcMar>
            <w:vAlign w:val="center"/>
          </w:tcPr>
          <w:p>
            <w:pPr>
              <w:jc w:val="center"/>
              <w:rPr>
                <w:rFonts w:eastAsia="宋体"/>
                <w:szCs w:val="21"/>
              </w:rPr>
            </w:pPr>
            <w:r>
              <w:rPr>
                <w:rFonts w:eastAsia="宋体"/>
                <w:szCs w:val="21"/>
              </w:rPr>
              <w:t>4</w:t>
            </w:r>
          </w:p>
        </w:tc>
        <w:tc>
          <w:tcPr>
            <w:tcW w:w="2121" w:type="dxa"/>
            <w:tcMar>
              <w:top w:w="57" w:type="dxa"/>
              <w:left w:w="28" w:type="dxa"/>
              <w:bottom w:w="57" w:type="dxa"/>
              <w:right w:w="28" w:type="dxa"/>
            </w:tcMar>
            <w:vAlign w:val="center"/>
          </w:tcPr>
          <w:p>
            <w:pPr>
              <w:jc w:val="center"/>
              <w:rPr>
                <w:rFonts w:eastAsia="宋体"/>
                <w:szCs w:val="21"/>
              </w:rPr>
            </w:pPr>
            <w:r>
              <w:rPr>
                <w:rFonts w:hint="eastAsia" w:eastAsia="宋体"/>
                <w:bCs/>
                <w:szCs w:val="21"/>
              </w:rPr>
              <w:t>补充完善评价适用标准。核实并完善环保投资，完善“三同时”竣工验收内容。修改审批信息表内容。规范附图。修改报告表中错误的描述。</w:t>
            </w:r>
          </w:p>
        </w:tc>
        <w:tc>
          <w:tcPr>
            <w:tcW w:w="4678" w:type="dxa"/>
            <w:tcMar>
              <w:top w:w="57" w:type="dxa"/>
              <w:left w:w="28" w:type="dxa"/>
              <w:bottom w:w="57" w:type="dxa"/>
              <w:right w:w="28" w:type="dxa"/>
            </w:tcMar>
            <w:vAlign w:val="center"/>
          </w:tcPr>
          <w:p>
            <w:pPr>
              <w:pStyle w:val="5"/>
              <w:spacing w:line="240" w:lineRule="auto"/>
              <w:ind w:firstLine="0" w:firstLineChars="0"/>
              <w:jc w:val="center"/>
              <w:rPr>
                <w:rFonts w:hint="eastAsia" w:hAnsi="Times New Roman" w:eastAsia="宋体"/>
                <w:sz w:val="21"/>
                <w:szCs w:val="21"/>
                <w:lang w:val="en-US" w:eastAsia="zh-CN"/>
              </w:rPr>
            </w:pPr>
            <w:r>
              <w:rPr>
                <w:rFonts w:hint="eastAsia" w:hAnsi="Times New Roman"/>
                <w:sz w:val="21"/>
                <w:szCs w:val="21"/>
                <w:lang w:val="en-US" w:eastAsia="zh-CN"/>
              </w:rPr>
              <w:t>已补充完善评价适用标准；已核实并完善环保投资，完善“三同时”竣工验收内容。修改审批信息表内容。规范附图。修改报告表中错误的描述。</w:t>
            </w:r>
          </w:p>
        </w:tc>
        <w:tc>
          <w:tcPr>
            <w:tcW w:w="769" w:type="dxa"/>
            <w:vAlign w:val="center"/>
          </w:tcPr>
          <w:p>
            <w:pPr>
              <w:jc w:val="center"/>
              <w:rPr>
                <w:rFonts w:hint="eastAsia" w:eastAsia="宋体"/>
                <w:szCs w:val="21"/>
                <w:lang w:val="en-US" w:eastAsia="zh-CN"/>
              </w:rPr>
            </w:pPr>
            <w:r>
              <w:rPr>
                <w:rFonts w:hint="eastAsia"/>
                <w:szCs w:val="21"/>
                <w:lang w:val="en-US" w:eastAsia="zh-CN"/>
              </w:rPr>
              <w:t>P22；P33、P35~P36；P5</w:t>
            </w:r>
          </w:p>
        </w:tc>
        <w:tc>
          <w:tcPr>
            <w:tcW w:w="444" w:type="dxa"/>
            <w:vAlign w:val="center"/>
          </w:tcPr>
          <w:p>
            <w:pPr>
              <w:jc w:val="center"/>
              <w:rPr>
                <w:rFonts w:eastAsia="宋体"/>
                <w:color w:val="FF0000"/>
                <w:szCs w:val="21"/>
              </w:rPr>
            </w:pPr>
          </w:p>
        </w:tc>
      </w:tr>
    </w:tbl>
    <w:p>
      <w:pPr>
        <w:pStyle w:val="5"/>
        <w:ind w:firstLine="0" w:firstLineChars="0"/>
        <w:rPr>
          <w:rFonts w:hint="eastAsia"/>
          <w:b/>
        </w:rPr>
      </w:pPr>
      <w:bookmarkStart w:id="0" w:name="_GoBack"/>
      <w:bookmarkEnd w:id="0"/>
    </w:p>
    <w:sectPr>
      <w:pgSz w:w="11906" w:h="16838"/>
      <w:pgMar w:top="12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2CFA"/>
    <w:rsid w:val="001F5260"/>
    <w:rsid w:val="00254625"/>
    <w:rsid w:val="003648D8"/>
    <w:rsid w:val="00377D3C"/>
    <w:rsid w:val="003F15B3"/>
    <w:rsid w:val="004C3DB2"/>
    <w:rsid w:val="0062091B"/>
    <w:rsid w:val="006631A3"/>
    <w:rsid w:val="00682BF9"/>
    <w:rsid w:val="006F5385"/>
    <w:rsid w:val="007352F9"/>
    <w:rsid w:val="0082626C"/>
    <w:rsid w:val="008644A6"/>
    <w:rsid w:val="00873A13"/>
    <w:rsid w:val="008D727E"/>
    <w:rsid w:val="008E71E8"/>
    <w:rsid w:val="00AD2F4A"/>
    <w:rsid w:val="00CF4931"/>
    <w:rsid w:val="00E0407E"/>
    <w:rsid w:val="00E51E16"/>
    <w:rsid w:val="00ED46EE"/>
    <w:rsid w:val="02B07752"/>
    <w:rsid w:val="02BE2E0B"/>
    <w:rsid w:val="0539092C"/>
    <w:rsid w:val="33F9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link w:val="9"/>
    <w:uiPriority w:val="0"/>
  </w:style>
  <w:style w:type="table" w:default="1" w:styleId="11">
    <w:name w:val="Normal Table"/>
    <w:semiHidden/>
    <w:qFormat/>
    <w:uiPriority w:val="0"/>
    <w:rPr>
      <w:rFonts w:eastAsia="Times New Roman"/>
    </w:rPr>
    <w:tblPr>
      <w:tblLayout w:type="fixed"/>
      <w:tblCellMar>
        <w:top w:w="0" w:type="dxa"/>
        <w:left w:w="108" w:type="dxa"/>
        <w:bottom w:w="0" w:type="dxa"/>
        <w:right w:w="108" w:type="dxa"/>
      </w:tblCellMar>
    </w:tblPr>
  </w:style>
  <w:style w:type="paragraph" w:styleId="2">
    <w:name w:val="Body Text"/>
    <w:basedOn w:val="1"/>
    <w:unhideWhenUsed/>
    <w:uiPriority w:val="99"/>
    <w:rPr>
      <w:sz w:val="18"/>
    </w:rPr>
  </w:style>
  <w:style w:type="paragraph" w:styleId="3">
    <w:name w:val="annotation text"/>
    <w:basedOn w:val="1"/>
    <w:unhideWhenUsed/>
    <w:qFormat/>
    <w:uiPriority w:val="99"/>
    <w:pPr>
      <w:jc w:val="left"/>
    </w:pPr>
    <w:rPr>
      <w:kern w:val="0"/>
      <w:sz w:val="20"/>
    </w:rPr>
  </w:style>
  <w:style w:type="paragraph" w:styleId="4">
    <w:name w:val="Date"/>
    <w:basedOn w:val="1"/>
    <w:next w:val="1"/>
    <w:unhideWhenUsed/>
    <w:qFormat/>
    <w:uiPriority w:val="99"/>
    <w:pPr>
      <w:ind w:left="100"/>
    </w:pPr>
  </w:style>
  <w:style w:type="paragraph" w:styleId="5">
    <w:name w:val="Body Text Indent 2"/>
    <w:basedOn w:val="1"/>
    <w:unhideWhenUsed/>
    <w:qFormat/>
    <w:uiPriority w:val="99"/>
    <w:pPr>
      <w:spacing w:line="560" w:lineRule="exact"/>
      <w:ind w:firstLine="480" w:firstLineChars="200"/>
    </w:pPr>
    <w:rPr>
      <w:rFonts w:hAnsi="宋体"/>
      <w:sz w:val="24"/>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 Char Char61 Char Char Char Char Char Char Char Char"/>
    <w:basedOn w:val="1"/>
    <w:next w:val="1"/>
    <w:link w:val="8"/>
    <w:uiPriority w:val="0"/>
    <w:pPr>
      <w:spacing w:line="360" w:lineRule="auto"/>
      <w:ind w:firstLine="200" w:firstLineChars="200"/>
    </w:pPr>
    <w:rPr>
      <w:szCs w:val="20"/>
    </w:rPr>
  </w:style>
  <w:style w:type="character" w:styleId="10">
    <w:name w:val="page number"/>
    <w:basedOn w:val="8"/>
    <w:unhideWhenUsed/>
    <w:uiPriority w:val="99"/>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 Char Char Char Char Char Char Char Char Char Char"/>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550</Words>
  <Characters>71</Characters>
  <Lines>1</Lines>
  <Paragraphs>1</Paragraphs>
  <TotalTime>8</TotalTime>
  <ScaleCrop>false</ScaleCrop>
  <LinksUpToDate>false</LinksUpToDate>
  <CharactersWithSpaces>620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2018-08-07T13:36:00Z</dcterms:created>
  <dc:creator>Administrator</dc:creator>
  <cp:lastModifiedBy>无忧，乐＠＠</cp:lastModifiedBy>
  <dcterms:modified xsi:type="dcterms:W3CDTF">2018-10-09T04:56:59Z</dcterms:modified>
  <dc:title>鄂伦春自治旗鑫昌泰吉文水泥有限公司粉煤灰综合利用技改扩建项目环境影响报告书专家意见修改索引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