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F105C">
      <w:pPr>
        <w:pStyle w:val="6"/>
        <w:ind w:left="0"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一、建设项目基本情况</w:t>
      </w:r>
    </w:p>
    <w:tbl>
      <w:tblPr>
        <w:tblStyle w:val="42"/>
        <w:tblW w:w="92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712"/>
        <w:gridCol w:w="1109"/>
        <w:gridCol w:w="2273"/>
        <w:gridCol w:w="1920"/>
        <w:gridCol w:w="3265"/>
      </w:tblGrid>
      <w:tr w14:paraId="2A3AC4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51" w:type="dxa"/>
            <w:gridSpan w:val="2"/>
            <w:tcBorders>
              <w:tl2br w:val="nil"/>
              <w:tr2bl w:val="nil"/>
            </w:tcBorders>
            <w:tcMar>
              <w:top w:w="16" w:type="dxa"/>
              <w:left w:w="16" w:type="dxa"/>
              <w:right w:w="16" w:type="dxa"/>
            </w:tcMar>
            <w:vAlign w:val="center"/>
          </w:tcPr>
          <w:p w14:paraId="48338DEF">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建设项目名称</w:t>
            </w:r>
          </w:p>
        </w:tc>
        <w:tc>
          <w:tcPr>
            <w:tcW w:w="7428" w:type="dxa"/>
            <w:gridSpan w:val="3"/>
            <w:tcBorders>
              <w:tl2br w:val="nil"/>
              <w:tr2bl w:val="nil"/>
            </w:tcBorders>
            <w:vAlign w:val="center"/>
          </w:tcPr>
          <w:p w14:paraId="2163426C">
            <w:pPr>
              <w:pStyle w:val="1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新疆森淼建筑工程有限公司年产8万吨砂厂固废处理加工扩建项目</w:t>
            </w:r>
          </w:p>
        </w:tc>
      </w:tr>
      <w:tr w14:paraId="74A852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51" w:type="dxa"/>
            <w:gridSpan w:val="2"/>
            <w:tcBorders>
              <w:tl2br w:val="nil"/>
              <w:tr2bl w:val="nil"/>
            </w:tcBorders>
            <w:tcMar>
              <w:top w:w="16" w:type="dxa"/>
              <w:left w:w="16" w:type="dxa"/>
              <w:right w:w="16" w:type="dxa"/>
            </w:tcMar>
            <w:vAlign w:val="center"/>
          </w:tcPr>
          <w:p w14:paraId="2B935C2C">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项目代码</w:t>
            </w:r>
          </w:p>
        </w:tc>
        <w:tc>
          <w:tcPr>
            <w:tcW w:w="7428" w:type="dxa"/>
            <w:gridSpan w:val="3"/>
            <w:tcBorders>
              <w:tl2br w:val="nil"/>
              <w:tr2bl w:val="nil"/>
            </w:tcBorders>
            <w:vAlign w:val="center"/>
          </w:tcPr>
          <w:p w14:paraId="4F43BCA1">
            <w:pPr>
              <w:pStyle w:val="17"/>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2606-652301-16-03-944997</w:t>
            </w:r>
          </w:p>
        </w:tc>
      </w:tr>
      <w:tr w14:paraId="684787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51" w:type="dxa"/>
            <w:gridSpan w:val="2"/>
            <w:tcBorders>
              <w:tl2br w:val="nil"/>
              <w:tr2bl w:val="nil"/>
            </w:tcBorders>
            <w:tcMar>
              <w:top w:w="16" w:type="dxa"/>
              <w:left w:w="16" w:type="dxa"/>
              <w:right w:w="16" w:type="dxa"/>
            </w:tcMar>
            <w:vAlign w:val="center"/>
          </w:tcPr>
          <w:p w14:paraId="787640FA">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建设单位联系人</w:t>
            </w:r>
          </w:p>
        </w:tc>
        <w:tc>
          <w:tcPr>
            <w:tcW w:w="2264" w:type="dxa"/>
            <w:tcBorders>
              <w:tl2br w:val="nil"/>
              <w:tr2bl w:val="nil"/>
            </w:tcBorders>
            <w:vAlign w:val="center"/>
          </w:tcPr>
          <w:p w14:paraId="6BA79F0B">
            <w:pPr>
              <w:pStyle w:val="17"/>
              <w:rPr>
                <w:rFonts w:hint="eastAsia" w:eastAsia="宋体"/>
                <w:color w:val="000000" w:themeColor="text1"/>
                <w:lang w:eastAsia="zh-CN"/>
                <w14:textFill>
                  <w14:solidFill>
                    <w14:schemeClr w14:val="tx1"/>
                  </w14:solidFill>
                </w14:textFill>
              </w:rPr>
            </w:pPr>
          </w:p>
        </w:tc>
        <w:tc>
          <w:tcPr>
            <w:tcW w:w="1912" w:type="dxa"/>
            <w:tcBorders>
              <w:tl2br w:val="nil"/>
              <w:tr2bl w:val="nil"/>
            </w:tcBorders>
            <w:vAlign w:val="center"/>
          </w:tcPr>
          <w:p w14:paraId="188D5C50">
            <w:pPr>
              <w:pStyle w:val="17"/>
              <w:rPr>
                <w:color w:val="000000" w:themeColor="text1"/>
                <w14:textFill>
                  <w14:solidFill>
                    <w14:schemeClr w14:val="tx1"/>
                  </w14:solidFill>
                </w14:textFill>
              </w:rPr>
            </w:pPr>
            <w:r>
              <w:rPr>
                <w:color w:val="000000" w:themeColor="text1"/>
                <w14:textFill>
                  <w14:solidFill>
                    <w14:schemeClr w14:val="tx1"/>
                  </w14:solidFill>
                </w14:textFill>
              </w:rPr>
              <w:t>联系方式</w:t>
            </w:r>
          </w:p>
        </w:tc>
        <w:tc>
          <w:tcPr>
            <w:tcW w:w="3252" w:type="dxa"/>
            <w:tcBorders>
              <w:tl2br w:val="nil"/>
              <w:tr2bl w:val="nil"/>
            </w:tcBorders>
            <w:vAlign w:val="center"/>
          </w:tcPr>
          <w:p w14:paraId="021B3186">
            <w:pPr>
              <w:pStyle w:val="17"/>
              <w:rPr>
                <w:rFonts w:hint="default" w:eastAsia="宋体"/>
                <w:color w:val="000000" w:themeColor="text1"/>
                <w:lang w:val="en-US" w:eastAsia="zh-CN"/>
                <w14:textFill>
                  <w14:solidFill>
                    <w14:schemeClr w14:val="tx1"/>
                  </w14:solidFill>
                </w14:textFill>
              </w:rPr>
            </w:pPr>
          </w:p>
        </w:tc>
      </w:tr>
      <w:tr w14:paraId="4A9028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51" w:type="dxa"/>
            <w:gridSpan w:val="2"/>
            <w:tcBorders>
              <w:tl2br w:val="nil"/>
              <w:tr2bl w:val="nil"/>
            </w:tcBorders>
            <w:tcMar>
              <w:top w:w="16" w:type="dxa"/>
              <w:left w:w="16" w:type="dxa"/>
              <w:right w:w="16" w:type="dxa"/>
            </w:tcMar>
            <w:vAlign w:val="center"/>
          </w:tcPr>
          <w:p w14:paraId="1B29A89E">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建设地点</w:t>
            </w:r>
          </w:p>
        </w:tc>
        <w:tc>
          <w:tcPr>
            <w:tcW w:w="7428" w:type="dxa"/>
            <w:gridSpan w:val="3"/>
            <w:tcBorders>
              <w:tl2br w:val="nil"/>
              <w:tr2bl w:val="nil"/>
            </w:tcBorders>
            <w:vAlign w:val="center"/>
          </w:tcPr>
          <w:p w14:paraId="28366A13">
            <w:pPr>
              <w:pStyle w:val="17"/>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新疆昌吉回族自治州昌吉市三工镇常胜四队99号</w:t>
            </w:r>
          </w:p>
        </w:tc>
      </w:tr>
      <w:tr w14:paraId="4EFF83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51" w:type="dxa"/>
            <w:gridSpan w:val="2"/>
            <w:tcBorders>
              <w:tl2br w:val="nil"/>
              <w:tr2bl w:val="nil"/>
            </w:tcBorders>
            <w:tcMar>
              <w:top w:w="16" w:type="dxa"/>
              <w:left w:w="16" w:type="dxa"/>
              <w:right w:w="16" w:type="dxa"/>
            </w:tcMar>
            <w:vAlign w:val="center"/>
          </w:tcPr>
          <w:p w14:paraId="1780E301">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地理坐标</w:t>
            </w:r>
          </w:p>
        </w:tc>
        <w:tc>
          <w:tcPr>
            <w:tcW w:w="7428" w:type="dxa"/>
            <w:gridSpan w:val="3"/>
            <w:tcBorders>
              <w:tl2br w:val="nil"/>
              <w:tr2bl w:val="nil"/>
            </w:tcBorders>
            <w:vAlign w:val="center"/>
          </w:tcPr>
          <w:p w14:paraId="46914B38">
            <w:pPr>
              <w:pStyle w:val="17"/>
              <w:rPr>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东经87度</w:t>
            </w:r>
            <w:r>
              <w:rPr>
                <w:rFonts w:hint="eastAsia" w:ascii="Times New Roman" w:hAnsi="Times New Roman" w:eastAsia="宋体" w:cs="Times New Roman"/>
                <w:color w:val="000000" w:themeColor="text1"/>
                <w:lang w:val="en-US" w:eastAsia="zh-CN"/>
                <w14:textFill>
                  <w14:solidFill>
                    <w14:schemeClr w14:val="tx1"/>
                  </w14:solidFill>
                </w14:textFill>
              </w:rPr>
              <w:t>11</w:t>
            </w:r>
            <w:r>
              <w:rPr>
                <w:rFonts w:hint="default" w:ascii="Times New Roman" w:hAnsi="Times New Roman" w:eastAsia="宋体" w:cs="Times New Roman"/>
                <w:color w:val="000000" w:themeColor="text1"/>
                <w14:textFill>
                  <w14:solidFill>
                    <w14:schemeClr w14:val="tx1"/>
                  </w14:solidFill>
                </w14:textFill>
              </w:rPr>
              <w:t>分</w:t>
            </w:r>
            <w:r>
              <w:rPr>
                <w:rFonts w:hint="eastAsia" w:ascii="Times New Roman" w:hAnsi="Times New Roman" w:eastAsia="宋体" w:cs="Times New Roman"/>
                <w:color w:val="000000" w:themeColor="text1"/>
                <w:lang w:val="en-US" w:eastAsia="zh-CN"/>
                <w14:textFill>
                  <w14:solidFill>
                    <w14:schemeClr w14:val="tx1"/>
                  </w14:solidFill>
                </w14:textFill>
              </w:rPr>
              <w:t>50.652</w:t>
            </w:r>
            <w:r>
              <w:rPr>
                <w:rFonts w:hint="default" w:ascii="Times New Roman" w:hAnsi="Times New Roman" w:eastAsia="宋体" w:cs="Times New Roman"/>
                <w:color w:val="000000" w:themeColor="text1"/>
                <w14:textFill>
                  <w14:solidFill>
                    <w14:schemeClr w14:val="tx1"/>
                  </w14:solidFill>
                </w14:textFill>
              </w:rPr>
              <w:t>秒，北纬</w:t>
            </w:r>
            <w:r>
              <w:rPr>
                <w:rFonts w:hint="eastAsia" w:ascii="Times New Roman" w:hAnsi="Times New Roman" w:eastAsia="宋体" w:cs="Times New Roman"/>
                <w:color w:val="000000" w:themeColor="text1"/>
                <w:lang w:val="en-US" w:eastAsia="zh-CN"/>
                <w14:textFill>
                  <w14:solidFill>
                    <w14:schemeClr w14:val="tx1"/>
                  </w14:solidFill>
                </w14:textFill>
              </w:rPr>
              <w:t>43</w:t>
            </w:r>
            <w:r>
              <w:rPr>
                <w:rFonts w:hint="default" w:ascii="Times New Roman" w:hAnsi="Times New Roman" w:eastAsia="宋体" w:cs="Times New Roman"/>
                <w:color w:val="000000" w:themeColor="text1"/>
                <w14:textFill>
                  <w14:solidFill>
                    <w14:schemeClr w14:val="tx1"/>
                  </w14:solidFill>
                </w14:textFill>
              </w:rPr>
              <w:t>度</w:t>
            </w:r>
            <w:r>
              <w:rPr>
                <w:rFonts w:hint="eastAsia" w:ascii="Times New Roman" w:hAnsi="Times New Roman" w:eastAsia="宋体" w:cs="Times New Roman"/>
                <w:color w:val="000000" w:themeColor="text1"/>
                <w:lang w:val="en-US" w:eastAsia="zh-CN"/>
                <w14:textFill>
                  <w14:solidFill>
                    <w14:schemeClr w14:val="tx1"/>
                  </w14:solidFill>
                </w14:textFill>
              </w:rPr>
              <w:t>59</w:t>
            </w:r>
            <w:r>
              <w:rPr>
                <w:rFonts w:hint="default" w:ascii="Times New Roman" w:hAnsi="Times New Roman" w:eastAsia="宋体" w:cs="Times New Roman"/>
                <w:color w:val="000000" w:themeColor="text1"/>
                <w14:textFill>
                  <w14:solidFill>
                    <w14:schemeClr w14:val="tx1"/>
                  </w14:solidFill>
                </w14:textFill>
              </w:rPr>
              <w:t>分</w:t>
            </w:r>
            <w:r>
              <w:rPr>
                <w:rFonts w:hint="eastAsia" w:ascii="Times New Roman" w:hAnsi="Times New Roman" w:eastAsia="宋体" w:cs="Times New Roman"/>
                <w:color w:val="000000" w:themeColor="text1"/>
                <w:lang w:val="en-US" w:eastAsia="zh-CN"/>
                <w14:textFill>
                  <w14:solidFill>
                    <w14:schemeClr w14:val="tx1"/>
                  </w14:solidFill>
                </w14:textFill>
              </w:rPr>
              <w:t>17.970</w:t>
            </w:r>
            <w:r>
              <w:rPr>
                <w:rFonts w:hint="default" w:ascii="Times New Roman" w:hAnsi="Times New Roman" w:eastAsia="宋体" w:cs="Times New Roman"/>
                <w:color w:val="000000" w:themeColor="text1"/>
                <w14:textFill>
                  <w14:solidFill>
                    <w14:schemeClr w14:val="tx1"/>
                  </w14:solidFill>
                </w14:textFill>
              </w:rPr>
              <w:t>秒</w:t>
            </w:r>
            <w:r>
              <w:rPr>
                <w:rFonts w:hint="eastAsia" w:ascii="Times New Roman" w:hAnsi="Times New Roman" w:eastAsia="宋体" w:cs="Times New Roman"/>
                <w:color w:val="000000" w:themeColor="text1"/>
                <w14:textFill>
                  <w14:solidFill>
                    <w14:schemeClr w14:val="tx1"/>
                  </w14:solidFill>
                </w14:textFill>
              </w:rPr>
              <w:t>）</w:t>
            </w:r>
          </w:p>
        </w:tc>
      </w:tr>
      <w:tr w14:paraId="5A721A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51" w:type="dxa"/>
            <w:gridSpan w:val="2"/>
            <w:tcBorders>
              <w:tl2br w:val="nil"/>
              <w:tr2bl w:val="nil"/>
            </w:tcBorders>
            <w:tcMar>
              <w:top w:w="16" w:type="dxa"/>
              <w:left w:w="16" w:type="dxa"/>
              <w:right w:w="16" w:type="dxa"/>
            </w:tcMar>
            <w:vAlign w:val="center"/>
          </w:tcPr>
          <w:p w14:paraId="3B63BAE2">
            <w:pPr>
              <w:pStyle w:val="17"/>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国民经济</w:t>
            </w:r>
          </w:p>
          <w:p w14:paraId="7C054897">
            <w:pPr>
              <w:pStyle w:val="17"/>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行业类别</w:t>
            </w:r>
          </w:p>
        </w:tc>
        <w:tc>
          <w:tcPr>
            <w:tcW w:w="2264" w:type="dxa"/>
            <w:tcBorders>
              <w:tl2br w:val="nil"/>
              <w:tr2bl w:val="nil"/>
            </w:tcBorders>
            <w:vAlign w:val="center"/>
          </w:tcPr>
          <w:p w14:paraId="50306A79">
            <w:pPr>
              <w:adjustRightInd w:val="0"/>
              <w:snapToGrid w:val="0"/>
              <w:ind w:left="0" w:leftChars="0" w:firstLine="0" w:firstLineChars="0"/>
              <w:jc w:val="both"/>
              <w:rPr>
                <w:rFonts w:hint="default" w:ascii="Times New Roman" w:hAnsi="Times New Roman" w:eastAsia="宋体" w:cs="Times New Roman"/>
                <w:color w:val="000000" w:themeColor="text1"/>
                <w:kern w:val="0"/>
                <w:sz w:val="24"/>
                <w:szCs w:val="20"/>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C4220非金属废料和碎屑加工处理</w:t>
            </w:r>
          </w:p>
        </w:tc>
        <w:tc>
          <w:tcPr>
            <w:tcW w:w="1912" w:type="dxa"/>
            <w:tcBorders>
              <w:tl2br w:val="nil"/>
              <w:tr2bl w:val="nil"/>
            </w:tcBorders>
            <w:vAlign w:val="center"/>
          </w:tcPr>
          <w:p w14:paraId="3C6E1611">
            <w:pPr>
              <w:pStyle w:val="17"/>
              <w:rPr>
                <w:b/>
                <w:bCs/>
                <w:color w:val="000000" w:themeColor="text1"/>
                <w14:textFill>
                  <w14:solidFill>
                    <w14:schemeClr w14:val="tx1"/>
                  </w14:solidFill>
                </w14:textFill>
              </w:rPr>
            </w:pPr>
            <w:bookmarkStart w:id="0" w:name="_Hlk49843745"/>
            <w:r>
              <w:rPr>
                <w:b/>
                <w:bCs/>
                <w:color w:val="000000" w:themeColor="text1"/>
                <w14:textFill>
                  <w14:solidFill>
                    <w14:schemeClr w14:val="tx1"/>
                  </w14:solidFill>
                </w14:textFill>
              </w:rPr>
              <w:t>建设项目</w:t>
            </w:r>
          </w:p>
          <w:p w14:paraId="665151BB">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行业类别</w:t>
            </w:r>
            <w:bookmarkEnd w:id="0"/>
          </w:p>
        </w:tc>
        <w:tc>
          <w:tcPr>
            <w:tcW w:w="3252" w:type="dxa"/>
            <w:tcBorders>
              <w:tl2br w:val="nil"/>
              <w:tr2bl w:val="nil"/>
            </w:tcBorders>
            <w:vAlign w:val="center"/>
          </w:tcPr>
          <w:p w14:paraId="4452402A">
            <w:pPr>
              <w:pStyle w:val="17"/>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三</w:t>
            </w: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十九、废弃资源综合利用</w:t>
            </w:r>
          </w:p>
          <w:p w14:paraId="3157C836">
            <w:pPr>
              <w:pStyle w:val="17"/>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业</w:t>
            </w:r>
            <w:r>
              <w:rPr>
                <w:rFonts w:hint="default" w:ascii="Times New Roman" w:hAnsi="Times New Roman" w:eastAsia="宋体" w:cs="Times New Roman"/>
                <w:color w:val="000000" w:themeColor="text1"/>
                <w:kern w:val="0"/>
                <w:sz w:val="24"/>
                <w:szCs w:val="20"/>
                <w:lang w:val="en-US" w:eastAsia="zh-CN" w:bidi="ar-SA"/>
                <w14:textFill>
                  <w14:solidFill>
                    <w14:schemeClr w14:val="tx1"/>
                  </w14:solidFill>
                </w14:textFill>
              </w:rPr>
              <w:t>85</w:t>
            </w: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、金属废料和碎屑加工</w:t>
            </w:r>
          </w:p>
          <w:p w14:paraId="6CFA34F5">
            <w:pPr>
              <w:pStyle w:val="17"/>
              <w:rPr>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处理</w:t>
            </w:r>
            <w:r>
              <w:rPr>
                <w:rFonts w:hint="default" w:ascii="Times New Roman" w:hAnsi="Times New Roman" w:eastAsia="宋体" w:cs="Times New Roman"/>
                <w:color w:val="000000" w:themeColor="text1"/>
                <w:kern w:val="0"/>
                <w:sz w:val="24"/>
                <w:szCs w:val="20"/>
                <w:lang w:val="en-US" w:eastAsia="zh-CN" w:bidi="ar-SA"/>
                <w14:textFill>
                  <w14:solidFill>
                    <w14:schemeClr w14:val="tx1"/>
                  </w14:solidFill>
                </w14:textFill>
              </w:rPr>
              <w:t>421</w:t>
            </w: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；非金属废料和碎屑加工处理</w:t>
            </w:r>
            <w:r>
              <w:rPr>
                <w:rFonts w:hint="default" w:ascii="Times New Roman" w:hAnsi="Times New Roman" w:eastAsia="宋体" w:cs="Times New Roman"/>
                <w:color w:val="000000" w:themeColor="text1"/>
                <w:kern w:val="0"/>
                <w:sz w:val="24"/>
                <w:szCs w:val="20"/>
                <w:lang w:val="en-US" w:eastAsia="zh-CN" w:bidi="ar-SA"/>
                <w14:textFill>
                  <w14:solidFill>
                    <w14:schemeClr w14:val="tx1"/>
                  </w14:solidFill>
                </w14:textFill>
              </w:rPr>
              <w:t>422</w:t>
            </w:r>
          </w:p>
        </w:tc>
      </w:tr>
      <w:tr w14:paraId="089E11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37" w:hRule="atLeast"/>
          <w:jc w:val="center"/>
        </w:trPr>
        <w:tc>
          <w:tcPr>
            <w:tcW w:w="1851" w:type="dxa"/>
            <w:gridSpan w:val="2"/>
            <w:tcBorders>
              <w:tl2br w:val="nil"/>
              <w:tr2bl w:val="nil"/>
            </w:tcBorders>
            <w:tcMar>
              <w:top w:w="16" w:type="dxa"/>
              <w:left w:w="16" w:type="dxa"/>
              <w:right w:w="16" w:type="dxa"/>
            </w:tcMar>
            <w:vAlign w:val="center"/>
          </w:tcPr>
          <w:p w14:paraId="6676DE34">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建设性质</w:t>
            </w:r>
          </w:p>
        </w:tc>
        <w:tc>
          <w:tcPr>
            <w:tcW w:w="2264" w:type="dxa"/>
            <w:tcBorders>
              <w:tl2br w:val="nil"/>
              <w:tr2bl w:val="nil"/>
            </w:tcBorders>
            <w:vAlign w:val="center"/>
          </w:tcPr>
          <w:p w14:paraId="79374BED">
            <w:pPr>
              <w:pStyle w:val="17"/>
              <w:jc w:val="both"/>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新建（迁建）</w:t>
            </w:r>
          </w:p>
          <w:p w14:paraId="5968B789">
            <w:pPr>
              <w:pStyle w:val="17"/>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改建</w:t>
            </w:r>
          </w:p>
          <w:p w14:paraId="2155E71A">
            <w:pPr>
              <w:pStyle w:val="17"/>
              <w:jc w:val="both"/>
              <w:rPr>
                <w:color w:val="000000" w:themeColor="text1"/>
                <w14:textFill>
                  <w14:solidFill>
                    <w14:schemeClr w14:val="tx1"/>
                  </w14:solidFill>
                </w14:textFill>
              </w:rPr>
            </w:pPr>
            <w:r>
              <w:rPr>
                <w:rFonts w:hint="eastAsia" w:ascii="Segoe UI Symbol" w:hAnsi="Segoe UI Symbol" w:cs="Segoe UI Symbol"/>
                <w:color w:val="000000" w:themeColor="text1"/>
                <w:lang w:eastAsia="zh-CN"/>
                <w14:textFill>
                  <w14:solidFill>
                    <w14:schemeClr w14:val="tx1"/>
                  </w14:solidFill>
                </w14:textFill>
              </w:rPr>
              <w:t>☑</w:t>
            </w:r>
            <w:r>
              <w:rPr>
                <w:color w:val="000000" w:themeColor="text1"/>
                <w14:textFill>
                  <w14:solidFill>
                    <w14:schemeClr w14:val="tx1"/>
                  </w14:solidFill>
                </w14:textFill>
              </w:rPr>
              <w:t>扩建</w:t>
            </w:r>
          </w:p>
          <w:p w14:paraId="778F8C3C">
            <w:pPr>
              <w:pStyle w:val="17"/>
              <w:jc w:val="both"/>
              <w:rPr>
                <w:color w:val="000000" w:themeColor="text1"/>
                <w14:textFill>
                  <w14:solidFill>
                    <w14:schemeClr w14:val="tx1"/>
                  </w14:solidFill>
                </w14:textFill>
              </w:rPr>
            </w:pPr>
            <w:r>
              <w:rPr>
                <w:rFonts w:hint="eastAsia" w:ascii="Segoe UI Symbol" w:hAnsi="Segoe UI Symbol" w:cs="Segoe UI Symbol"/>
                <w:color w:val="000000" w:themeColor="text1"/>
                <w:lang w:eastAsia="zh-CN"/>
                <w14:textFill>
                  <w14:solidFill>
                    <w14:schemeClr w14:val="tx1"/>
                  </w14:solidFill>
                </w14:textFill>
              </w:rPr>
              <w:t>□</w:t>
            </w:r>
            <w:r>
              <w:rPr>
                <w:color w:val="000000" w:themeColor="text1"/>
                <w14:textFill>
                  <w14:solidFill>
                    <w14:schemeClr w14:val="tx1"/>
                  </w14:solidFill>
                </w14:textFill>
              </w:rPr>
              <w:t>技术改造</w:t>
            </w:r>
          </w:p>
        </w:tc>
        <w:tc>
          <w:tcPr>
            <w:tcW w:w="1912" w:type="dxa"/>
            <w:tcBorders>
              <w:tl2br w:val="nil"/>
              <w:tr2bl w:val="nil"/>
            </w:tcBorders>
            <w:vAlign w:val="center"/>
          </w:tcPr>
          <w:p w14:paraId="5903D80D">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建设项目</w:t>
            </w:r>
          </w:p>
          <w:p w14:paraId="0384471D">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申报情形</w:t>
            </w:r>
          </w:p>
        </w:tc>
        <w:tc>
          <w:tcPr>
            <w:tcW w:w="3252" w:type="dxa"/>
            <w:tcBorders>
              <w:tl2br w:val="nil"/>
              <w:tr2bl w:val="nil"/>
            </w:tcBorders>
            <w:vAlign w:val="center"/>
          </w:tcPr>
          <w:p w14:paraId="04A8D597">
            <w:pPr>
              <w:pStyle w:val="17"/>
              <w:jc w:val="both"/>
              <w:rPr>
                <w:color w:val="000000" w:themeColor="text1"/>
                <w14:textFill>
                  <w14:solidFill>
                    <w14:schemeClr w14:val="tx1"/>
                  </w14:solidFill>
                </w14:textFill>
              </w:rPr>
            </w:pPr>
            <w:r>
              <w:rPr>
                <w:rFonts w:ascii="Segoe UI Symbol" w:hAnsi="Segoe UI Symbol" w:cs="Segoe UI Symbol"/>
                <w:color w:val="000000" w:themeColor="text1"/>
                <w14:textFill>
                  <w14:solidFill>
                    <w14:schemeClr w14:val="tx1"/>
                  </w14:solidFill>
                </w14:textFill>
              </w:rPr>
              <w:t>☑</w:t>
            </w:r>
            <w:r>
              <w:rPr>
                <w:color w:val="000000" w:themeColor="text1"/>
                <w14:textFill>
                  <w14:solidFill>
                    <w14:schemeClr w14:val="tx1"/>
                  </w14:solidFill>
                </w14:textFill>
              </w:rPr>
              <w:t>首次申报项目</w:t>
            </w:r>
          </w:p>
          <w:p w14:paraId="5C16C238">
            <w:pPr>
              <w:pStyle w:val="17"/>
              <w:jc w:val="both"/>
              <w:rPr>
                <w:color w:val="000000" w:themeColor="text1"/>
                <w:spacing w:val="-6"/>
                <w14:textFill>
                  <w14:solidFill>
                    <w14:schemeClr w14:val="tx1"/>
                  </w14:solidFill>
                </w14:textFill>
              </w:rPr>
            </w:pPr>
            <w:r>
              <w:rPr>
                <w:rFonts w:hint="eastAsia"/>
                <w:color w:val="000000" w:themeColor="text1"/>
                <w14:textFill>
                  <w14:solidFill>
                    <w14:schemeClr w14:val="tx1"/>
                  </w14:solidFill>
                </w14:textFill>
              </w:rPr>
              <w:t>□</w:t>
            </w:r>
            <w:r>
              <w:rPr>
                <w:color w:val="000000" w:themeColor="text1"/>
                <w:spacing w:val="-6"/>
                <w14:textFill>
                  <w14:solidFill>
                    <w14:schemeClr w14:val="tx1"/>
                  </w14:solidFill>
                </w14:textFill>
              </w:rPr>
              <w:t>不予批准后再次申报项目</w:t>
            </w:r>
          </w:p>
          <w:p w14:paraId="7025B94E">
            <w:pPr>
              <w:pStyle w:val="17"/>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超五年重新审核项目</w:t>
            </w:r>
          </w:p>
          <w:p w14:paraId="7242D2CE">
            <w:pPr>
              <w:pStyle w:val="17"/>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重大变动重新报批项目</w:t>
            </w:r>
          </w:p>
        </w:tc>
      </w:tr>
      <w:tr w14:paraId="3A2F9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51" w:type="dxa"/>
            <w:gridSpan w:val="2"/>
            <w:tcBorders>
              <w:tl2br w:val="nil"/>
              <w:tr2bl w:val="nil"/>
            </w:tcBorders>
            <w:tcMar>
              <w:top w:w="16" w:type="dxa"/>
              <w:left w:w="16" w:type="dxa"/>
              <w:right w:w="16" w:type="dxa"/>
            </w:tcMar>
            <w:vAlign w:val="center"/>
          </w:tcPr>
          <w:p w14:paraId="33071F82">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项目审批（核准/</w:t>
            </w:r>
          </w:p>
          <w:p w14:paraId="33507E5E">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备案）部门（选填）</w:t>
            </w:r>
          </w:p>
        </w:tc>
        <w:tc>
          <w:tcPr>
            <w:tcW w:w="2264" w:type="dxa"/>
            <w:tcBorders>
              <w:tl2br w:val="nil"/>
              <w:tr2bl w:val="nil"/>
            </w:tcBorders>
            <w:vAlign w:val="center"/>
          </w:tcPr>
          <w:p w14:paraId="320CA235">
            <w:pPr>
              <w:pStyle w:val="1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昌吉市发展和改革委员会</w:t>
            </w:r>
          </w:p>
        </w:tc>
        <w:tc>
          <w:tcPr>
            <w:tcW w:w="1912" w:type="dxa"/>
            <w:tcBorders>
              <w:tl2br w:val="nil"/>
              <w:tr2bl w:val="nil"/>
            </w:tcBorders>
            <w:vAlign w:val="center"/>
          </w:tcPr>
          <w:p w14:paraId="29B79EBA">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项目审批（核准/</w:t>
            </w:r>
          </w:p>
          <w:p w14:paraId="04510663">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备案）文号（选填）</w:t>
            </w:r>
          </w:p>
        </w:tc>
        <w:tc>
          <w:tcPr>
            <w:tcW w:w="3252" w:type="dxa"/>
            <w:tcBorders>
              <w:tl2br w:val="nil"/>
              <w:tr2bl w:val="nil"/>
            </w:tcBorders>
            <w:vAlign w:val="center"/>
          </w:tcPr>
          <w:p w14:paraId="336EBC03">
            <w:pPr>
              <w:pStyle w:val="1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2606301648652301000105</w:t>
            </w:r>
          </w:p>
        </w:tc>
      </w:tr>
      <w:tr w14:paraId="54558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1851" w:type="dxa"/>
            <w:gridSpan w:val="2"/>
            <w:tcBorders>
              <w:tl2br w:val="nil"/>
              <w:tr2bl w:val="nil"/>
            </w:tcBorders>
            <w:tcMar>
              <w:top w:w="16" w:type="dxa"/>
              <w:left w:w="16" w:type="dxa"/>
              <w:right w:w="16" w:type="dxa"/>
            </w:tcMar>
            <w:vAlign w:val="center"/>
          </w:tcPr>
          <w:p w14:paraId="4E473CED">
            <w:pPr>
              <w:pStyle w:val="17"/>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总投资（万元）</w:t>
            </w:r>
          </w:p>
        </w:tc>
        <w:tc>
          <w:tcPr>
            <w:tcW w:w="2264" w:type="dxa"/>
            <w:tcBorders>
              <w:tl2br w:val="nil"/>
              <w:tr2bl w:val="nil"/>
            </w:tcBorders>
            <w:vAlign w:val="center"/>
          </w:tcPr>
          <w:p w14:paraId="1DF9352E">
            <w:pPr>
              <w:pStyle w:val="17"/>
              <w:rPr>
                <w:rFonts w:hint="default"/>
                <w:color w:val="000000" w:themeColor="text1"/>
                <w:highlight w:val="none"/>
                <w:lang w:val="en-US"/>
                <w14:textFill>
                  <w14:solidFill>
                    <w14:schemeClr w14:val="tx1"/>
                  </w14:solidFill>
                </w14:textFill>
              </w:rPr>
            </w:pPr>
            <w:r>
              <w:rPr>
                <w:rFonts w:hint="eastAsia"/>
                <w:color w:val="000000" w:themeColor="text1"/>
                <w:lang w:val="en-US" w:eastAsia="zh-CN"/>
                <w14:textFill>
                  <w14:solidFill>
                    <w14:schemeClr w14:val="tx1"/>
                  </w14:solidFill>
                </w14:textFill>
              </w:rPr>
              <w:t>200</w:t>
            </w:r>
          </w:p>
        </w:tc>
        <w:tc>
          <w:tcPr>
            <w:tcW w:w="1912" w:type="dxa"/>
            <w:tcBorders>
              <w:tl2br w:val="nil"/>
              <w:tr2bl w:val="nil"/>
            </w:tcBorders>
            <w:tcMar>
              <w:top w:w="16" w:type="dxa"/>
              <w:left w:w="16" w:type="dxa"/>
              <w:right w:w="16" w:type="dxa"/>
            </w:tcMar>
            <w:vAlign w:val="center"/>
          </w:tcPr>
          <w:p w14:paraId="7C79DA75">
            <w:pPr>
              <w:pStyle w:val="17"/>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环保投资（万元）</w:t>
            </w:r>
          </w:p>
        </w:tc>
        <w:tc>
          <w:tcPr>
            <w:tcW w:w="3252" w:type="dxa"/>
            <w:tcBorders>
              <w:tl2br w:val="nil"/>
              <w:tr2bl w:val="nil"/>
            </w:tcBorders>
            <w:vAlign w:val="center"/>
          </w:tcPr>
          <w:p w14:paraId="69BEB5E9">
            <w:pPr>
              <w:pStyle w:val="1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23</w:t>
            </w:r>
          </w:p>
        </w:tc>
      </w:tr>
      <w:tr w14:paraId="24ABF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1851" w:type="dxa"/>
            <w:gridSpan w:val="2"/>
            <w:tcBorders>
              <w:tl2br w:val="nil"/>
              <w:tr2bl w:val="nil"/>
            </w:tcBorders>
            <w:tcMar>
              <w:top w:w="16" w:type="dxa"/>
              <w:left w:w="16" w:type="dxa"/>
              <w:right w:w="16" w:type="dxa"/>
            </w:tcMar>
            <w:vAlign w:val="center"/>
          </w:tcPr>
          <w:p w14:paraId="70E02CDA">
            <w:pPr>
              <w:pStyle w:val="17"/>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环保投资占比（%）</w:t>
            </w:r>
          </w:p>
        </w:tc>
        <w:tc>
          <w:tcPr>
            <w:tcW w:w="2264" w:type="dxa"/>
            <w:tcBorders>
              <w:tl2br w:val="nil"/>
              <w:tr2bl w:val="nil"/>
            </w:tcBorders>
            <w:vAlign w:val="center"/>
          </w:tcPr>
          <w:p w14:paraId="6325A60C">
            <w:pPr>
              <w:pStyle w:val="17"/>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11.5</w:t>
            </w:r>
          </w:p>
        </w:tc>
        <w:tc>
          <w:tcPr>
            <w:tcW w:w="1912" w:type="dxa"/>
            <w:tcBorders>
              <w:tl2br w:val="nil"/>
              <w:tr2bl w:val="nil"/>
            </w:tcBorders>
            <w:tcMar>
              <w:top w:w="16" w:type="dxa"/>
              <w:left w:w="16" w:type="dxa"/>
              <w:right w:w="16" w:type="dxa"/>
            </w:tcMar>
            <w:vAlign w:val="center"/>
          </w:tcPr>
          <w:p w14:paraId="36600821">
            <w:pPr>
              <w:pStyle w:val="17"/>
              <w:rPr>
                <w:b/>
                <w:bCs/>
                <w:color w:val="000000" w:themeColor="text1"/>
                <w:highlight w:val="none"/>
                <w14:textFill>
                  <w14:solidFill>
                    <w14:schemeClr w14:val="tx1"/>
                  </w14:solidFill>
                </w14:textFill>
              </w:rPr>
            </w:pPr>
            <w:r>
              <w:rPr>
                <w:b/>
                <w:bCs/>
                <w:color w:val="000000" w:themeColor="text1"/>
                <w:highlight w:val="none"/>
                <w14:textFill>
                  <w14:solidFill>
                    <w14:schemeClr w14:val="tx1"/>
                  </w14:solidFill>
                </w14:textFill>
              </w:rPr>
              <w:t>施工工期</w:t>
            </w:r>
          </w:p>
        </w:tc>
        <w:tc>
          <w:tcPr>
            <w:tcW w:w="3252" w:type="dxa"/>
            <w:tcBorders>
              <w:tl2br w:val="nil"/>
              <w:tr2bl w:val="nil"/>
            </w:tcBorders>
            <w:vAlign w:val="center"/>
          </w:tcPr>
          <w:p w14:paraId="1D24B7CD">
            <w:pPr>
              <w:pStyle w:val="1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个月</w:t>
            </w:r>
          </w:p>
        </w:tc>
      </w:tr>
      <w:tr w14:paraId="7FB77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77" w:hRule="atLeast"/>
          <w:jc w:val="center"/>
        </w:trPr>
        <w:tc>
          <w:tcPr>
            <w:tcW w:w="1851" w:type="dxa"/>
            <w:gridSpan w:val="2"/>
            <w:tcBorders>
              <w:tl2br w:val="nil"/>
              <w:tr2bl w:val="nil"/>
            </w:tcBorders>
            <w:tcMar>
              <w:top w:w="16" w:type="dxa"/>
              <w:left w:w="16" w:type="dxa"/>
              <w:right w:w="16" w:type="dxa"/>
            </w:tcMar>
            <w:vAlign w:val="center"/>
          </w:tcPr>
          <w:p w14:paraId="74292E87">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是否开工建设</w:t>
            </w:r>
          </w:p>
        </w:tc>
        <w:tc>
          <w:tcPr>
            <w:tcW w:w="2264" w:type="dxa"/>
            <w:tcBorders>
              <w:tl2br w:val="nil"/>
              <w:tr2bl w:val="nil"/>
            </w:tcBorders>
            <w:vAlign w:val="center"/>
          </w:tcPr>
          <w:p w14:paraId="6AEAF97C">
            <w:pPr>
              <w:pStyle w:val="17"/>
              <w:jc w:val="both"/>
              <w:rPr>
                <w:color w:val="000000" w:themeColor="text1"/>
                <w14:textFill>
                  <w14:solidFill>
                    <w14:schemeClr w14:val="tx1"/>
                  </w14:solidFill>
                </w14:textFill>
              </w:rPr>
            </w:pPr>
            <w:r>
              <w:rPr>
                <w:rFonts w:ascii="Segoe UI Symbol" w:hAnsi="Segoe UI Symbol" w:cs="Segoe UI Symbol"/>
                <w:color w:val="000000" w:themeColor="text1"/>
                <w14:textFill>
                  <w14:solidFill>
                    <w14:schemeClr w14:val="tx1"/>
                  </w14:solidFill>
                </w14:textFill>
              </w:rPr>
              <w:t>☑</w:t>
            </w:r>
            <w:r>
              <w:rPr>
                <w:color w:val="000000" w:themeColor="text1"/>
                <w14:textFill>
                  <w14:solidFill>
                    <w14:schemeClr w14:val="tx1"/>
                  </w14:solidFill>
                </w14:textFill>
              </w:rPr>
              <w:t>否</w:t>
            </w:r>
          </w:p>
          <w:p w14:paraId="53720168">
            <w:pPr>
              <w:ind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是：</w:t>
            </w:r>
          </w:p>
        </w:tc>
        <w:tc>
          <w:tcPr>
            <w:tcW w:w="1912" w:type="dxa"/>
            <w:tcBorders>
              <w:tl2br w:val="nil"/>
              <w:tr2bl w:val="nil"/>
            </w:tcBorders>
            <w:tcMar>
              <w:top w:w="16" w:type="dxa"/>
              <w:left w:w="16" w:type="dxa"/>
              <w:right w:w="16" w:type="dxa"/>
            </w:tcMar>
            <w:vAlign w:val="center"/>
          </w:tcPr>
          <w:p w14:paraId="57ACDA42">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用地（用海）</w:t>
            </w:r>
          </w:p>
          <w:p w14:paraId="1D3DE9E6">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面积（m</w:t>
            </w:r>
            <w:r>
              <w:rPr>
                <w:b/>
                <w:bCs/>
                <w:color w:val="000000" w:themeColor="text1"/>
                <w:vertAlign w:val="superscript"/>
                <w14:textFill>
                  <w14:solidFill>
                    <w14:schemeClr w14:val="tx1"/>
                  </w14:solidFill>
                </w14:textFill>
              </w:rPr>
              <w:t>2</w:t>
            </w:r>
            <w:r>
              <w:rPr>
                <w:b/>
                <w:bCs/>
                <w:color w:val="000000" w:themeColor="text1"/>
                <w14:textFill>
                  <w14:solidFill>
                    <w14:schemeClr w14:val="tx1"/>
                  </w14:solidFill>
                </w14:textFill>
              </w:rPr>
              <w:t>）</w:t>
            </w:r>
          </w:p>
        </w:tc>
        <w:tc>
          <w:tcPr>
            <w:tcW w:w="3252" w:type="dxa"/>
            <w:tcBorders>
              <w:tl2br w:val="nil"/>
              <w:tr2bl w:val="nil"/>
            </w:tcBorders>
            <w:vAlign w:val="center"/>
          </w:tcPr>
          <w:p w14:paraId="6B42E0D0">
            <w:pPr>
              <w:pStyle w:val="17"/>
              <w:rPr>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13340</w:t>
            </w:r>
            <w:r>
              <w:rPr>
                <w:color w:val="000000" w:themeColor="text1"/>
                <w:highlight w:val="none"/>
                <w14:textFill>
                  <w14:solidFill>
                    <w14:schemeClr w14:val="tx1"/>
                  </w14:solidFill>
                </w14:textFill>
              </w:rPr>
              <w:t>m</w:t>
            </w:r>
            <w:r>
              <w:rPr>
                <w:color w:val="000000" w:themeColor="text1"/>
                <w:highlight w:val="none"/>
                <w:vertAlign w:val="superscript"/>
                <w14:textFill>
                  <w14:solidFill>
                    <w14:schemeClr w14:val="tx1"/>
                  </w14:solidFill>
                </w14:textFill>
              </w:rPr>
              <w:t>2</w:t>
            </w:r>
          </w:p>
        </w:tc>
      </w:tr>
      <w:tr w14:paraId="18C0A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36" w:type="dxa"/>
            <w:tcBorders>
              <w:tl2br w:val="nil"/>
              <w:tr2bl w:val="nil"/>
            </w:tcBorders>
            <w:vAlign w:val="center"/>
          </w:tcPr>
          <w:p w14:paraId="3C7472D0">
            <w:pPr>
              <w:pStyle w:val="17"/>
              <w:rPr>
                <w:b/>
                <w:bCs/>
                <w:color w:val="000000" w:themeColor="text1"/>
                <w14:textFill>
                  <w14:solidFill>
                    <w14:schemeClr w14:val="tx1"/>
                  </w14:solidFill>
                </w14:textFill>
              </w:rPr>
            </w:pPr>
          </w:p>
          <w:p w14:paraId="5A6578FE">
            <w:pPr>
              <w:pStyle w:val="17"/>
              <w:rPr>
                <w:color w:val="000000" w:themeColor="text1"/>
                <w:szCs w:val="21"/>
                <w14:textFill>
                  <w14:solidFill>
                    <w14:schemeClr w14:val="tx1"/>
                  </w14:solidFill>
                </w14:textFill>
              </w:rPr>
            </w:pPr>
            <w:r>
              <w:rPr>
                <w:b/>
                <w:bCs/>
                <w:color w:val="000000" w:themeColor="text1"/>
                <w14:textFill>
                  <w14:solidFill>
                    <w14:schemeClr w14:val="tx1"/>
                  </w14:solidFill>
                </w14:textFill>
              </w:rPr>
              <w:t>专项评价设置情况</w:t>
            </w:r>
          </w:p>
        </w:tc>
        <w:tc>
          <w:tcPr>
            <w:tcW w:w="8543" w:type="dxa"/>
            <w:gridSpan w:val="4"/>
            <w:tcBorders>
              <w:tl2br w:val="nil"/>
              <w:tr2bl w:val="nil"/>
            </w:tcBorders>
            <w:vAlign w:val="center"/>
          </w:tcPr>
          <w:p w14:paraId="01DF838A">
            <w:pPr>
              <w:keepNext w:val="0"/>
              <w:keepLines w:val="0"/>
              <w:pageBreakBefore w:val="0"/>
              <w:widowControl w:val="0"/>
              <w:kinsoku/>
              <w:wordWrap/>
              <w:overflowPunct/>
              <w:topLinePunct w:val="0"/>
              <w:autoSpaceDE/>
              <w:autoSpaceDN/>
              <w:bidi w:val="0"/>
              <w:adjustRightInd/>
              <w:snapToGrid/>
              <w:ind w:firstLine="480"/>
              <w:textAlignment w:val="auto"/>
              <w:rPr>
                <w:color w:val="000000" w:themeColor="text1"/>
                <w14:textFill>
                  <w14:solidFill>
                    <w14:schemeClr w14:val="tx1"/>
                  </w14:solidFill>
                </w14:textFill>
              </w:rPr>
            </w:pPr>
            <w:r>
              <w:rPr>
                <w:color w:val="000000" w:themeColor="text1"/>
                <w14:textFill>
                  <w14:solidFill>
                    <w14:schemeClr w14:val="tx1"/>
                  </w14:solidFill>
                </w14:textFill>
              </w:rPr>
              <w:t>根据《建设项目环境影响报告表编制技术指南（污染影响类）（试行）》中表1专项评价设置原则，本项目无须设置专项评价，详见表1-1。</w:t>
            </w:r>
          </w:p>
          <w:p w14:paraId="76C601BF">
            <w:pPr>
              <w:pStyle w:val="2"/>
              <w:spacing w:before="0" w:beforeLines="0" w:after="0" w:afterLines="0"/>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表1-1  专项评价设置原则表</w:t>
            </w:r>
          </w:p>
          <w:tbl>
            <w:tblPr>
              <w:tblStyle w:val="194"/>
              <w:tblW w:w="8278" w:type="dxa"/>
              <w:jc w:val="center"/>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89"/>
              <w:gridCol w:w="3205"/>
              <w:gridCol w:w="2852"/>
              <w:gridCol w:w="1332"/>
            </w:tblGrid>
            <w:tr w14:paraId="43CA0E77">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889" w:type="dxa"/>
                  <w:tcBorders>
                    <w:top w:val="single" w:color="000000" w:sz="12" w:space="0"/>
                    <w:tl2br w:val="nil"/>
                    <w:tr2bl w:val="nil"/>
                  </w:tcBorders>
                  <w:shd w:val="clear" w:color="auto" w:fill="FFFFFF"/>
                  <w:vAlign w:val="center"/>
                </w:tcPr>
                <w:p w14:paraId="253DFA9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专项评价的类别</w:t>
                  </w:r>
                </w:p>
              </w:tc>
              <w:tc>
                <w:tcPr>
                  <w:tcW w:w="3205" w:type="dxa"/>
                  <w:tcBorders>
                    <w:top w:val="single" w:color="000000" w:sz="12" w:space="0"/>
                    <w:tl2br w:val="nil"/>
                    <w:tr2bl w:val="nil"/>
                  </w:tcBorders>
                  <w:shd w:val="clear" w:color="auto" w:fill="FFFFFF"/>
                  <w:vAlign w:val="center"/>
                </w:tcPr>
                <w:p w14:paraId="55C2791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设置原则</w:t>
                  </w:r>
                </w:p>
              </w:tc>
              <w:tc>
                <w:tcPr>
                  <w:tcW w:w="2852" w:type="dxa"/>
                  <w:tcBorders>
                    <w:top w:val="single" w:color="000000" w:sz="12" w:space="0"/>
                    <w:tl2br w:val="nil"/>
                    <w:tr2bl w:val="nil"/>
                  </w:tcBorders>
                  <w:shd w:val="clear" w:color="auto" w:fill="FFFFFF"/>
                  <w:vAlign w:val="center"/>
                </w:tcPr>
                <w:p w14:paraId="20AC878E">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本项目情况</w:t>
                  </w:r>
                </w:p>
              </w:tc>
              <w:tc>
                <w:tcPr>
                  <w:tcW w:w="1332" w:type="dxa"/>
                  <w:tcBorders>
                    <w:top w:val="single" w:color="000000" w:sz="12" w:space="0"/>
                    <w:tl2br w:val="nil"/>
                    <w:tr2bl w:val="nil"/>
                  </w:tcBorders>
                  <w:shd w:val="clear" w:color="auto" w:fill="FFFFFF"/>
                  <w:vAlign w:val="center"/>
                </w:tcPr>
                <w:p w14:paraId="15D9136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本项目是否设置专项评价</w:t>
                  </w:r>
                </w:p>
              </w:tc>
            </w:tr>
            <w:tr w14:paraId="1DAF3B4E">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9" w:type="dxa"/>
                  <w:tcBorders>
                    <w:tl2br w:val="nil"/>
                    <w:tr2bl w:val="nil"/>
                  </w:tcBorders>
                  <w:shd w:val="clear" w:color="auto" w:fill="FFFFFF"/>
                  <w:vAlign w:val="center"/>
                </w:tcPr>
                <w:p w14:paraId="3999BFFA">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大气</w:t>
                  </w:r>
                </w:p>
              </w:tc>
              <w:tc>
                <w:tcPr>
                  <w:tcW w:w="3205" w:type="dxa"/>
                  <w:tcBorders>
                    <w:tl2br w:val="nil"/>
                    <w:tr2bl w:val="nil"/>
                  </w:tcBorders>
                  <w:shd w:val="clear" w:color="auto" w:fill="FFFFFF"/>
                  <w:vAlign w:val="center"/>
                </w:tcPr>
                <w:p w14:paraId="5A669E0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排放废气含有毒有害污染物</w:t>
                  </w:r>
                  <w:r>
                    <w:rPr>
                      <w:b w:val="0"/>
                      <w:color w:val="000000" w:themeColor="text1"/>
                      <w:vertAlign w:val="superscript"/>
                      <w14:textFill>
                        <w14:solidFill>
                          <w14:schemeClr w14:val="tx1"/>
                        </w14:solidFill>
                      </w14:textFill>
                    </w:rPr>
                    <w:t>1</w:t>
                  </w:r>
                  <w:r>
                    <w:rPr>
                      <w:b w:val="0"/>
                      <w:color w:val="000000" w:themeColor="text1"/>
                      <w14:textFill>
                        <w14:solidFill>
                          <w14:schemeClr w14:val="tx1"/>
                        </w14:solidFill>
                      </w14:textFill>
                    </w:rPr>
                    <w:t>、二噁英、苯并[a]芘、氰化物、氯气且厂界外500米范围内有环境空气保护目标</w:t>
                  </w:r>
                  <w:r>
                    <w:rPr>
                      <w:b w:val="0"/>
                      <w:color w:val="000000" w:themeColor="text1"/>
                      <w:vertAlign w:val="superscript"/>
                      <w14:textFill>
                        <w14:solidFill>
                          <w14:schemeClr w14:val="tx1"/>
                        </w14:solidFill>
                      </w14:textFill>
                    </w:rPr>
                    <w:t>2</w:t>
                  </w:r>
                  <w:r>
                    <w:rPr>
                      <w:b w:val="0"/>
                      <w:color w:val="000000" w:themeColor="text1"/>
                      <w14:textFill>
                        <w14:solidFill>
                          <w14:schemeClr w14:val="tx1"/>
                        </w14:solidFill>
                      </w14:textFill>
                    </w:rPr>
                    <w:t>的建设项目</w:t>
                  </w:r>
                </w:p>
              </w:tc>
              <w:tc>
                <w:tcPr>
                  <w:tcW w:w="2852" w:type="dxa"/>
                  <w:tcBorders>
                    <w:tl2br w:val="nil"/>
                    <w:tr2bl w:val="nil"/>
                  </w:tcBorders>
                  <w:shd w:val="clear" w:color="auto" w:fill="FFFFFF"/>
                  <w:vAlign w:val="center"/>
                </w:tcPr>
                <w:p w14:paraId="2DC8717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eastAsia="宋体"/>
                      <w:b w:val="0"/>
                      <w:color w:val="000000" w:themeColor="text1"/>
                      <w:lang w:val="en-US" w:eastAsia="zh-CN"/>
                      <w14:textFill>
                        <w14:solidFill>
                          <w14:schemeClr w14:val="tx1"/>
                        </w14:solidFill>
                      </w14:textFill>
                    </w:rPr>
                  </w:pPr>
                  <w:r>
                    <w:rPr>
                      <w:b w:val="0"/>
                      <w:color w:val="000000" w:themeColor="text1"/>
                      <w14:textFill>
                        <w14:solidFill>
                          <w14:schemeClr w14:val="tx1"/>
                        </w14:solidFill>
                      </w14:textFill>
                    </w:rPr>
                    <w:t>本项目</w:t>
                  </w:r>
                  <w:r>
                    <w:rPr>
                      <w:rFonts w:hint="eastAsia"/>
                      <w:b w:val="0"/>
                      <w:color w:val="000000" w:themeColor="text1"/>
                      <w:lang w:val="en-US" w:eastAsia="zh-CN"/>
                      <w14:textFill>
                        <w14:solidFill>
                          <w14:schemeClr w14:val="tx1"/>
                        </w14:solidFill>
                      </w14:textFill>
                    </w:rPr>
                    <w:t>不排放有毒有害物质</w:t>
                  </w:r>
                </w:p>
              </w:tc>
              <w:tc>
                <w:tcPr>
                  <w:tcW w:w="1332" w:type="dxa"/>
                  <w:tcBorders>
                    <w:tl2br w:val="nil"/>
                    <w:tr2bl w:val="nil"/>
                  </w:tcBorders>
                  <w:shd w:val="clear" w:color="auto" w:fill="FFFFFF"/>
                  <w:vAlign w:val="center"/>
                </w:tcPr>
                <w:p w14:paraId="7DB4D72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否</w:t>
                  </w:r>
                </w:p>
              </w:tc>
            </w:tr>
            <w:tr w14:paraId="62BAC581">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9" w:type="dxa"/>
                  <w:tcBorders>
                    <w:tl2br w:val="nil"/>
                    <w:tr2bl w:val="nil"/>
                  </w:tcBorders>
                  <w:shd w:val="clear" w:color="auto" w:fill="FFFFFF"/>
                  <w:vAlign w:val="center"/>
                </w:tcPr>
                <w:p w14:paraId="6682D91B">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地表水</w:t>
                  </w:r>
                </w:p>
              </w:tc>
              <w:tc>
                <w:tcPr>
                  <w:tcW w:w="3205" w:type="dxa"/>
                  <w:tcBorders>
                    <w:tl2br w:val="nil"/>
                    <w:tr2bl w:val="nil"/>
                  </w:tcBorders>
                  <w:shd w:val="clear" w:color="auto" w:fill="FFFFFF"/>
                  <w:vAlign w:val="center"/>
                </w:tcPr>
                <w:p w14:paraId="44CFBC5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新增工业废水直排建设项目（槽罐车外送污水处理厂的除外）；新增废水直排的污水集中处理厂</w:t>
                  </w:r>
                </w:p>
              </w:tc>
              <w:tc>
                <w:tcPr>
                  <w:tcW w:w="2852" w:type="dxa"/>
                  <w:tcBorders>
                    <w:tl2br w:val="nil"/>
                    <w:tr2bl w:val="nil"/>
                  </w:tcBorders>
                  <w:shd w:val="clear" w:color="auto" w:fill="FFFFFF"/>
                  <w:vAlign w:val="center"/>
                </w:tcPr>
                <w:p w14:paraId="4CC4070B">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b w:val="0"/>
                      <w:color w:val="000000" w:themeColor="text1"/>
                      <w:highlight w:val="none"/>
                      <w:lang w:val="en-US"/>
                      <w14:textFill>
                        <w14:solidFill>
                          <w14:schemeClr w14:val="tx1"/>
                        </w14:solidFill>
                      </w14:textFill>
                    </w:rPr>
                  </w:pPr>
                  <w:r>
                    <w:rPr>
                      <w:b w:val="0"/>
                      <w:color w:val="000000" w:themeColor="text1"/>
                      <w:highlight w:val="none"/>
                      <w14:textFill>
                        <w14:solidFill>
                          <w14:schemeClr w14:val="tx1"/>
                        </w14:solidFill>
                      </w14:textFill>
                    </w:rPr>
                    <w:t>本项目</w:t>
                  </w:r>
                  <w:r>
                    <w:rPr>
                      <w:rFonts w:hint="eastAsia"/>
                      <w:b w:val="0"/>
                      <w:color w:val="000000" w:themeColor="text1"/>
                      <w:highlight w:val="none"/>
                      <w:lang w:val="en-US" w:eastAsia="zh-CN"/>
                      <w14:textFill>
                        <w14:solidFill>
                          <w14:schemeClr w14:val="tx1"/>
                        </w14:solidFill>
                      </w14:textFill>
                    </w:rPr>
                    <w:t>生产废水经过沉淀后循环使用不外排，</w:t>
                  </w:r>
                  <w:r>
                    <w:rPr>
                      <w:rFonts w:hint="eastAsia"/>
                      <w:b w:val="0"/>
                      <w:color w:val="000000" w:themeColor="text1"/>
                      <w:highlight w:val="none"/>
                      <w14:textFill>
                        <w14:solidFill>
                          <w14:schemeClr w14:val="tx1"/>
                        </w14:solidFill>
                      </w14:textFill>
                    </w:rPr>
                    <w:t>生活污水</w:t>
                  </w:r>
                  <w:r>
                    <w:rPr>
                      <w:rFonts w:hint="eastAsia"/>
                      <w:b w:val="0"/>
                      <w:color w:val="000000" w:themeColor="text1"/>
                      <w:highlight w:val="none"/>
                      <w:lang w:eastAsia="zh-CN"/>
                      <w14:textFill>
                        <w14:solidFill>
                          <w14:schemeClr w14:val="tx1"/>
                        </w14:solidFill>
                      </w14:textFill>
                    </w:rPr>
                    <w:t>排入化粪池，</w:t>
                  </w:r>
                  <w:r>
                    <w:rPr>
                      <w:rFonts w:hint="eastAsia"/>
                      <w:b w:val="0"/>
                      <w:color w:val="000000" w:themeColor="text1"/>
                      <w:highlight w:val="none"/>
                      <w14:textFill>
                        <w14:solidFill>
                          <w14:schemeClr w14:val="tx1"/>
                        </w14:solidFill>
                      </w14:textFill>
                    </w:rPr>
                    <w:t>最终</w:t>
                  </w:r>
                  <w:r>
                    <w:rPr>
                      <w:rFonts w:hint="eastAsia"/>
                      <w:b w:val="0"/>
                      <w:color w:val="000000" w:themeColor="text1"/>
                      <w:highlight w:val="none"/>
                      <w:lang w:eastAsia="zh-CN"/>
                      <w14:textFill>
                        <w14:solidFill>
                          <w14:schemeClr w14:val="tx1"/>
                        </w14:solidFill>
                      </w14:textFill>
                    </w:rPr>
                    <w:t>由吸污车运往</w:t>
                  </w:r>
                  <w:r>
                    <w:rPr>
                      <w:rFonts w:hint="default" w:ascii="Times New Roman" w:hAnsi="Times New Roman" w:eastAsia="宋体" w:cs="Times New Roman"/>
                      <w:b w:val="0"/>
                      <w:color w:val="000000" w:themeColor="text1"/>
                      <w:spacing w:val="0"/>
                      <w:sz w:val="21"/>
                      <w:szCs w:val="21"/>
                      <w:lang w:val="en-US" w:eastAsia="zh-CN"/>
                      <w14:textFill>
                        <w14:solidFill>
                          <w14:schemeClr w14:val="tx1"/>
                        </w14:solidFill>
                      </w14:textFill>
                    </w:rPr>
                    <w:t>昌吉市第二污水处理厂</w:t>
                  </w:r>
                  <w:r>
                    <w:rPr>
                      <w:rFonts w:hint="eastAsia"/>
                      <w:b w:val="0"/>
                      <w:color w:val="000000" w:themeColor="text1"/>
                      <w:highlight w:val="none"/>
                      <w14:textFill>
                        <w14:solidFill>
                          <w14:schemeClr w14:val="tx1"/>
                        </w14:solidFill>
                      </w14:textFill>
                    </w:rPr>
                    <w:t>处理</w:t>
                  </w:r>
                  <w:r>
                    <w:rPr>
                      <w:rFonts w:hint="default" w:ascii="Times New Roman" w:hAnsi="Times New Roman" w:cs="Times New Roman"/>
                      <w:b w:val="0"/>
                      <w:color w:val="000000" w:themeColor="text1"/>
                      <w:spacing w:val="0"/>
                      <w:sz w:val="21"/>
                      <w:szCs w:val="21"/>
                      <w:lang w:val="en-US" w:eastAsia="zh-CN"/>
                      <w14:textFill>
                        <w14:solidFill>
                          <w14:schemeClr w14:val="tx1"/>
                        </w14:solidFill>
                      </w14:textFill>
                    </w:rPr>
                    <w:t>。</w:t>
                  </w:r>
                </w:p>
              </w:tc>
              <w:tc>
                <w:tcPr>
                  <w:tcW w:w="1332" w:type="dxa"/>
                  <w:tcBorders>
                    <w:tl2br w:val="nil"/>
                    <w:tr2bl w:val="nil"/>
                  </w:tcBorders>
                  <w:shd w:val="clear" w:color="auto" w:fill="FFFFFF"/>
                  <w:vAlign w:val="center"/>
                </w:tcPr>
                <w:p w14:paraId="21E82AB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否</w:t>
                  </w:r>
                </w:p>
              </w:tc>
            </w:tr>
            <w:tr w14:paraId="4EC34689">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889" w:type="dxa"/>
                  <w:tcBorders>
                    <w:tl2br w:val="nil"/>
                    <w:tr2bl w:val="nil"/>
                  </w:tcBorders>
                  <w:shd w:val="clear" w:color="auto" w:fill="FFFFFF"/>
                  <w:vAlign w:val="center"/>
                </w:tcPr>
                <w:p w14:paraId="3237D3B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环境</w:t>
                  </w:r>
                </w:p>
                <w:p w14:paraId="22C1AB8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风险</w:t>
                  </w:r>
                </w:p>
              </w:tc>
              <w:tc>
                <w:tcPr>
                  <w:tcW w:w="3205" w:type="dxa"/>
                  <w:tcBorders>
                    <w:tl2br w:val="nil"/>
                    <w:tr2bl w:val="nil"/>
                  </w:tcBorders>
                  <w:shd w:val="clear" w:color="auto" w:fill="FFFFFF"/>
                  <w:vAlign w:val="center"/>
                </w:tcPr>
                <w:p w14:paraId="7ADE660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有毒有害和易燃易爆危险物质存储量超过临界量</w:t>
                  </w:r>
                  <w:r>
                    <w:rPr>
                      <w:b w:val="0"/>
                      <w:color w:val="000000" w:themeColor="text1"/>
                      <w:vertAlign w:val="superscript"/>
                      <w14:textFill>
                        <w14:solidFill>
                          <w14:schemeClr w14:val="tx1"/>
                        </w14:solidFill>
                      </w14:textFill>
                    </w:rPr>
                    <w:t>3</w:t>
                  </w:r>
                  <w:r>
                    <w:rPr>
                      <w:b w:val="0"/>
                      <w:color w:val="000000" w:themeColor="text1"/>
                      <w14:textFill>
                        <w14:solidFill>
                          <w14:schemeClr w14:val="tx1"/>
                        </w14:solidFill>
                      </w14:textFill>
                    </w:rPr>
                    <w:t>的建设项目</w:t>
                  </w:r>
                </w:p>
              </w:tc>
              <w:tc>
                <w:tcPr>
                  <w:tcW w:w="2852" w:type="dxa"/>
                  <w:tcBorders>
                    <w:tl2br w:val="nil"/>
                    <w:tr2bl w:val="nil"/>
                  </w:tcBorders>
                  <w:shd w:val="clear" w:color="auto" w:fill="FFFFFF"/>
                  <w:vAlign w:val="center"/>
                </w:tcPr>
                <w:p w14:paraId="40FC404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本项目风险物质存储量未超过临界量</w:t>
                  </w:r>
                </w:p>
              </w:tc>
              <w:tc>
                <w:tcPr>
                  <w:tcW w:w="1332" w:type="dxa"/>
                  <w:tcBorders>
                    <w:tl2br w:val="nil"/>
                    <w:tr2bl w:val="nil"/>
                  </w:tcBorders>
                  <w:shd w:val="clear" w:color="auto" w:fill="FFFFFF"/>
                  <w:vAlign w:val="center"/>
                </w:tcPr>
                <w:p w14:paraId="2839DC40">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否</w:t>
                  </w:r>
                </w:p>
              </w:tc>
            </w:tr>
            <w:tr w14:paraId="3CFB5C9C">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405" w:hRule="atLeast"/>
                <w:jc w:val="center"/>
              </w:trPr>
              <w:tc>
                <w:tcPr>
                  <w:tcW w:w="889" w:type="dxa"/>
                  <w:tcBorders>
                    <w:tl2br w:val="nil"/>
                    <w:tr2bl w:val="nil"/>
                  </w:tcBorders>
                  <w:shd w:val="clear" w:color="auto" w:fill="FFFFFF"/>
                  <w:vAlign w:val="center"/>
                </w:tcPr>
                <w:p w14:paraId="3475D3F5">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生态</w:t>
                  </w:r>
                </w:p>
              </w:tc>
              <w:tc>
                <w:tcPr>
                  <w:tcW w:w="3205" w:type="dxa"/>
                  <w:tcBorders>
                    <w:tl2br w:val="nil"/>
                    <w:tr2bl w:val="nil"/>
                  </w:tcBorders>
                  <w:shd w:val="clear" w:color="auto" w:fill="FFFFFF"/>
                  <w:vAlign w:val="center"/>
                </w:tcPr>
                <w:p w14:paraId="27511DD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取水口下游500米范围内有重要水生生物的自然产卵场、索饵场、越冬场和洄游通道的新增河道取水的污染类建设项目</w:t>
                  </w:r>
                </w:p>
              </w:tc>
              <w:tc>
                <w:tcPr>
                  <w:tcW w:w="2852" w:type="dxa"/>
                  <w:tcBorders>
                    <w:tl2br w:val="nil"/>
                    <w:tr2bl w:val="nil"/>
                  </w:tcBorders>
                  <w:shd w:val="clear" w:color="auto" w:fill="FFFFFF"/>
                  <w:vAlign w:val="center"/>
                </w:tcPr>
                <w:p w14:paraId="6DF2B80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本项目用水不取自地表水，不属于取水口下游500米范围内有重要水生生物的自然产卵场、索饵场、越冬场和洄游通道的新增河道取水的污染类建设项目</w:t>
                  </w:r>
                </w:p>
              </w:tc>
              <w:tc>
                <w:tcPr>
                  <w:tcW w:w="1332" w:type="dxa"/>
                  <w:tcBorders>
                    <w:tl2br w:val="nil"/>
                    <w:tr2bl w:val="nil"/>
                  </w:tcBorders>
                  <w:shd w:val="clear" w:color="auto" w:fill="FFFFFF"/>
                  <w:vAlign w:val="center"/>
                </w:tcPr>
                <w:p w14:paraId="138A556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否</w:t>
                  </w:r>
                </w:p>
              </w:tc>
            </w:tr>
            <w:tr w14:paraId="4C362D3C">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889" w:type="dxa"/>
                  <w:tcBorders>
                    <w:bottom w:val="single" w:color="000000" w:sz="12" w:space="0"/>
                    <w:tl2br w:val="nil"/>
                    <w:tr2bl w:val="nil"/>
                  </w:tcBorders>
                  <w:shd w:val="clear" w:color="auto" w:fill="FFFFFF"/>
                  <w:vAlign w:val="center"/>
                </w:tcPr>
                <w:p w14:paraId="121CA0B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海洋</w:t>
                  </w:r>
                </w:p>
              </w:tc>
              <w:tc>
                <w:tcPr>
                  <w:tcW w:w="3205" w:type="dxa"/>
                  <w:tcBorders>
                    <w:bottom w:val="single" w:color="000000" w:sz="12" w:space="0"/>
                    <w:tl2br w:val="nil"/>
                    <w:tr2bl w:val="nil"/>
                  </w:tcBorders>
                  <w:shd w:val="clear" w:color="auto" w:fill="FFFFFF"/>
                  <w:vAlign w:val="center"/>
                </w:tcPr>
                <w:p w14:paraId="6F4F6B3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直接向海排放污染物的海洋工程建设项目</w:t>
                  </w:r>
                </w:p>
              </w:tc>
              <w:tc>
                <w:tcPr>
                  <w:tcW w:w="2852" w:type="dxa"/>
                  <w:tcBorders>
                    <w:bottom w:val="single" w:color="000000" w:sz="12" w:space="0"/>
                    <w:tl2br w:val="nil"/>
                    <w:tr2bl w:val="nil"/>
                  </w:tcBorders>
                  <w:shd w:val="clear" w:color="auto" w:fill="FFFFFF"/>
                  <w:vAlign w:val="center"/>
                </w:tcPr>
                <w:p w14:paraId="54D1272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本项目不属于海洋工程项目</w:t>
                  </w:r>
                </w:p>
              </w:tc>
              <w:tc>
                <w:tcPr>
                  <w:tcW w:w="1332" w:type="dxa"/>
                  <w:tcBorders>
                    <w:bottom w:val="single" w:color="000000" w:sz="12" w:space="0"/>
                    <w:tl2br w:val="nil"/>
                    <w:tr2bl w:val="nil"/>
                  </w:tcBorders>
                  <w:shd w:val="clear" w:color="auto" w:fill="FFFFFF"/>
                  <w:vAlign w:val="center"/>
                </w:tcPr>
                <w:p w14:paraId="76D7B48B">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否</w:t>
                  </w:r>
                </w:p>
              </w:tc>
            </w:tr>
          </w:tbl>
          <w:p w14:paraId="557230A3">
            <w:pPr>
              <w:autoSpaceDE w:val="0"/>
              <w:autoSpaceDN w:val="0"/>
              <w:adjustRightInd w:val="0"/>
              <w:snapToGrid w:val="0"/>
              <w:ind w:firstLine="480"/>
              <w:jc w:val="center"/>
              <w:rPr>
                <w:color w:val="000000" w:themeColor="text1"/>
                <w:kern w:val="0"/>
                <w:szCs w:val="21"/>
                <w14:textFill>
                  <w14:solidFill>
                    <w14:schemeClr w14:val="tx1"/>
                  </w14:solidFill>
                </w14:textFill>
              </w:rPr>
            </w:pPr>
          </w:p>
        </w:tc>
      </w:tr>
      <w:tr w14:paraId="4594AF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27" w:hRule="atLeast"/>
          <w:jc w:val="center"/>
        </w:trPr>
        <w:tc>
          <w:tcPr>
            <w:tcW w:w="736" w:type="dxa"/>
            <w:tcBorders>
              <w:tl2br w:val="nil"/>
              <w:tr2bl w:val="nil"/>
            </w:tcBorders>
            <w:vAlign w:val="center"/>
          </w:tcPr>
          <w:p w14:paraId="330213DB">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规划情况</w:t>
            </w:r>
          </w:p>
        </w:tc>
        <w:tc>
          <w:tcPr>
            <w:tcW w:w="8543" w:type="dxa"/>
            <w:gridSpan w:val="4"/>
            <w:tcBorders>
              <w:tl2br w:val="nil"/>
              <w:tr2bl w:val="nil"/>
            </w:tcBorders>
            <w:vAlign w:val="center"/>
          </w:tcPr>
          <w:p w14:paraId="07048515">
            <w:pPr>
              <w:keepNext w:val="0"/>
              <w:keepLines w:val="0"/>
              <w:widowControl/>
              <w:suppressLineNumbers w:val="0"/>
              <w:jc w:val="center"/>
              <w:rPr>
                <w:rFonts w:hint="eastAsia" w:ascii="Times New Roman" w:hAnsi="Times New Roman" w:eastAsia="宋体"/>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无</w:t>
            </w:r>
          </w:p>
        </w:tc>
      </w:tr>
      <w:tr w14:paraId="5513B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736" w:type="dxa"/>
            <w:tcBorders>
              <w:tl2br w:val="nil"/>
              <w:tr2bl w:val="nil"/>
            </w:tcBorders>
            <w:vAlign w:val="center"/>
          </w:tcPr>
          <w:p w14:paraId="74301809">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规划环境影响</w:t>
            </w:r>
          </w:p>
          <w:p w14:paraId="7416F8AB">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评价情况</w:t>
            </w:r>
          </w:p>
        </w:tc>
        <w:tc>
          <w:tcPr>
            <w:tcW w:w="8543" w:type="dxa"/>
            <w:gridSpan w:val="4"/>
            <w:tcBorders>
              <w:tl2br w:val="nil"/>
              <w:tr2bl w:val="nil"/>
            </w:tcBorders>
            <w:vAlign w:val="center"/>
          </w:tcPr>
          <w:p w14:paraId="75B12C60">
            <w:pPr>
              <w:keepNext w:val="0"/>
              <w:keepLines w:val="0"/>
              <w:widowControl/>
              <w:suppressLineNumbers w:val="0"/>
              <w:jc w:val="center"/>
              <w:rPr>
                <w:color w:val="000000" w:themeColor="text1"/>
                <w:kern w:val="21"/>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无</w:t>
            </w:r>
          </w:p>
        </w:tc>
      </w:tr>
      <w:tr w14:paraId="45210A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6" w:type="dxa"/>
            <w:tcBorders>
              <w:tl2br w:val="nil"/>
              <w:tr2bl w:val="nil"/>
            </w:tcBorders>
            <w:vAlign w:val="center"/>
          </w:tcPr>
          <w:p w14:paraId="6F5947B7">
            <w:pPr>
              <w:pStyle w:val="17"/>
              <w:rPr>
                <w:b/>
                <w:bCs/>
                <w:color w:val="000000" w:themeColor="text1"/>
                <w14:textFill>
                  <w14:solidFill>
                    <w14:schemeClr w14:val="tx1"/>
                  </w14:solidFill>
                </w14:textFill>
              </w:rPr>
            </w:pPr>
            <w:r>
              <w:rPr>
                <w:b/>
                <w:bCs/>
                <w:color w:val="000000" w:themeColor="text1"/>
                <w14:textFill>
                  <w14:solidFill>
                    <w14:schemeClr w14:val="tx1"/>
                  </w14:solidFill>
                </w14:textFill>
              </w:rPr>
              <w:t>规划及规划环境影响评价符合性分析</w:t>
            </w:r>
          </w:p>
        </w:tc>
        <w:tc>
          <w:tcPr>
            <w:tcW w:w="8543" w:type="dxa"/>
            <w:gridSpan w:val="4"/>
            <w:tcBorders>
              <w:tl2br w:val="nil"/>
              <w:tr2bl w:val="nil"/>
            </w:tcBorders>
            <w:vAlign w:val="center"/>
          </w:tcPr>
          <w:p w14:paraId="29D642E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center"/>
              <w:textAlignment w:val="auto"/>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无</w:t>
            </w:r>
          </w:p>
        </w:tc>
      </w:tr>
      <w:tr w14:paraId="420BBC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6" w:type="dxa"/>
            <w:tcBorders>
              <w:tl2br w:val="nil"/>
              <w:tr2bl w:val="nil"/>
            </w:tcBorders>
            <w:vAlign w:val="center"/>
          </w:tcPr>
          <w:p w14:paraId="1F9FCACD">
            <w:pPr>
              <w:pStyle w:val="2"/>
              <w:spacing w:before="24" w:after="24"/>
              <w:rPr>
                <w:color w:val="000000" w:themeColor="text1"/>
                <w14:textFill>
                  <w14:solidFill>
                    <w14:schemeClr w14:val="tx1"/>
                  </w14:solidFill>
                </w14:textFill>
              </w:rPr>
            </w:pPr>
            <w:r>
              <w:rPr>
                <w:b/>
                <w:bCs/>
                <w:color w:val="000000" w:themeColor="text1"/>
                <w14:textFill>
                  <w14:solidFill>
                    <w14:schemeClr w14:val="tx1"/>
                  </w14:solidFill>
                </w14:textFill>
              </w:rPr>
              <w:t>其他符合性分析</w:t>
            </w:r>
          </w:p>
        </w:tc>
        <w:tc>
          <w:tcPr>
            <w:tcW w:w="8543" w:type="dxa"/>
            <w:gridSpan w:val="4"/>
            <w:tcBorders>
              <w:tl2br w:val="nil"/>
              <w:tr2bl w:val="nil"/>
            </w:tcBorders>
            <w:vAlign w:val="center"/>
          </w:tcPr>
          <w:p w14:paraId="10F5E77B">
            <w:pPr>
              <w:keepNext w:val="0"/>
              <w:keepLines w:val="0"/>
              <w:widowControl/>
              <w:suppressLineNumbers w:val="0"/>
              <w:jc w:val="left"/>
              <w:rPr>
                <w:rFonts w:hint="eastAsia"/>
                <w:b/>
                <w:bCs/>
                <w:color w:val="000000" w:themeColor="text1"/>
                <w:kern w:val="2"/>
                <w:sz w:val="24"/>
                <w:szCs w:val="24"/>
                <w:lang w:val="en-US" w:eastAsia="zh-CN"/>
                <w14:textFill>
                  <w14:solidFill>
                    <w14:schemeClr w14:val="tx1"/>
                  </w14:solidFill>
                </w14:textFill>
              </w:rPr>
            </w:pPr>
            <w:r>
              <w:rPr>
                <w:rFonts w:hint="eastAsia"/>
                <w:b/>
                <w:bCs/>
                <w:color w:val="000000" w:themeColor="text1"/>
                <w:kern w:val="2"/>
                <w:sz w:val="24"/>
                <w:szCs w:val="24"/>
                <w:lang w:val="en-US" w:eastAsia="zh-CN"/>
                <w14:textFill>
                  <w14:solidFill>
                    <w14:schemeClr w14:val="tx1"/>
                  </w14:solidFill>
                </w14:textFill>
              </w:rPr>
              <w:t>（一）产业政策符合性分析</w:t>
            </w:r>
          </w:p>
          <w:p w14:paraId="71263363">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ascii="Times New Roman" w:hAnsi="Times New Roman" w:eastAsia="宋体" w:cs="宋体"/>
                <w:color w:val="000000" w:themeColor="text1"/>
                <w:sz w:val="24"/>
                <w:szCs w:val="24"/>
                <w14:textFill>
                  <w14:solidFill>
                    <w14:schemeClr w14:val="tx1"/>
                  </w14:solidFill>
                </w14:textFill>
              </w:rPr>
              <w:t>本项目为砂厂固废水洗制砂扩建项目，不涉及采矿，依托砂厂固废资源化加工砂石骨料。对照《产业结构调整指导目录（2024年本）》，项目属于工业固废循环利用范畴，不在限制类、淘汰类目录内，已取得昌吉市发改委投资备案，符合国家产业政策。</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综上，本项目符合国家产业政策。</w:t>
            </w:r>
          </w:p>
          <w:p w14:paraId="13D777E9">
            <w:pPr>
              <w:keepNext w:val="0"/>
              <w:keepLines w:val="0"/>
              <w:widowControl/>
              <w:suppressLineNumbers w:val="0"/>
              <w:jc w:val="left"/>
              <w:rPr>
                <w:rFonts w:hint="eastAsia"/>
                <w:b/>
                <w:bCs/>
                <w:color w:val="000000" w:themeColor="text1"/>
                <w:kern w:val="2"/>
                <w:sz w:val="24"/>
                <w:szCs w:val="24"/>
                <w:lang w:val="en-US" w:eastAsia="zh-CN"/>
                <w14:textFill>
                  <w14:solidFill>
                    <w14:schemeClr w14:val="tx1"/>
                  </w14:solidFill>
                </w14:textFill>
              </w:rPr>
            </w:pPr>
            <w:r>
              <w:rPr>
                <w:rFonts w:hint="eastAsia"/>
                <w:b/>
                <w:bCs/>
                <w:color w:val="000000" w:themeColor="text1"/>
                <w:kern w:val="2"/>
                <w:sz w:val="24"/>
                <w:szCs w:val="24"/>
                <w:lang w:val="en-US" w:eastAsia="zh-CN"/>
                <w14:textFill>
                  <w14:solidFill>
                    <w14:schemeClr w14:val="tx1"/>
                  </w14:solidFill>
                </w14:textFill>
              </w:rPr>
              <w:t>（二）与《市场准入负面清单（2025年版）》符合性分析</w:t>
            </w:r>
          </w:p>
          <w:p w14:paraId="65341FE1">
            <w:pPr>
              <w:keepNext w:val="0"/>
              <w:keepLines w:val="0"/>
              <w:widowControl/>
              <w:suppressLineNumbers w:val="0"/>
              <w:jc w:val="left"/>
              <w:rPr>
                <w:rFonts w:ascii="Times New Roman" w:hAnsi="Times New Roman" w:eastAsia="宋体" w:cs="宋体"/>
                <w:color w:val="000000" w:themeColor="text1"/>
                <w:sz w:val="24"/>
                <w:szCs w:val="24"/>
                <w14:textFill>
                  <w14:solidFill>
                    <w14:schemeClr w14:val="tx1"/>
                  </w14:solidFill>
                </w14:textFill>
              </w:rPr>
            </w:pPr>
            <w:r>
              <w:rPr>
                <w:rFonts w:ascii="Times New Roman" w:hAnsi="Times New Roman" w:eastAsia="宋体" w:cs="宋体"/>
                <w:color w:val="000000" w:themeColor="text1"/>
                <w:sz w:val="24"/>
                <w:szCs w:val="24"/>
                <w14:textFill>
                  <w14:solidFill>
                    <w14:schemeClr w14:val="tx1"/>
                  </w14:solidFill>
                </w14:textFill>
              </w:rPr>
              <w:t>根据《市场准入负面清单（2025年版）》，市场准入负面清单分为禁止和许可两类事项。对禁止准入事项，市场主体不得进入，行政机关不予审批、核准，不得办理有关手续；对许可准入事项，包括有关资格的要求和程序、技术标准和许可要求等，或由市场主体提出申请，行政机关依法依规作出是否予以准入的决定，或由市场主体依照政府规定的准入条件和准入方式合规进入；对市场准入负面清单以外的行业、领域、业务等，各类市场主体皆可依法平等进入。本项目为</w:t>
            </w:r>
            <w:r>
              <w:rPr>
                <w:rFonts w:hint="eastAsia" w:cs="宋体"/>
                <w:color w:val="000000" w:themeColor="text1"/>
                <w:sz w:val="24"/>
                <w:szCs w:val="24"/>
                <w:lang w:val="en-US" w:eastAsia="zh-CN"/>
                <w14:textFill>
                  <w14:solidFill>
                    <w14:schemeClr w14:val="tx1"/>
                  </w14:solidFill>
                </w14:textFill>
              </w:rPr>
              <w:t>砂厂</w:t>
            </w:r>
            <w:r>
              <w:rPr>
                <w:rFonts w:ascii="Times New Roman" w:hAnsi="Times New Roman" w:eastAsia="宋体" w:cs="宋体"/>
                <w:color w:val="000000" w:themeColor="text1"/>
                <w:sz w:val="24"/>
                <w:szCs w:val="24"/>
                <w14:textFill>
                  <w14:solidFill>
                    <w14:schemeClr w14:val="tx1"/>
                  </w14:solidFill>
                </w14:textFill>
              </w:rPr>
              <w:t>固废处理加工制砂扩建项目，仅依托固废原料水洗加工砂石骨料、无采矿工序，不属于市场准入负面清单中禁止类建设项目；项目涉及环评、排污许可等均为常规许可准入手续，可依规申请办理。因此，本项目符合《市场准入负面清单（2025年版）》。</w:t>
            </w:r>
          </w:p>
          <w:p w14:paraId="65F6060A">
            <w:pPr>
              <w:keepNext w:val="0"/>
              <w:keepLines w:val="0"/>
              <w:widowControl/>
              <w:suppressLineNumbers w:val="0"/>
              <w:jc w:val="left"/>
              <w:rPr>
                <w:rFonts w:hint="eastAsia"/>
                <w:b/>
                <w:bCs/>
                <w:color w:val="000000" w:themeColor="text1"/>
                <w:kern w:val="2"/>
                <w:sz w:val="24"/>
                <w:szCs w:val="24"/>
                <w:lang w:val="en-US" w:eastAsia="zh-CN"/>
                <w14:textFill>
                  <w14:solidFill>
                    <w14:schemeClr w14:val="tx1"/>
                  </w14:solidFill>
                </w14:textFill>
              </w:rPr>
            </w:pPr>
            <w:r>
              <w:rPr>
                <w:rFonts w:hint="eastAsia"/>
                <w:b/>
                <w:bCs/>
                <w:color w:val="000000" w:themeColor="text1"/>
                <w:kern w:val="2"/>
                <w:sz w:val="24"/>
                <w:szCs w:val="24"/>
                <w:lang w:val="en-US" w:eastAsia="zh-CN"/>
                <w14:textFill>
                  <w14:solidFill>
                    <w14:schemeClr w14:val="tx1"/>
                  </w14:solidFill>
                </w14:textFill>
              </w:rPr>
              <w:t>（三）与相关生态环境保护法律法规政策及生态环境保护规划的符合性分析</w:t>
            </w:r>
          </w:p>
          <w:p w14:paraId="1E569744">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1.“生态环境分区管控”符合性分析</w:t>
            </w:r>
          </w:p>
          <w:p w14:paraId="0B3FFE4C">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（1）生态保护红线</w:t>
            </w:r>
          </w:p>
          <w:p w14:paraId="62C9D623">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按照“生态功能不降低、面积不减少、性质不改变”的基本要求，对划定的生态保护红线实施严格管控，保障和维护国家生态安全的底线和生命线。</w:t>
            </w:r>
          </w:p>
          <w:p w14:paraId="494081DD">
            <w:pPr>
              <w:pStyle w:val="54"/>
              <w:ind w:firstLine="48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本项目位于</w:t>
            </w:r>
            <w:r>
              <w:rPr>
                <w:rFonts w:hint="eastAsia" w:ascii="Times New Roman" w:hAnsi="Times New Roman" w:eastAsia="宋体" w:cs="Times New Roman"/>
                <w:b w:val="0"/>
                <w:bCs w:val="0"/>
                <w:color w:val="000000" w:themeColor="text1"/>
                <w:sz w:val="24"/>
                <w:highlight w:val="none"/>
                <w:lang w:val="en-US" w:eastAsia="zh-CN"/>
                <w14:textFill>
                  <w14:solidFill>
                    <w14:schemeClr w14:val="tx1"/>
                  </w14:solidFill>
                </w14:textFill>
              </w:rPr>
              <w:t>新疆昌吉市三工镇常胜四队99号</w:t>
            </w:r>
            <w:r>
              <w:rPr>
                <w:rFonts w:hint="eastAsia"/>
                <w:color w:val="000000" w:themeColor="text1"/>
                <w14:textFill>
                  <w14:solidFill>
                    <w14:schemeClr w14:val="tx1"/>
                  </w14:solidFill>
                </w14:textFill>
              </w:rPr>
              <w:t>，周边无自然保护区、风景名胜区、同时不在生态保护红线范围内，符合</w:t>
            </w:r>
            <w:r>
              <w:rPr>
                <w:color w:val="000000" w:themeColor="text1"/>
                <w14:textFill>
                  <w14:solidFill>
                    <w14:schemeClr w14:val="tx1"/>
                  </w14:solidFill>
                </w14:textFill>
              </w:rPr>
              <w:t>生态保护红线</w:t>
            </w:r>
            <w:r>
              <w:rPr>
                <w:rFonts w:hint="eastAsia"/>
                <w:color w:val="000000" w:themeColor="text1"/>
                <w14:textFill>
                  <w14:solidFill>
                    <w14:schemeClr w14:val="tx1"/>
                  </w14:solidFill>
                </w14:textFill>
              </w:rPr>
              <w:t>相关要求。</w:t>
            </w:r>
          </w:p>
          <w:p w14:paraId="2BF59F47">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（2）环境质量底线</w:t>
            </w:r>
          </w:p>
          <w:p w14:paraId="6DAAE216">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环境质量底线是国家和地方设置的大气、水和土壤环境质量目标，也是改善环境质量的基准线。项目环评应对照区域环境质量目标，深入分析预测项目建设对环境质量的影响，强化污染防治措施和污染物排放控制要求。</w:t>
            </w:r>
          </w:p>
          <w:p w14:paraId="2F0B5053">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本项目产生的废气、废水、噪声、固废等污染物均采取了严格的治理和处置措施，污染物能达标排放，采取相应措施后经预测能够满足相关标准要求，符合环境质量底线的要求，不会对环境质量底线产生冲击。</w:t>
            </w:r>
          </w:p>
          <w:p w14:paraId="562DD915">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（3）资源利用上线</w:t>
            </w:r>
          </w:p>
          <w:p w14:paraId="0FCE0991">
            <w:pPr>
              <w:pStyle w:val="54"/>
              <w:ind w:firstLine="480"/>
              <w:jc w:val="both"/>
              <w:rPr>
                <w:color w:val="000000" w:themeColor="text1"/>
                <w14:textFill>
                  <w14:solidFill>
                    <w14:schemeClr w14:val="tx1"/>
                  </w14:solidFill>
                </w14:textFill>
              </w:rPr>
            </w:pPr>
            <w:r>
              <w:rPr>
                <w:rFonts w:cs="Times New Roman"/>
                <w:bCs/>
                <w:color w:val="000000" w:themeColor="text1"/>
                <w14:textFill>
                  <w14:solidFill>
                    <w14:schemeClr w14:val="tx1"/>
                  </w14:solidFill>
                </w14:textFill>
              </w:rPr>
              <w:t>资源是环境的载体，资源利用上线是各区能源、水、土地等资源消耗不得突破的“天花板”</w:t>
            </w:r>
            <w:r>
              <w:rPr>
                <w:rFonts w:hint="eastAsia" w:cs="Times New Roman"/>
                <w:bCs/>
                <w:color w:val="000000" w:themeColor="text1"/>
                <w14:textFill>
                  <w14:solidFill>
                    <w14:schemeClr w14:val="tx1"/>
                  </w14:solidFill>
                </w14:textFill>
              </w:rPr>
              <w:t>。</w:t>
            </w:r>
          </w:p>
          <w:p w14:paraId="08E74316">
            <w:pPr>
              <w:pStyle w:val="54"/>
              <w:ind w:firstLine="48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rFonts w:hint="eastAsia"/>
                <w:color w:val="000000" w:themeColor="text1"/>
                <w:lang w:eastAsia="zh-CN"/>
                <w14:textFill>
                  <w14:solidFill>
                    <w14:schemeClr w14:val="tx1"/>
                  </w14:solidFill>
                </w14:textFill>
              </w:rPr>
              <w:t>生产</w:t>
            </w:r>
            <w:r>
              <w:rPr>
                <w:rFonts w:hint="eastAsia"/>
                <w:color w:val="000000" w:themeColor="text1"/>
                <w14:textFill>
                  <w14:solidFill>
                    <w14:schemeClr w14:val="tx1"/>
                  </w14:solidFill>
                </w14:textFill>
              </w:rPr>
              <w:t>用水</w:t>
            </w:r>
            <w:r>
              <w:rPr>
                <w:rFonts w:hint="eastAsia"/>
                <w:color w:val="000000" w:themeColor="text1"/>
                <w:lang w:eastAsia="zh-CN"/>
                <w14:textFill>
                  <w14:solidFill>
                    <w14:schemeClr w14:val="tx1"/>
                  </w14:solidFill>
                </w14:textFill>
              </w:rPr>
              <w:t>为城市杂用水，职工生活用水</w:t>
            </w:r>
            <w:r>
              <w:rPr>
                <w:rFonts w:hint="eastAsia"/>
                <w:color w:val="000000" w:themeColor="text1"/>
                <w14:textFill>
                  <w14:solidFill>
                    <w14:schemeClr w14:val="tx1"/>
                  </w14:solidFill>
                </w14:textFill>
              </w:rPr>
              <w:t>来</w:t>
            </w:r>
            <w:r>
              <w:rPr>
                <w:rFonts w:hint="eastAsia"/>
                <w:color w:val="000000" w:themeColor="text1"/>
                <w:lang w:eastAsia="zh-CN"/>
                <w14:textFill>
                  <w14:solidFill>
                    <w14:schemeClr w14:val="tx1"/>
                  </w14:solidFill>
                </w14:textFill>
              </w:rPr>
              <w:t>源于</w:t>
            </w:r>
            <w:r>
              <w:rPr>
                <w:rFonts w:hint="eastAsia"/>
                <w:color w:val="000000" w:themeColor="text1"/>
                <w14:textFill>
                  <w14:solidFill>
                    <w14:schemeClr w14:val="tx1"/>
                  </w14:solidFill>
                </w14:textFill>
              </w:rPr>
              <w:t>城镇自来水，水源充足；项目能源主要为电能，用电由当地电网供电。项目建设</w:t>
            </w:r>
            <w:r>
              <w:rPr>
                <w:rFonts w:hint="eastAsia"/>
                <w:color w:val="000000" w:themeColor="text1"/>
                <w:lang w:val="en-US" w:eastAsia="zh-CN"/>
                <w14:textFill>
                  <w14:solidFill>
                    <w14:schemeClr w14:val="tx1"/>
                  </w14:solidFill>
                </w14:textFill>
              </w:rPr>
              <w:t>在现有厂区范围内进行建设且</w:t>
            </w:r>
            <w:r>
              <w:rPr>
                <w:rFonts w:hint="eastAsia"/>
                <w:color w:val="000000" w:themeColor="text1"/>
                <w14:textFill>
                  <w14:solidFill>
                    <w14:schemeClr w14:val="tx1"/>
                  </w14:solidFill>
                </w14:textFill>
              </w:rPr>
              <w:t>不涉及基本农田，</w:t>
            </w:r>
            <w:r>
              <w:rPr>
                <w:rFonts w:hint="eastAsia"/>
                <w:color w:val="000000" w:themeColor="text1"/>
                <w:lang w:val="en-US" w:eastAsia="zh-CN"/>
                <w14:textFill>
                  <w14:solidFill>
                    <w14:schemeClr w14:val="tx1"/>
                  </w14:solidFill>
                </w14:textFill>
              </w:rPr>
              <w:t>不新增占地</w:t>
            </w:r>
            <w:r>
              <w:rPr>
                <w:rFonts w:hint="eastAsia"/>
                <w:color w:val="000000" w:themeColor="text1"/>
                <w14:textFill>
                  <w14:solidFill>
                    <w14:schemeClr w14:val="tx1"/>
                  </w14:solidFill>
                </w14:textFill>
              </w:rPr>
              <w:t>。因此项目符合资源利用上线要求。</w:t>
            </w:r>
          </w:p>
          <w:p w14:paraId="17E67D86">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（4）与“生态环境分区管控”符合性分析</w:t>
            </w:r>
          </w:p>
          <w:p w14:paraId="2C98EDF4">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1）与《新疆维吾尔自治区生态环境分区管控动态更新成果》（新环环评发〔2024〕157号）符合性分析</w:t>
            </w:r>
          </w:p>
          <w:p w14:paraId="7138F399">
            <w:pPr>
              <w:pStyle w:val="227"/>
              <w:spacing w:line="359" w:lineRule="auto"/>
              <w:ind w:left="17" w:right="15" w:firstLine="479"/>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本项目与《新疆维吾尔自治区生态环境分区管控动态更新成果》（新环环评发〔2024〕157号）管控要求符合性分析见下表。</w:t>
            </w:r>
          </w:p>
          <w:p w14:paraId="53BCE833">
            <w:pPr>
              <w:keepNext w:val="0"/>
              <w:keepLines w:val="0"/>
              <w:widowControl/>
              <w:suppressLineNumbers w:val="0"/>
              <w:ind w:left="0" w:leftChars="0" w:firstLine="0" w:firstLineChars="0"/>
              <w:jc w:val="center"/>
              <w:rPr>
                <w:b/>
                <w:bCs/>
                <w:color w:val="000000" w:themeColor="text1"/>
                <w:spacing w:val="7"/>
                <w:sz w:val="21"/>
                <w:szCs w:val="21"/>
                <w14:textFill>
                  <w14:solidFill>
                    <w14:schemeClr w14:val="tx1"/>
                  </w14:solidFill>
                </w14:textFill>
              </w:rPr>
            </w:pPr>
            <w:r>
              <w:rPr>
                <w:b/>
                <w:bCs/>
                <w:color w:val="000000" w:themeColor="text1"/>
                <w:spacing w:val="7"/>
                <w:sz w:val="21"/>
                <w:szCs w:val="21"/>
                <w14:textFill>
                  <w14:solidFill>
                    <w14:schemeClr w14:val="tx1"/>
                  </w14:solidFill>
                </w14:textFill>
              </w:rPr>
              <w:t>表</w:t>
            </w:r>
            <w:r>
              <w:rPr>
                <w:color w:val="000000" w:themeColor="text1"/>
                <w:spacing w:val="-27"/>
                <w:sz w:val="21"/>
                <w:szCs w:val="21"/>
                <w14:textFill>
                  <w14:solidFill>
                    <w14:schemeClr w14:val="tx1"/>
                  </w14:solidFill>
                </w14:textFill>
              </w:rPr>
              <w:t xml:space="preserve"> </w:t>
            </w:r>
            <w:r>
              <w:rPr>
                <w:rFonts w:ascii="Times New Roman" w:hAnsi="Times New Roman" w:eastAsia="Times New Roman" w:cs="Times New Roman"/>
                <w:b/>
                <w:bCs/>
                <w:color w:val="000000" w:themeColor="text1"/>
                <w:spacing w:val="7"/>
                <w:sz w:val="21"/>
                <w:szCs w:val="21"/>
                <w14:textFill>
                  <w14:solidFill>
                    <w14:schemeClr w14:val="tx1"/>
                  </w14:solidFill>
                </w14:textFill>
              </w:rPr>
              <w:t>1-</w:t>
            </w:r>
            <w:r>
              <w:rPr>
                <w:rFonts w:hint="eastAsia" w:ascii="Times New Roman" w:hAnsi="Times New Roman" w:eastAsia="宋体" w:cs="Times New Roman"/>
                <w:b/>
                <w:bCs/>
                <w:color w:val="000000" w:themeColor="text1"/>
                <w:spacing w:val="7"/>
                <w:sz w:val="21"/>
                <w:szCs w:val="21"/>
                <w:lang w:val="en-US" w:eastAsia="zh-CN"/>
                <w14:textFill>
                  <w14:solidFill>
                    <w14:schemeClr w14:val="tx1"/>
                  </w14:solidFill>
                </w14:textFill>
              </w:rPr>
              <w:t>2</w:t>
            </w:r>
            <w:r>
              <w:rPr>
                <w:rFonts w:ascii="Times New Roman" w:hAnsi="Times New Roman" w:eastAsia="Times New Roman" w:cs="Times New Roman"/>
                <w:b/>
                <w:bCs/>
                <w:color w:val="000000" w:themeColor="text1"/>
                <w:spacing w:val="7"/>
                <w:sz w:val="21"/>
                <w:szCs w:val="21"/>
                <w14:textFill>
                  <w14:solidFill>
                    <w14:schemeClr w14:val="tx1"/>
                  </w14:solidFill>
                </w14:textFill>
              </w:rPr>
              <w:t xml:space="preserve">  </w:t>
            </w:r>
            <w:r>
              <w:rPr>
                <w:b/>
                <w:bCs/>
                <w:color w:val="000000" w:themeColor="text1"/>
                <w:spacing w:val="7"/>
                <w:sz w:val="21"/>
                <w:szCs w:val="21"/>
                <w14:textFill>
                  <w14:solidFill>
                    <w14:schemeClr w14:val="tx1"/>
                  </w14:solidFill>
                </w14:textFill>
              </w:rPr>
              <w:t>本项目与新疆维吾尔自治区生态环境分区管控要求符合性分析</w:t>
            </w:r>
          </w:p>
          <w:tbl>
            <w:tblPr>
              <w:tblStyle w:val="43"/>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8"/>
              <w:gridCol w:w="2390"/>
              <w:gridCol w:w="1299"/>
            </w:tblGrid>
            <w:tr w14:paraId="21E1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top w:val="single" w:color="000000" w:sz="12" w:space="0"/>
                    <w:left w:val="nil"/>
                    <w:tl2br w:val="nil"/>
                  </w:tcBorders>
                  <w:shd w:val="clear" w:color="auto" w:fill="FFFFFF"/>
                  <w:vAlign w:val="center"/>
                </w:tcPr>
                <w:p w14:paraId="1B34EC74">
                  <w:pPr>
                    <w:pStyle w:val="227"/>
                    <w:spacing w:before="112" w:line="223"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管控要求</w:t>
                  </w:r>
                </w:p>
              </w:tc>
              <w:tc>
                <w:tcPr>
                  <w:tcW w:w="2390" w:type="dxa"/>
                  <w:tcBorders>
                    <w:top w:val="single" w:color="000000" w:sz="12" w:space="0"/>
                  </w:tcBorders>
                  <w:shd w:val="clear" w:color="auto" w:fill="FFFFFF"/>
                  <w:vAlign w:val="center"/>
                </w:tcPr>
                <w:p w14:paraId="19C0D500">
                  <w:pPr>
                    <w:pStyle w:val="227"/>
                    <w:spacing w:before="112" w:line="223"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6"/>
                      <w:sz w:val="21"/>
                      <w:szCs w:val="21"/>
                      <w14:textFill>
                        <w14:solidFill>
                          <w14:schemeClr w14:val="tx1"/>
                        </w14:solidFill>
                      </w14:textFill>
                    </w:rPr>
                    <w:t>本项目情况</w:t>
                  </w:r>
                </w:p>
              </w:tc>
              <w:tc>
                <w:tcPr>
                  <w:tcW w:w="1299" w:type="dxa"/>
                  <w:tcBorders>
                    <w:top w:val="single" w:color="000000" w:sz="12" w:space="0"/>
                    <w:right w:val="nil"/>
                  </w:tcBorders>
                  <w:shd w:val="clear" w:color="auto" w:fill="FFFFFF"/>
                  <w:vAlign w:val="center"/>
                </w:tcPr>
                <w:p w14:paraId="43AF8AD4">
                  <w:pPr>
                    <w:pStyle w:val="227"/>
                    <w:spacing w:before="112" w:line="223"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符合性</w:t>
                  </w:r>
                </w:p>
              </w:tc>
            </w:tr>
            <w:tr w14:paraId="0666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5DA696A1">
                  <w:pPr>
                    <w:pStyle w:val="227"/>
                    <w:spacing w:before="65" w:line="333"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A1.1-1</w:t>
                  </w:r>
                  <w:r>
                    <w:rPr>
                      <w:rFonts w:ascii="Times New Roman" w:hAnsi="Times New Roman" w:eastAsia="宋体"/>
                      <w:b w:val="0"/>
                      <w:bCs w:val="0"/>
                      <w:color w:val="000000" w:themeColor="text1"/>
                      <w:spacing w:val="12"/>
                      <w:sz w:val="21"/>
                      <w:szCs w:val="21"/>
                      <w14:textFill>
                        <w14:solidFill>
                          <w14:schemeClr w14:val="tx1"/>
                        </w14:solidFill>
                      </w14:textFill>
                    </w:rPr>
                    <w:t>〕禁止新建、扩建《产业结构调整指导</w:t>
                  </w:r>
                  <w:r>
                    <w:rPr>
                      <w:rFonts w:ascii="Times New Roman" w:hAnsi="Times New Roman" w:eastAsia="宋体"/>
                      <w:b w:val="0"/>
                      <w:bCs w:val="0"/>
                      <w:color w:val="000000" w:themeColor="text1"/>
                      <w:sz w:val="21"/>
                      <w:szCs w:val="21"/>
                      <w14:textFill>
                        <w14:solidFill>
                          <w14:schemeClr w14:val="tx1"/>
                        </w14:solidFill>
                      </w14:textFill>
                    </w:rPr>
                    <w:t xml:space="preserve"> </w:t>
                  </w:r>
                  <w:r>
                    <w:rPr>
                      <w:rFonts w:ascii="Times New Roman" w:hAnsi="Times New Roman" w:eastAsia="宋体"/>
                      <w:b w:val="0"/>
                      <w:bCs w:val="0"/>
                      <w:color w:val="000000" w:themeColor="text1"/>
                      <w:spacing w:val="5"/>
                      <w:sz w:val="21"/>
                      <w:szCs w:val="21"/>
                      <w14:textFill>
                        <w14:solidFill>
                          <w14:schemeClr w14:val="tx1"/>
                        </w14:solidFill>
                      </w14:textFill>
                    </w:rPr>
                    <w:t>目录（</w:t>
                  </w:r>
                  <w:r>
                    <w:rPr>
                      <w:rFonts w:ascii="Times New Roman" w:hAnsi="Times New Roman" w:eastAsia="宋体" w:cs="Times New Roman"/>
                      <w:b w:val="0"/>
                      <w:bCs w:val="0"/>
                      <w:color w:val="000000" w:themeColor="text1"/>
                      <w:spacing w:val="5"/>
                      <w:sz w:val="21"/>
                      <w:szCs w:val="21"/>
                      <w14:textFill>
                        <w14:solidFill>
                          <w14:schemeClr w14:val="tx1"/>
                        </w14:solidFill>
                      </w14:textFill>
                    </w:rPr>
                    <w:t>2024</w:t>
                  </w:r>
                  <w:r>
                    <w:rPr>
                      <w:rFonts w:ascii="Times New Roman" w:hAnsi="Times New Roman" w:eastAsia="宋体"/>
                      <w:b w:val="0"/>
                      <w:bCs w:val="0"/>
                      <w:color w:val="000000" w:themeColor="text1"/>
                      <w:spacing w:val="5"/>
                      <w:sz w:val="21"/>
                      <w:szCs w:val="21"/>
                      <w14:textFill>
                        <w14:solidFill>
                          <w14:schemeClr w14:val="tx1"/>
                        </w14:solidFill>
                      </w14:textFill>
                    </w:rPr>
                    <w:t>年本）》中淘汰类项目。禁止引入《市场</w:t>
                  </w:r>
                  <w:r>
                    <w:rPr>
                      <w:rFonts w:ascii="Times New Roman" w:hAnsi="Times New Roman" w:eastAsia="宋体"/>
                      <w:b w:val="0"/>
                      <w:bCs w:val="0"/>
                      <w:color w:val="000000" w:themeColor="text1"/>
                      <w:spacing w:val="10"/>
                      <w:sz w:val="21"/>
                      <w:szCs w:val="21"/>
                      <w14:textFill>
                        <w14:solidFill>
                          <w14:schemeClr w14:val="tx1"/>
                        </w14:solidFill>
                      </w14:textFill>
                    </w:rPr>
                    <w:t>准入负面清单（</w:t>
                  </w:r>
                  <w:r>
                    <w:rPr>
                      <w:rFonts w:ascii="Times New Roman" w:hAnsi="Times New Roman" w:eastAsia="宋体" w:cs="Times New Roman"/>
                      <w:b w:val="0"/>
                      <w:bCs w:val="0"/>
                      <w:color w:val="000000" w:themeColor="text1"/>
                      <w:spacing w:val="10"/>
                      <w:sz w:val="21"/>
                      <w:szCs w:val="21"/>
                      <w14:textFill>
                        <w14:solidFill>
                          <w14:schemeClr w14:val="tx1"/>
                        </w14:solidFill>
                      </w14:textFill>
                    </w:rPr>
                    <w:t>2022</w:t>
                  </w:r>
                  <w:r>
                    <w:rPr>
                      <w:rFonts w:ascii="Times New Roman" w:hAnsi="Times New Roman" w:eastAsia="宋体"/>
                      <w:b w:val="0"/>
                      <w:bCs w:val="0"/>
                      <w:color w:val="000000" w:themeColor="text1"/>
                      <w:spacing w:val="10"/>
                      <w:sz w:val="21"/>
                      <w:szCs w:val="21"/>
                      <w14:textFill>
                        <w14:solidFill>
                          <w14:schemeClr w14:val="tx1"/>
                        </w14:solidFill>
                      </w14:textFill>
                    </w:rPr>
                    <w:t>年版）》禁止准入类事项。</w:t>
                  </w:r>
                </w:p>
              </w:tc>
              <w:tc>
                <w:tcPr>
                  <w:tcW w:w="2390" w:type="dxa"/>
                  <w:shd w:val="clear" w:color="auto" w:fill="FFFFFF"/>
                  <w:vAlign w:val="center"/>
                </w:tcPr>
                <w:p w14:paraId="2BCC1500">
                  <w:pPr>
                    <w:pStyle w:val="227"/>
                    <w:spacing w:before="109" w:line="314"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本项目不属于《产业</w:t>
                  </w:r>
                  <w:r>
                    <w:rPr>
                      <w:rFonts w:ascii="Times New Roman" w:hAnsi="Times New Roman" w:eastAsia="宋体"/>
                      <w:b w:val="0"/>
                      <w:bCs w:val="0"/>
                      <w:color w:val="000000" w:themeColor="text1"/>
                      <w:spacing w:val="-6"/>
                      <w:sz w:val="21"/>
                      <w:szCs w:val="21"/>
                      <w14:textFill>
                        <w14:solidFill>
                          <w14:schemeClr w14:val="tx1"/>
                        </w14:solidFill>
                      </w14:textFill>
                    </w:rPr>
                    <w:t>结构调整指导目录</w:t>
                  </w:r>
                  <w:r>
                    <w:rPr>
                      <w:rFonts w:ascii="Times New Roman" w:hAnsi="Times New Roman" w:eastAsia="宋体"/>
                      <w:b w:val="0"/>
                      <w:bCs w:val="0"/>
                      <w:color w:val="000000" w:themeColor="text1"/>
                      <w:spacing w:val="8"/>
                      <w:sz w:val="21"/>
                      <w:szCs w:val="21"/>
                      <w14:textFill>
                        <w14:solidFill>
                          <w14:schemeClr w14:val="tx1"/>
                        </w14:solidFill>
                      </w14:textFill>
                    </w:rPr>
                    <w:t>（</w:t>
                  </w:r>
                  <w:r>
                    <w:rPr>
                      <w:rFonts w:ascii="Times New Roman" w:hAnsi="Times New Roman" w:eastAsia="宋体" w:cs="Times New Roman"/>
                      <w:b w:val="0"/>
                      <w:bCs w:val="0"/>
                      <w:color w:val="000000" w:themeColor="text1"/>
                      <w:spacing w:val="8"/>
                      <w:sz w:val="21"/>
                      <w:szCs w:val="21"/>
                      <w14:textFill>
                        <w14:solidFill>
                          <w14:schemeClr w14:val="tx1"/>
                        </w14:solidFill>
                      </w14:textFill>
                    </w:rPr>
                    <w:t>2024</w:t>
                  </w:r>
                  <w:r>
                    <w:rPr>
                      <w:rFonts w:ascii="Times New Roman" w:hAnsi="Times New Roman" w:eastAsia="宋体"/>
                      <w:b w:val="0"/>
                      <w:bCs w:val="0"/>
                      <w:color w:val="000000" w:themeColor="text1"/>
                      <w:spacing w:val="8"/>
                      <w:sz w:val="21"/>
                      <w:szCs w:val="21"/>
                      <w14:textFill>
                        <w14:solidFill>
                          <w14:schemeClr w14:val="tx1"/>
                        </w14:solidFill>
                      </w14:textFill>
                    </w:rPr>
                    <w:t>年本）》和《市</w:t>
                  </w:r>
                  <w:r>
                    <w:rPr>
                      <w:rFonts w:ascii="Times New Roman" w:hAnsi="Times New Roman" w:eastAsia="宋体"/>
                      <w:b w:val="0"/>
                      <w:bCs w:val="0"/>
                      <w:color w:val="000000" w:themeColor="text1"/>
                      <w:spacing w:val="13"/>
                      <w:sz w:val="21"/>
                      <w:szCs w:val="21"/>
                      <w14:textFill>
                        <w14:solidFill>
                          <w14:schemeClr w14:val="tx1"/>
                        </w14:solidFill>
                      </w14:textFill>
                    </w:rPr>
                    <w:t>场准入负面清单（</w:t>
                  </w:r>
                  <w:r>
                    <w:rPr>
                      <w:rFonts w:ascii="Times New Roman" w:hAnsi="Times New Roman" w:eastAsia="宋体" w:cs="Times New Roman"/>
                      <w:b w:val="0"/>
                      <w:bCs w:val="0"/>
                      <w:color w:val="000000" w:themeColor="text1"/>
                      <w:spacing w:val="13"/>
                      <w:sz w:val="21"/>
                      <w:szCs w:val="21"/>
                      <w14:textFill>
                        <w14:solidFill>
                          <w14:schemeClr w14:val="tx1"/>
                        </w14:solidFill>
                      </w14:textFill>
                    </w:rPr>
                    <w:t>2025</w:t>
                  </w:r>
                  <w:r>
                    <w:rPr>
                      <w:rFonts w:ascii="Times New Roman" w:hAnsi="Times New Roman" w:eastAsia="宋体"/>
                      <w:b w:val="0"/>
                      <w:bCs w:val="0"/>
                      <w:color w:val="000000" w:themeColor="text1"/>
                      <w:spacing w:val="10"/>
                      <w:sz w:val="21"/>
                      <w:szCs w:val="21"/>
                      <w14:textFill>
                        <w14:solidFill>
                          <w14:schemeClr w14:val="tx1"/>
                        </w14:solidFill>
                      </w14:textFill>
                    </w:rPr>
                    <w:t>年版）</w:t>
                  </w:r>
                  <w:r>
                    <w:rPr>
                      <w:rFonts w:ascii="Times New Roman" w:hAnsi="Times New Roman" w:eastAsia="宋体"/>
                      <w:b w:val="0"/>
                      <w:bCs w:val="0"/>
                      <w:color w:val="000000" w:themeColor="text1"/>
                      <w:spacing w:val="-46"/>
                      <w:sz w:val="21"/>
                      <w:szCs w:val="21"/>
                      <w14:textFill>
                        <w14:solidFill>
                          <w14:schemeClr w14:val="tx1"/>
                        </w14:solidFill>
                      </w14:textFill>
                    </w:rPr>
                    <w:t xml:space="preserve"> </w:t>
                  </w:r>
                  <w:r>
                    <w:rPr>
                      <w:rFonts w:ascii="Times New Roman" w:hAnsi="Times New Roman" w:eastAsia="宋体"/>
                      <w:b w:val="0"/>
                      <w:bCs w:val="0"/>
                      <w:color w:val="000000" w:themeColor="text1"/>
                      <w:spacing w:val="10"/>
                      <w:sz w:val="21"/>
                      <w:szCs w:val="21"/>
                      <w14:textFill>
                        <w14:solidFill>
                          <w14:schemeClr w14:val="tx1"/>
                        </w14:solidFill>
                      </w14:textFill>
                    </w:rPr>
                    <w:t>》淘汰类、禁止</w:t>
                  </w:r>
                  <w:r>
                    <w:rPr>
                      <w:rFonts w:ascii="Times New Roman" w:hAnsi="Times New Roman" w:eastAsia="宋体"/>
                      <w:b w:val="0"/>
                      <w:bCs w:val="0"/>
                      <w:color w:val="000000" w:themeColor="text1"/>
                      <w:spacing w:val="12"/>
                      <w:sz w:val="21"/>
                      <w:szCs w:val="21"/>
                      <w14:textFill>
                        <w14:solidFill>
                          <w14:schemeClr w14:val="tx1"/>
                        </w14:solidFill>
                      </w14:textFill>
                    </w:rPr>
                    <w:t>准入类项目</w:t>
                  </w:r>
                  <w:r>
                    <w:rPr>
                      <w:rFonts w:hint="eastAsia" w:ascii="Times New Roman" w:hAnsi="Times New Roman" w:eastAsia="宋体"/>
                      <w:b w:val="0"/>
                      <w:bCs w:val="0"/>
                      <w:color w:val="000000" w:themeColor="text1"/>
                      <w:spacing w:val="12"/>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340AB03A">
                  <w:pPr>
                    <w:keepNext w:val="0"/>
                    <w:keepLines w:val="0"/>
                    <w:widowControl/>
                    <w:suppressLineNumbers w:val="0"/>
                    <w:ind w:left="0" w:leftChars="0" w:firstLine="0" w:firstLineChars="0"/>
                    <w:jc w:val="center"/>
                    <w:rPr>
                      <w:rFonts w:hint="default"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D31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075DFB5">
                  <w:pPr>
                    <w:pStyle w:val="227"/>
                    <w:spacing w:before="116" w:line="276"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A1.1-2</w:t>
                  </w:r>
                  <w:r>
                    <w:rPr>
                      <w:rFonts w:ascii="Times New Roman" w:hAnsi="Times New Roman" w:eastAsia="宋体"/>
                      <w:b w:val="0"/>
                      <w:bCs w:val="0"/>
                      <w:color w:val="000000" w:themeColor="text1"/>
                      <w:spacing w:val="12"/>
                      <w:sz w:val="21"/>
                      <w:szCs w:val="21"/>
                      <w14:textFill>
                        <w14:solidFill>
                          <w14:schemeClr w14:val="tx1"/>
                        </w14:solidFill>
                      </w14:textFill>
                    </w:rPr>
                    <w:t>〕禁止建设不符合国家和自治区环境保</w:t>
                  </w:r>
                  <w:r>
                    <w:rPr>
                      <w:rFonts w:ascii="Times New Roman" w:hAnsi="Times New Roman" w:eastAsia="宋体"/>
                      <w:b w:val="0"/>
                      <w:bCs w:val="0"/>
                      <w:color w:val="000000" w:themeColor="text1"/>
                      <w:spacing w:val="9"/>
                      <w:sz w:val="21"/>
                      <w:szCs w:val="21"/>
                      <w14:textFill>
                        <w14:solidFill>
                          <w14:schemeClr w14:val="tx1"/>
                        </w14:solidFill>
                      </w14:textFill>
                    </w:rPr>
                    <w:t>护标准的项目。</w:t>
                  </w:r>
                </w:p>
              </w:tc>
              <w:tc>
                <w:tcPr>
                  <w:tcW w:w="2390" w:type="dxa"/>
                  <w:shd w:val="clear" w:color="auto" w:fill="FFFFFF"/>
                  <w:vAlign w:val="center"/>
                </w:tcPr>
                <w:p w14:paraId="782E9B80">
                  <w:pPr>
                    <w:pStyle w:val="227"/>
                    <w:spacing w:before="116" w:line="276"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本项目符合国家和自</w:t>
                  </w:r>
                  <w:r>
                    <w:rPr>
                      <w:rFonts w:ascii="Times New Roman" w:hAnsi="Times New Roman" w:eastAsia="宋体"/>
                      <w:b w:val="0"/>
                      <w:bCs w:val="0"/>
                      <w:color w:val="000000" w:themeColor="text1"/>
                      <w:spacing w:val="11"/>
                      <w:sz w:val="21"/>
                      <w:szCs w:val="21"/>
                      <w14:textFill>
                        <w14:solidFill>
                          <w14:schemeClr w14:val="tx1"/>
                        </w14:solidFill>
                      </w14:textFill>
                    </w:rPr>
                    <w:t>治区环境保护标准</w:t>
                  </w:r>
                  <w:r>
                    <w:rPr>
                      <w:rFonts w:hint="eastAsia" w:ascii="Times New Roman" w:hAnsi="Times New Roman" w:eastAsia="宋体"/>
                      <w:b w:val="0"/>
                      <w:bCs w:val="0"/>
                      <w:color w:val="000000" w:themeColor="text1"/>
                      <w:spacing w:val="1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1EABF36A">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10ED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D54496A">
                  <w:pPr>
                    <w:pStyle w:val="227"/>
                    <w:spacing w:before="296" w:line="334"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A1.1-3</w:t>
                  </w:r>
                  <w:r>
                    <w:rPr>
                      <w:rFonts w:ascii="Times New Roman" w:hAnsi="Times New Roman" w:eastAsia="宋体"/>
                      <w:b w:val="0"/>
                      <w:bCs w:val="0"/>
                      <w:color w:val="000000" w:themeColor="text1"/>
                      <w:spacing w:val="12"/>
                      <w:sz w:val="21"/>
                      <w:szCs w:val="21"/>
                      <w14:textFill>
                        <w14:solidFill>
                          <w14:schemeClr w14:val="tx1"/>
                        </w14:solidFill>
                      </w14:textFill>
                    </w:rPr>
                    <w:t>〕禁止在饮用水水源保护区、风景名胜区、自然保护区的核心区和缓冲区、城镇居民区、</w:t>
                  </w:r>
                  <w:r>
                    <w:rPr>
                      <w:rFonts w:ascii="Times New Roman" w:hAnsi="Times New Roman" w:eastAsia="宋体"/>
                      <w:b w:val="0"/>
                      <w:bCs w:val="0"/>
                      <w:color w:val="000000" w:themeColor="text1"/>
                      <w:spacing w:val="15"/>
                      <w:sz w:val="21"/>
                      <w:szCs w:val="21"/>
                      <w14:textFill>
                        <w14:solidFill>
                          <w14:schemeClr w14:val="tx1"/>
                        </w14:solidFill>
                      </w14:textFill>
                    </w:rPr>
                    <w:t>文化教育科学研究区等人口集中区域以及法律法规规定的其他禁止养殖区域建设畜禽养殖场、养殖小</w:t>
                  </w:r>
                  <w:r>
                    <w:rPr>
                      <w:rFonts w:ascii="Times New Roman" w:hAnsi="Times New Roman" w:eastAsia="宋体"/>
                      <w:b w:val="0"/>
                      <w:bCs w:val="0"/>
                      <w:color w:val="000000" w:themeColor="text1"/>
                      <w:spacing w:val="-1"/>
                      <w:sz w:val="21"/>
                      <w:szCs w:val="21"/>
                      <w14:textFill>
                        <w14:solidFill>
                          <w14:schemeClr w14:val="tx1"/>
                        </w14:solidFill>
                      </w14:textFill>
                    </w:rPr>
                    <w:t>区。</w:t>
                  </w:r>
                </w:p>
              </w:tc>
              <w:tc>
                <w:tcPr>
                  <w:tcW w:w="2390" w:type="dxa"/>
                  <w:shd w:val="clear" w:color="auto" w:fill="FFFFFF"/>
                  <w:vAlign w:val="center"/>
                </w:tcPr>
                <w:p w14:paraId="58BBE9A6">
                  <w:pPr>
                    <w:pStyle w:val="227"/>
                    <w:spacing w:before="116" w:line="313"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8"/>
                      <w:sz w:val="21"/>
                      <w:szCs w:val="21"/>
                      <w14:textFill>
                        <w14:solidFill>
                          <w14:schemeClr w14:val="tx1"/>
                        </w14:solidFill>
                      </w14:textFill>
                    </w:rPr>
                    <w:t>本项目不在饮用水水</w:t>
                  </w:r>
                  <w:r>
                    <w:rPr>
                      <w:rFonts w:ascii="Times New Roman" w:hAnsi="Times New Roman" w:eastAsia="宋体"/>
                      <w:b w:val="0"/>
                      <w:bCs w:val="0"/>
                      <w:color w:val="000000" w:themeColor="text1"/>
                      <w:spacing w:val="-4"/>
                      <w:sz w:val="21"/>
                      <w:szCs w:val="21"/>
                      <w14:textFill>
                        <w14:solidFill>
                          <w14:schemeClr w14:val="tx1"/>
                        </w14:solidFill>
                      </w14:textFill>
                    </w:rPr>
                    <w:t>源保护区、风景名胜区、</w:t>
                  </w:r>
                  <w:r>
                    <w:rPr>
                      <w:rFonts w:ascii="Times New Roman" w:hAnsi="Times New Roman" w:eastAsia="宋体"/>
                      <w:b w:val="0"/>
                      <w:bCs w:val="0"/>
                      <w:color w:val="000000" w:themeColor="text1"/>
                      <w:spacing w:val="8"/>
                      <w:sz w:val="21"/>
                      <w:szCs w:val="21"/>
                      <w14:textFill>
                        <w14:solidFill>
                          <w14:schemeClr w14:val="tx1"/>
                        </w14:solidFill>
                      </w14:textFill>
                    </w:rPr>
                    <w:t>自然保护区的核心区和</w:t>
                  </w:r>
                  <w:r>
                    <w:rPr>
                      <w:rFonts w:ascii="Times New Roman" w:hAnsi="Times New Roman" w:eastAsia="宋体"/>
                      <w:b w:val="0"/>
                      <w:bCs w:val="0"/>
                      <w:color w:val="000000" w:themeColor="text1"/>
                      <w:spacing w:val="10"/>
                      <w:sz w:val="21"/>
                      <w:szCs w:val="21"/>
                      <w14:textFill>
                        <w14:solidFill>
                          <w14:schemeClr w14:val="tx1"/>
                        </w14:solidFill>
                      </w14:textFill>
                    </w:rPr>
                    <w:t>缓冲区、城镇居民区、</w:t>
                  </w:r>
                  <w:r>
                    <w:rPr>
                      <w:rFonts w:ascii="Times New Roman" w:hAnsi="Times New Roman" w:eastAsia="宋体"/>
                      <w:b w:val="0"/>
                      <w:bCs w:val="0"/>
                      <w:color w:val="000000" w:themeColor="text1"/>
                      <w:spacing w:val="9"/>
                      <w:sz w:val="21"/>
                      <w:szCs w:val="21"/>
                      <w14:textFill>
                        <w14:solidFill>
                          <w14:schemeClr w14:val="tx1"/>
                        </w14:solidFill>
                      </w14:textFill>
                    </w:rPr>
                    <w:t>文化教育科学研究区等</w:t>
                  </w:r>
                  <w:r>
                    <w:rPr>
                      <w:rFonts w:ascii="Times New Roman" w:hAnsi="Times New Roman" w:eastAsia="宋体"/>
                      <w:b w:val="0"/>
                      <w:bCs w:val="0"/>
                      <w:color w:val="000000" w:themeColor="text1"/>
                      <w:spacing w:val="1"/>
                      <w:sz w:val="21"/>
                      <w:szCs w:val="21"/>
                      <w14:textFill>
                        <w14:solidFill>
                          <w14:schemeClr w14:val="tx1"/>
                        </w14:solidFill>
                      </w14:textFill>
                    </w:rPr>
                    <w:t>人口集中区域</w:t>
                  </w:r>
                  <w:r>
                    <w:rPr>
                      <w:rFonts w:hint="eastAsia" w:ascii="Times New Roman" w:hAnsi="Times New Roman" w:eastAsia="宋体"/>
                      <w:b w:val="0"/>
                      <w:bCs w:val="0"/>
                      <w:color w:val="000000" w:themeColor="text1"/>
                      <w:spacing w:val="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4D18CC9B">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837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98CD487">
                  <w:pPr>
                    <w:pStyle w:val="227"/>
                    <w:spacing w:before="123" w:line="302"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4"/>
                      <w:sz w:val="21"/>
                      <w:szCs w:val="21"/>
                      <w14:textFill>
                        <w14:solidFill>
                          <w14:schemeClr w14:val="tx1"/>
                        </w14:solidFill>
                      </w14:textFill>
                    </w:rPr>
                    <w:t>〔</w:t>
                  </w:r>
                  <w:r>
                    <w:rPr>
                      <w:rFonts w:ascii="Times New Roman" w:hAnsi="Times New Roman" w:eastAsia="宋体" w:cs="Times New Roman"/>
                      <w:b w:val="0"/>
                      <w:bCs w:val="0"/>
                      <w:color w:val="000000" w:themeColor="text1"/>
                      <w:spacing w:val="4"/>
                      <w:sz w:val="21"/>
                      <w:szCs w:val="21"/>
                      <w14:textFill>
                        <w14:solidFill>
                          <w14:schemeClr w14:val="tx1"/>
                        </w14:solidFill>
                      </w14:textFill>
                    </w:rPr>
                    <w:t>A1.1-4</w:t>
                  </w:r>
                  <w:r>
                    <w:rPr>
                      <w:rFonts w:ascii="Times New Roman" w:hAnsi="Times New Roman" w:eastAsia="宋体"/>
                      <w:b w:val="0"/>
                      <w:bCs w:val="0"/>
                      <w:color w:val="000000" w:themeColor="text1"/>
                      <w:spacing w:val="4"/>
                      <w:sz w:val="21"/>
                      <w:szCs w:val="21"/>
                      <w14:textFill>
                        <w14:solidFill>
                          <w14:schemeClr w14:val="tx1"/>
                        </w14:solidFill>
                      </w14:textFill>
                    </w:rPr>
                    <w:t>〕禁止在水源涵养区、地下水源、饮用水源、自然保护区、风景名胜区、森林公园、重要湿地</w:t>
                  </w:r>
                  <w:r>
                    <w:rPr>
                      <w:rFonts w:ascii="Times New Roman" w:hAnsi="Times New Roman" w:eastAsia="宋体"/>
                      <w:b w:val="0"/>
                      <w:bCs w:val="0"/>
                      <w:color w:val="000000" w:themeColor="text1"/>
                      <w:spacing w:val="6"/>
                      <w:sz w:val="21"/>
                      <w:szCs w:val="21"/>
                      <w14:textFill>
                        <w14:solidFill>
                          <w14:schemeClr w14:val="tx1"/>
                        </w14:solidFill>
                      </w14:textFill>
                    </w:rPr>
                    <w:t>及人群密集区等生态敏感区域内进行煤炭、石油、天</w:t>
                  </w:r>
                  <w:r>
                    <w:rPr>
                      <w:rFonts w:ascii="Times New Roman" w:hAnsi="Times New Roman" w:eastAsia="宋体"/>
                      <w:b w:val="0"/>
                      <w:bCs w:val="0"/>
                      <w:color w:val="000000" w:themeColor="text1"/>
                      <w:spacing w:val="3"/>
                      <w:sz w:val="21"/>
                      <w:szCs w:val="21"/>
                      <w14:textFill>
                        <w14:solidFill>
                          <w14:schemeClr w14:val="tx1"/>
                        </w14:solidFill>
                      </w14:textFill>
                    </w:rPr>
                    <w:t>然气开发。</w:t>
                  </w:r>
                </w:p>
              </w:tc>
              <w:tc>
                <w:tcPr>
                  <w:tcW w:w="2390" w:type="dxa"/>
                  <w:shd w:val="clear" w:color="auto" w:fill="FFFFFF"/>
                  <w:vAlign w:val="center"/>
                </w:tcPr>
                <w:p w14:paraId="172AFBF4">
                  <w:pPr>
                    <w:pStyle w:val="227"/>
                    <w:spacing w:before="65" w:line="334"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本项目不位于生态敏</w:t>
                  </w:r>
                  <w:r>
                    <w:rPr>
                      <w:rFonts w:ascii="Times New Roman" w:hAnsi="Times New Roman" w:eastAsia="宋体"/>
                      <w:b w:val="0"/>
                      <w:bCs w:val="0"/>
                      <w:color w:val="000000" w:themeColor="text1"/>
                      <w:spacing w:val="4"/>
                      <w:sz w:val="21"/>
                      <w:szCs w:val="21"/>
                      <w14:textFill>
                        <w14:solidFill>
                          <w14:schemeClr w14:val="tx1"/>
                        </w14:solidFill>
                      </w14:textFill>
                    </w:rPr>
                    <w:t>感区域内</w:t>
                  </w:r>
                  <w:r>
                    <w:rPr>
                      <w:rFonts w:hint="eastAsia" w:ascii="Times New Roman" w:hAnsi="Times New Roman" w:eastAsia="宋体"/>
                      <w:b w:val="0"/>
                      <w:bCs w:val="0"/>
                      <w:color w:val="000000" w:themeColor="text1"/>
                      <w:spacing w:val="4"/>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7C8B94EB">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468F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55B6CB59">
                  <w:pPr>
                    <w:pStyle w:val="227"/>
                    <w:spacing w:before="126" w:line="332" w:lineRule="auto"/>
                    <w:ind w:left="0" w:leftChars="0" w:firstLine="0" w:firstLineChars="0"/>
                    <w:jc w:val="center"/>
                    <w:rPr>
                      <w:rFonts w:ascii="Times New Roman" w:hAnsi="Times New Roman" w:eastAsia="宋体"/>
                      <w:b w:val="0"/>
                      <w:bCs w:val="0"/>
                      <w:color w:val="000000" w:themeColor="text1"/>
                      <w:sz w:val="21"/>
                      <w:szCs w:val="21"/>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A1.1-5</w:t>
                  </w:r>
                  <w:r>
                    <w:rPr>
                      <w:rFonts w:ascii="Times New Roman" w:hAnsi="Times New Roman" w:eastAsia="宋体"/>
                      <w:b w:val="0"/>
                      <w:bCs w:val="0"/>
                      <w:color w:val="000000" w:themeColor="text1"/>
                      <w:spacing w:val="12"/>
                      <w:sz w:val="21"/>
                      <w:szCs w:val="21"/>
                      <w14:textFill>
                        <w14:solidFill>
                          <w14:schemeClr w14:val="tx1"/>
                        </w14:solidFill>
                      </w14:textFill>
                    </w:rPr>
                    <w:t>〕禁止下列破坏湿地及其生态</w:t>
                  </w:r>
                  <w:r>
                    <w:rPr>
                      <w:rFonts w:ascii="Times New Roman" w:hAnsi="Times New Roman" w:eastAsia="宋体"/>
                      <w:b w:val="0"/>
                      <w:bCs w:val="0"/>
                      <w:color w:val="000000" w:themeColor="text1"/>
                      <w:spacing w:val="11"/>
                      <w:sz w:val="21"/>
                      <w:szCs w:val="21"/>
                      <w14:textFill>
                        <w14:solidFill>
                          <w14:schemeClr w14:val="tx1"/>
                        </w14:solidFill>
                      </w14:textFill>
                    </w:rPr>
                    <w:t>功能的行</w:t>
                  </w:r>
                  <w:r>
                    <w:rPr>
                      <w:rFonts w:ascii="Times New Roman" w:hAnsi="Times New Roman" w:eastAsia="宋体"/>
                      <w:b w:val="0"/>
                      <w:bCs w:val="0"/>
                      <w:color w:val="000000" w:themeColor="text1"/>
                      <w:spacing w:val="-1"/>
                      <w:sz w:val="21"/>
                      <w:szCs w:val="21"/>
                      <w14:textFill>
                        <w14:solidFill>
                          <w14:schemeClr w14:val="tx1"/>
                        </w14:solidFill>
                      </w14:textFill>
                    </w:rPr>
                    <w:t>为：</w:t>
                  </w:r>
                </w:p>
                <w:p w14:paraId="2EF30345">
                  <w:pPr>
                    <w:pStyle w:val="227"/>
                    <w:spacing w:before="2" w:line="279" w:lineRule="auto"/>
                    <w:ind w:left="0" w:leftChars="0" w:firstLine="0" w:firstLineChars="0"/>
                    <w:jc w:val="center"/>
                    <w:rPr>
                      <w:rFonts w:ascii="Times New Roman" w:hAnsi="Times New Roman" w:eastAsia="宋体"/>
                      <w:b w:val="0"/>
                      <w:bCs w:val="0"/>
                      <w:color w:val="000000" w:themeColor="text1"/>
                      <w:sz w:val="21"/>
                      <w:szCs w:val="21"/>
                      <w14:textFill>
                        <w14:solidFill>
                          <w14:schemeClr w14:val="tx1"/>
                        </w14:solidFill>
                      </w14:textFill>
                    </w:rPr>
                  </w:pPr>
                  <w:r>
                    <w:rPr>
                      <w:rFonts w:ascii="Times New Roman" w:hAnsi="Times New Roman" w:eastAsia="宋体"/>
                      <w:b w:val="0"/>
                      <w:bCs w:val="0"/>
                      <w:color w:val="000000" w:themeColor="text1"/>
                      <w:spacing w:val="14"/>
                      <w:sz w:val="21"/>
                      <w:szCs w:val="21"/>
                      <w14:textFill>
                        <w14:solidFill>
                          <w14:schemeClr w14:val="tx1"/>
                        </w14:solidFill>
                      </w14:textFill>
                    </w:rPr>
                    <w:t>（一）开（围）垦、排干自然湿地，永久性截断</w:t>
                  </w:r>
                  <w:r>
                    <w:rPr>
                      <w:rFonts w:ascii="Times New Roman" w:hAnsi="Times New Roman" w:eastAsia="宋体"/>
                      <w:b w:val="0"/>
                      <w:bCs w:val="0"/>
                      <w:color w:val="000000" w:themeColor="text1"/>
                      <w:spacing w:val="4"/>
                      <w:sz w:val="21"/>
                      <w:szCs w:val="21"/>
                      <w14:textFill>
                        <w14:solidFill>
                          <w14:schemeClr w14:val="tx1"/>
                        </w14:solidFill>
                      </w14:textFill>
                    </w:rPr>
                    <w:t>自然湿地水源；</w:t>
                  </w:r>
                </w:p>
                <w:p w14:paraId="2B0D65C1">
                  <w:pPr>
                    <w:pStyle w:val="227"/>
                    <w:spacing w:before="113" w:line="281" w:lineRule="auto"/>
                    <w:ind w:left="0" w:leftChars="0" w:firstLine="0" w:firstLineChars="0"/>
                    <w:jc w:val="center"/>
                    <w:rPr>
                      <w:rFonts w:ascii="Times New Roman" w:hAnsi="Times New Roman" w:eastAsia="宋体"/>
                      <w:b w:val="0"/>
                      <w:bCs w:val="0"/>
                      <w:color w:val="000000" w:themeColor="text1"/>
                      <w:sz w:val="21"/>
                      <w:szCs w:val="21"/>
                      <w14:textFill>
                        <w14:solidFill>
                          <w14:schemeClr w14:val="tx1"/>
                        </w14:solidFill>
                      </w14:textFill>
                    </w:rPr>
                  </w:pPr>
                  <w:r>
                    <w:rPr>
                      <w:rFonts w:ascii="Times New Roman" w:hAnsi="Times New Roman" w:eastAsia="宋体"/>
                      <w:b w:val="0"/>
                      <w:bCs w:val="0"/>
                      <w:color w:val="000000" w:themeColor="text1"/>
                      <w:spacing w:val="14"/>
                      <w:sz w:val="21"/>
                      <w:szCs w:val="21"/>
                      <w14:textFill>
                        <w14:solidFill>
                          <w14:schemeClr w14:val="tx1"/>
                        </w14:solidFill>
                      </w14:textFill>
                    </w:rPr>
                    <w:t>（二）擅自填埋自然湿地，擅自采砂、采矿、取</w:t>
                  </w:r>
                  <w:r>
                    <w:rPr>
                      <w:rFonts w:ascii="Times New Roman" w:hAnsi="Times New Roman" w:eastAsia="宋体"/>
                      <w:b w:val="0"/>
                      <w:bCs w:val="0"/>
                      <w:color w:val="000000" w:themeColor="text1"/>
                      <w:spacing w:val="-1"/>
                      <w:sz w:val="21"/>
                      <w:szCs w:val="21"/>
                      <w14:textFill>
                        <w14:solidFill>
                          <w14:schemeClr w14:val="tx1"/>
                        </w14:solidFill>
                      </w14:textFill>
                    </w:rPr>
                    <w:t>土；</w:t>
                  </w:r>
                </w:p>
                <w:p w14:paraId="6040E76D">
                  <w:pPr>
                    <w:pStyle w:val="227"/>
                    <w:spacing w:before="112" w:line="297" w:lineRule="auto"/>
                    <w:ind w:left="0" w:leftChars="0" w:firstLine="0" w:firstLineChars="0"/>
                    <w:jc w:val="center"/>
                    <w:rPr>
                      <w:rFonts w:ascii="Times New Roman" w:hAnsi="Times New Roman" w:eastAsia="宋体"/>
                      <w:b w:val="0"/>
                      <w:bCs w:val="0"/>
                      <w:color w:val="000000" w:themeColor="text1"/>
                      <w:sz w:val="21"/>
                      <w:szCs w:val="21"/>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（三）排放不符合水污染物排放标准的工业废水、</w:t>
                  </w:r>
                  <w:r>
                    <w:rPr>
                      <w:rFonts w:ascii="Times New Roman" w:hAnsi="Times New Roman" w:eastAsia="宋体"/>
                      <w:b w:val="0"/>
                      <w:bCs w:val="0"/>
                      <w:color w:val="000000" w:themeColor="text1"/>
                      <w:spacing w:val="13"/>
                      <w:sz w:val="21"/>
                      <w:szCs w:val="21"/>
                      <w14:textFill>
                        <w14:solidFill>
                          <w14:schemeClr w14:val="tx1"/>
                        </w14:solidFill>
                      </w14:textFill>
                    </w:rPr>
                    <w:t>生活污水及其他污染湿地的废水、污水，倾倒、堆</w:t>
                  </w:r>
                  <w:r>
                    <w:rPr>
                      <w:rFonts w:ascii="Times New Roman" w:hAnsi="Times New Roman" w:eastAsia="宋体"/>
                      <w:b w:val="0"/>
                      <w:bCs w:val="0"/>
                      <w:color w:val="000000" w:themeColor="text1"/>
                      <w:spacing w:val="9"/>
                      <w:sz w:val="21"/>
                      <w:szCs w:val="21"/>
                      <w14:textFill>
                        <w14:solidFill>
                          <w14:schemeClr w14:val="tx1"/>
                        </w14:solidFill>
                      </w14:textFill>
                    </w:rPr>
                    <w:t>放、丢弃、遗撒固体废物；</w:t>
                  </w:r>
                </w:p>
                <w:p w14:paraId="5BDB8761">
                  <w:pPr>
                    <w:pStyle w:val="227"/>
                    <w:spacing w:before="111" w:line="228" w:lineRule="auto"/>
                    <w:ind w:left="0" w:leftChars="0" w:firstLine="0" w:firstLineChars="0"/>
                    <w:jc w:val="center"/>
                    <w:rPr>
                      <w:rFonts w:ascii="Times New Roman" w:hAnsi="Times New Roman" w:eastAsia="宋体"/>
                      <w:b w:val="0"/>
                      <w:bCs w:val="0"/>
                      <w:color w:val="000000" w:themeColor="text1"/>
                      <w:sz w:val="21"/>
                      <w:szCs w:val="21"/>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（四）过度放牧或者滥采野生植物，过度捕捞或者</w:t>
                  </w:r>
                  <w:r>
                    <w:rPr>
                      <w:rFonts w:ascii="Times New Roman" w:hAnsi="Times New Roman" w:eastAsia="宋体"/>
                      <w:b w:val="0"/>
                      <w:bCs w:val="0"/>
                      <w:color w:val="000000" w:themeColor="text1"/>
                      <w:spacing w:val="15"/>
                      <w:sz w:val="21"/>
                      <w:szCs w:val="21"/>
                      <w14:textFill>
                        <w14:solidFill>
                          <w14:schemeClr w14:val="tx1"/>
                        </w14:solidFill>
                      </w14:textFill>
                    </w:rPr>
                    <w:t>灭绝式捕捞，过度施肥、投药、投放饵料等污染湿</w:t>
                  </w:r>
                  <w:r>
                    <w:rPr>
                      <w:rFonts w:ascii="Times New Roman" w:hAnsi="Times New Roman" w:eastAsia="宋体"/>
                      <w:b w:val="0"/>
                      <w:bCs w:val="0"/>
                      <w:color w:val="000000" w:themeColor="text1"/>
                      <w:spacing w:val="11"/>
                      <w:sz w:val="21"/>
                      <w:szCs w:val="21"/>
                      <w14:textFill>
                        <w14:solidFill>
                          <w14:schemeClr w14:val="tx1"/>
                        </w14:solidFill>
                      </w14:textFill>
                    </w:rPr>
                    <w:t>地的种植养殖行为；</w:t>
                  </w:r>
                </w:p>
                <w:p w14:paraId="1B7341B3">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ascii="Times New Roman" w:hAnsi="Times New Roman" w:eastAsia="宋体"/>
                      <w:b w:val="0"/>
                      <w:bCs w:val="0"/>
                      <w:color w:val="000000" w:themeColor="text1"/>
                      <w:spacing w:val="8"/>
                      <w:sz w:val="21"/>
                      <w:szCs w:val="21"/>
                      <w14:textFill>
                        <w14:solidFill>
                          <w14:schemeClr w14:val="tx1"/>
                        </w14:solidFill>
                      </w14:textFill>
                    </w:rPr>
                    <w:t>（五）其他破坏湿地及其生态功能的行为</w:t>
                  </w:r>
                </w:p>
              </w:tc>
              <w:tc>
                <w:tcPr>
                  <w:tcW w:w="2390" w:type="dxa"/>
                  <w:shd w:val="clear" w:color="auto" w:fill="FFFFFF"/>
                  <w:vAlign w:val="center"/>
                </w:tcPr>
                <w:p w14:paraId="7D9910D5">
                  <w:pPr>
                    <w:pStyle w:val="227"/>
                    <w:spacing w:before="65" w:line="334"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本项目不涉及破坏湿</w:t>
                  </w:r>
                  <w:r>
                    <w:rPr>
                      <w:rFonts w:ascii="Times New Roman" w:hAnsi="Times New Roman" w:eastAsia="宋体"/>
                      <w:b w:val="0"/>
                      <w:bCs w:val="0"/>
                      <w:color w:val="000000" w:themeColor="text1"/>
                      <w:spacing w:val="10"/>
                      <w:sz w:val="21"/>
                      <w:szCs w:val="21"/>
                      <w14:textFill>
                        <w14:solidFill>
                          <w14:schemeClr w14:val="tx1"/>
                        </w14:solidFill>
                      </w14:textFill>
                    </w:rPr>
                    <w:t>地及其生态功能的行为</w:t>
                  </w:r>
                  <w:r>
                    <w:rPr>
                      <w:rFonts w:hint="eastAsia" w:ascii="Times New Roman" w:hAnsi="Times New Roman" w:eastAsia="宋体"/>
                      <w:b w:val="0"/>
                      <w:bCs w:val="0"/>
                      <w:color w:val="000000" w:themeColor="text1"/>
                      <w:spacing w:val="10"/>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30A81B53">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9A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C31B8BF">
                  <w:pPr>
                    <w:pStyle w:val="227"/>
                    <w:spacing w:before="109" w:line="311"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3"/>
                      <w:sz w:val="21"/>
                      <w:szCs w:val="21"/>
                      <w14:textFill>
                        <w14:solidFill>
                          <w14:schemeClr w14:val="tx1"/>
                        </w14:solidFill>
                      </w14:textFill>
                    </w:rPr>
                    <w:t>〔</w:t>
                  </w:r>
                  <w:r>
                    <w:rPr>
                      <w:rFonts w:ascii="Times New Roman" w:hAnsi="Times New Roman" w:eastAsia="宋体" w:cs="Times New Roman"/>
                      <w:b w:val="0"/>
                      <w:bCs w:val="0"/>
                      <w:color w:val="000000" w:themeColor="text1"/>
                      <w:spacing w:val="3"/>
                      <w:sz w:val="21"/>
                      <w:szCs w:val="21"/>
                      <w14:textFill>
                        <w14:solidFill>
                          <w14:schemeClr w14:val="tx1"/>
                        </w14:solidFill>
                      </w14:textFill>
                    </w:rPr>
                    <w:t>A1.1-6</w:t>
                  </w:r>
                  <w:r>
                    <w:rPr>
                      <w:rFonts w:ascii="Times New Roman" w:hAnsi="Times New Roman" w:eastAsia="宋体"/>
                      <w:b w:val="0"/>
                      <w:bCs w:val="0"/>
                      <w:color w:val="000000" w:themeColor="text1"/>
                      <w:spacing w:val="3"/>
                      <w:sz w:val="21"/>
                      <w:szCs w:val="21"/>
                      <w14:textFill>
                        <w14:solidFill>
                          <w14:schemeClr w14:val="tx1"/>
                        </w14:solidFill>
                      </w14:textFill>
                    </w:rPr>
                    <w:t>〕禁止在自治区行政区域内引进能（水）</w:t>
                  </w:r>
                  <w:r>
                    <w:rPr>
                      <w:rFonts w:ascii="Times New Roman" w:hAnsi="Times New Roman" w:eastAsia="宋体"/>
                      <w:b w:val="0"/>
                      <w:bCs w:val="0"/>
                      <w:color w:val="000000" w:themeColor="text1"/>
                      <w:spacing w:val="10"/>
                      <w:sz w:val="21"/>
                      <w:szCs w:val="21"/>
                      <w14:textFill>
                        <w14:solidFill>
                          <w14:schemeClr w14:val="tx1"/>
                        </w14:solidFill>
                      </w14:textFill>
                    </w:rPr>
                    <w:t>耗不符合相关国家标准中准入值要求且污染物排放</w:t>
                  </w:r>
                  <w:r>
                    <w:rPr>
                      <w:rFonts w:ascii="Times New Roman" w:hAnsi="Times New Roman" w:eastAsia="宋体"/>
                      <w:b w:val="0"/>
                      <w:bCs w:val="0"/>
                      <w:color w:val="000000" w:themeColor="text1"/>
                      <w:spacing w:val="1"/>
                      <w:sz w:val="21"/>
                      <w:szCs w:val="21"/>
                      <w14:textFill>
                        <w14:solidFill>
                          <w14:schemeClr w14:val="tx1"/>
                        </w14:solidFill>
                      </w14:textFill>
                    </w:rPr>
                    <w:t>和环境风险防控不符合国家（地方）标准及有关产业准入条件的高污染（排放）、高能（水）耗、高环境</w:t>
                  </w:r>
                  <w:r>
                    <w:rPr>
                      <w:rFonts w:ascii="Times New Roman" w:hAnsi="Times New Roman" w:eastAsia="宋体"/>
                      <w:b w:val="0"/>
                      <w:bCs w:val="0"/>
                      <w:color w:val="000000" w:themeColor="text1"/>
                      <w:spacing w:val="2"/>
                      <w:sz w:val="21"/>
                      <w:szCs w:val="21"/>
                      <w14:textFill>
                        <w14:solidFill>
                          <w14:schemeClr w14:val="tx1"/>
                        </w14:solidFill>
                      </w14:textFill>
                    </w:rPr>
                    <w:t>风险的工业项目。</w:t>
                  </w:r>
                </w:p>
              </w:tc>
              <w:tc>
                <w:tcPr>
                  <w:tcW w:w="2390" w:type="dxa"/>
                  <w:shd w:val="clear" w:color="auto" w:fill="FFFFFF"/>
                  <w:vAlign w:val="center"/>
                </w:tcPr>
                <w:p w14:paraId="57E6E15D">
                  <w:pPr>
                    <w:pStyle w:val="227"/>
                    <w:spacing w:before="291" w:line="333"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0"/>
                      <w:sz w:val="21"/>
                      <w:szCs w:val="21"/>
                      <w14:textFill>
                        <w14:solidFill>
                          <w14:schemeClr w14:val="tx1"/>
                        </w14:solidFill>
                      </w14:textFill>
                    </w:rPr>
                    <w:t>本项目不属于高污染</w:t>
                  </w:r>
                  <w:r>
                    <w:rPr>
                      <w:rFonts w:ascii="Times New Roman" w:hAnsi="Times New Roman" w:eastAsia="宋体"/>
                      <w:b w:val="0"/>
                      <w:bCs w:val="0"/>
                      <w:color w:val="000000" w:themeColor="text1"/>
                      <w:spacing w:val="5"/>
                      <w:sz w:val="21"/>
                      <w:szCs w:val="21"/>
                      <w14:textFill>
                        <w14:solidFill>
                          <w14:schemeClr w14:val="tx1"/>
                        </w14:solidFill>
                      </w14:textFill>
                    </w:rPr>
                    <w:t>（排放）、高能（水）</w:t>
                  </w:r>
                  <w:r>
                    <w:rPr>
                      <w:rFonts w:ascii="Times New Roman" w:hAnsi="Times New Roman" w:eastAsia="宋体"/>
                      <w:b w:val="0"/>
                      <w:bCs w:val="0"/>
                      <w:color w:val="000000" w:themeColor="text1"/>
                      <w:spacing w:val="11"/>
                      <w:sz w:val="21"/>
                      <w:szCs w:val="21"/>
                      <w14:textFill>
                        <w14:solidFill>
                          <w14:schemeClr w14:val="tx1"/>
                        </w14:solidFill>
                      </w14:textFill>
                    </w:rPr>
                    <w:t>耗、高环境风险的工业</w:t>
                  </w:r>
                  <w:r>
                    <w:rPr>
                      <w:rFonts w:ascii="Times New Roman" w:hAnsi="Times New Roman" w:eastAsia="宋体"/>
                      <w:b w:val="0"/>
                      <w:bCs w:val="0"/>
                      <w:color w:val="000000" w:themeColor="text1"/>
                      <w:spacing w:val="-1"/>
                      <w:sz w:val="21"/>
                      <w:szCs w:val="21"/>
                      <w14:textFill>
                        <w14:solidFill>
                          <w14:schemeClr w14:val="tx1"/>
                        </w14:solidFill>
                      </w14:textFill>
                    </w:rPr>
                    <w:t>项目</w:t>
                  </w:r>
                  <w:r>
                    <w:rPr>
                      <w:rFonts w:hint="eastAsia" w:ascii="Times New Roman" w:hAnsi="Times New Roman" w:eastAsia="宋体"/>
                      <w:b w:val="0"/>
                      <w:bCs w:val="0"/>
                      <w:color w:val="000000" w:themeColor="text1"/>
                      <w:spacing w:val="-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5E9BE6F3">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82D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5247C826">
                  <w:pPr>
                    <w:pStyle w:val="227"/>
                    <w:spacing w:before="114" w:line="323"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8"/>
                      <w:sz w:val="21"/>
                      <w:szCs w:val="21"/>
                      <w14:textFill>
                        <w14:solidFill>
                          <w14:schemeClr w14:val="tx1"/>
                        </w14:solidFill>
                      </w14:textFill>
                    </w:rPr>
                    <w:t>〔</w:t>
                  </w:r>
                  <w:r>
                    <w:rPr>
                      <w:rFonts w:ascii="Times New Roman" w:hAnsi="Times New Roman" w:eastAsia="宋体" w:cs="Times New Roman"/>
                      <w:b w:val="0"/>
                      <w:bCs w:val="0"/>
                      <w:color w:val="000000" w:themeColor="text1"/>
                      <w:spacing w:val="8"/>
                      <w:sz w:val="21"/>
                      <w:szCs w:val="21"/>
                      <w14:textFill>
                        <w14:solidFill>
                          <w14:schemeClr w14:val="tx1"/>
                        </w14:solidFill>
                      </w14:textFill>
                    </w:rPr>
                    <w:t>A1.1-7</w:t>
                  </w:r>
                  <w:r>
                    <w:rPr>
                      <w:rFonts w:ascii="Times New Roman" w:hAnsi="Times New Roman" w:eastAsia="宋体"/>
                      <w:b w:val="0"/>
                      <w:bCs w:val="0"/>
                      <w:color w:val="000000" w:themeColor="text1"/>
                      <w:spacing w:val="8"/>
                      <w:sz w:val="21"/>
                      <w:szCs w:val="21"/>
                      <w14:textFill>
                        <w14:solidFill>
                          <w14:schemeClr w14:val="tx1"/>
                        </w14:solidFill>
                      </w14:textFill>
                    </w:rPr>
                    <w:t>〕①坚决遏制高耗能高排放低水平项目</w:t>
                  </w:r>
                  <w:r>
                    <w:rPr>
                      <w:rFonts w:ascii="Times New Roman" w:hAnsi="Times New Roman" w:eastAsia="宋体"/>
                      <w:b w:val="0"/>
                      <w:bCs w:val="0"/>
                      <w:color w:val="000000" w:themeColor="text1"/>
                      <w:spacing w:val="5"/>
                      <w:sz w:val="21"/>
                      <w:szCs w:val="21"/>
                      <w14:textFill>
                        <w14:solidFill>
                          <w14:schemeClr w14:val="tx1"/>
                        </w14:solidFill>
                      </w14:textFill>
                    </w:rPr>
                    <w:t>盲目发展。严把高耗能高排放低水平项目准入关口，</w:t>
                  </w:r>
                  <w:r>
                    <w:rPr>
                      <w:rFonts w:ascii="Times New Roman" w:hAnsi="Times New Roman" w:eastAsia="宋体"/>
                      <w:b w:val="0"/>
                      <w:bCs w:val="0"/>
                      <w:color w:val="000000" w:themeColor="text1"/>
                      <w:spacing w:val="3"/>
                      <w:sz w:val="21"/>
                      <w:szCs w:val="21"/>
                      <w14:textFill>
                        <w14:solidFill>
                          <w14:schemeClr w14:val="tx1"/>
                        </w14:solidFill>
                      </w14:textFill>
                    </w:rPr>
                    <w:t>严格落实污染物排放区域削减要求，对不符合规定的项目坚决停批停建。依法依规淘汰落后产能和化解过</w:t>
                  </w:r>
                  <w:r>
                    <w:rPr>
                      <w:rFonts w:ascii="Times New Roman" w:hAnsi="Times New Roman" w:eastAsia="宋体"/>
                      <w:b w:val="0"/>
                      <w:bCs w:val="0"/>
                      <w:color w:val="000000" w:themeColor="text1"/>
                      <w:spacing w:val="5"/>
                      <w:sz w:val="21"/>
                      <w:szCs w:val="21"/>
                      <w14:textFill>
                        <w14:solidFill>
                          <w14:schemeClr w14:val="tx1"/>
                        </w14:solidFill>
                      </w14:textFill>
                    </w:rPr>
                    <w:t>剩产能。②重点行业企业纳入重污染天气绩效分级，</w:t>
                  </w:r>
                  <w:r>
                    <w:rPr>
                      <w:rFonts w:ascii="Times New Roman" w:hAnsi="Times New Roman" w:eastAsia="宋体"/>
                      <w:b w:val="0"/>
                      <w:bCs w:val="0"/>
                      <w:color w:val="000000" w:themeColor="text1"/>
                      <w:spacing w:val="4"/>
                      <w:sz w:val="21"/>
                      <w:szCs w:val="21"/>
                      <w14:textFill>
                        <w14:solidFill>
                          <w14:schemeClr w14:val="tx1"/>
                        </w14:solidFill>
                      </w14:textFill>
                    </w:rPr>
                    <w:t>制定</w:t>
                  </w:r>
                  <w:r>
                    <w:rPr>
                      <w:rFonts w:ascii="Times New Roman" w:hAnsi="Times New Roman" w:eastAsia="宋体" w:cs="Times New Roman"/>
                      <w:b w:val="0"/>
                      <w:bCs w:val="0"/>
                      <w:color w:val="000000" w:themeColor="text1"/>
                      <w:spacing w:val="4"/>
                      <w:sz w:val="21"/>
                      <w:szCs w:val="21"/>
                      <w14:textFill>
                        <w14:solidFill>
                          <w14:schemeClr w14:val="tx1"/>
                        </w14:solidFill>
                      </w14:textFill>
                    </w:rPr>
                    <w:t>“</w:t>
                  </w:r>
                  <w:r>
                    <w:rPr>
                      <w:rFonts w:ascii="Times New Roman" w:hAnsi="Times New Roman" w:eastAsia="宋体"/>
                      <w:b w:val="0"/>
                      <w:bCs w:val="0"/>
                      <w:color w:val="000000" w:themeColor="text1"/>
                      <w:spacing w:val="4"/>
                      <w:sz w:val="21"/>
                      <w:szCs w:val="21"/>
                      <w14:textFill>
                        <w14:solidFill>
                          <w14:schemeClr w14:val="tx1"/>
                        </w14:solidFill>
                      </w14:textFill>
                    </w:rPr>
                    <w:t>一厂一策</w:t>
                  </w:r>
                  <w:r>
                    <w:rPr>
                      <w:rFonts w:ascii="Times New Roman" w:hAnsi="Times New Roman" w:eastAsia="宋体" w:cs="Times New Roman"/>
                      <w:b w:val="0"/>
                      <w:bCs w:val="0"/>
                      <w:color w:val="000000" w:themeColor="text1"/>
                      <w:spacing w:val="4"/>
                      <w:sz w:val="21"/>
                      <w:szCs w:val="21"/>
                      <w14:textFill>
                        <w14:solidFill>
                          <w14:schemeClr w14:val="tx1"/>
                        </w14:solidFill>
                      </w14:textFill>
                    </w:rPr>
                    <w:t>”</w:t>
                  </w:r>
                  <w:r>
                    <w:rPr>
                      <w:rFonts w:ascii="Times New Roman" w:hAnsi="Times New Roman" w:eastAsia="宋体"/>
                      <w:b w:val="0"/>
                      <w:bCs w:val="0"/>
                      <w:color w:val="000000" w:themeColor="text1"/>
                      <w:spacing w:val="4"/>
                      <w:sz w:val="21"/>
                      <w:szCs w:val="21"/>
                      <w14:textFill>
                        <w14:solidFill>
                          <w14:schemeClr w14:val="tx1"/>
                        </w14:solidFill>
                      </w14:textFill>
                    </w:rPr>
                    <w:t>应急减排清单，实现应纳</w:t>
                  </w:r>
                  <w:r>
                    <w:rPr>
                      <w:rFonts w:ascii="Times New Roman" w:hAnsi="Times New Roman" w:eastAsia="宋体"/>
                      <w:b w:val="0"/>
                      <w:bCs w:val="0"/>
                      <w:color w:val="000000" w:themeColor="text1"/>
                      <w:spacing w:val="3"/>
                      <w:sz w:val="21"/>
                      <w:szCs w:val="21"/>
                      <w14:textFill>
                        <w14:solidFill>
                          <w14:schemeClr w14:val="tx1"/>
                        </w14:solidFill>
                      </w14:textFill>
                    </w:rPr>
                    <w:t>尽纳；引导重点企业在秋冬季安排停产检修计划，减少冬季和采暖期排放。推进重点行业深度治理，实施全工况脱硫脱硝提标改造，加大无组织排放治理力度，深度开展</w:t>
                  </w:r>
                  <w:r>
                    <w:rPr>
                      <w:rFonts w:ascii="Times New Roman" w:hAnsi="Times New Roman" w:eastAsia="宋体"/>
                      <w:b w:val="0"/>
                      <w:bCs w:val="0"/>
                      <w:color w:val="000000" w:themeColor="text1"/>
                      <w:spacing w:val="12"/>
                      <w:sz w:val="21"/>
                      <w:szCs w:val="21"/>
                      <w14:textFill>
                        <w14:solidFill>
                          <w14:schemeClr w14:val="tx1"/>
                        </w14:solidFill>
                      </w14:textFill>
                    </w:rPr>
                    <w:t>工业炉窑综合整治，全面提升电解铝、活性炭、硅</w:t>
                  </w:r>
                  <w:r>
                    <w:rPr>
                      <w:rFonts w:ascii="Times New Roman" w:hAnsi="Times New Roman" w:eastAsia="宋体"/>
                      <w:b w:val="0"/>
                      <w:bCs w:val="0"/>
                      <w:color w:val="000000" w:themeColor="text1"/>
                      <w:spacing w:val="3"/>
                      <w:sz w:val="21"/>
                      <w:szCs w:val="21"/>
                      <w14:textFill>
                        <w14:solidFill>
                          <w14:schemeClr w14:val="tx1"/>
                        </w14:solidFill>
                      </w14:textFill>
                    </w:rPr>
                    <w:t>冶炼、纯碱、电石、聚氯乙烯、石化等行业污染治理</w:t>
                  </w:r>
                  <w:r>
                    <w:rPr>
                      <w:rFonts w:ascii="Times New Roman" w:hAnsi="Times New Roman" w:eastAsia="宋体"/>
                      <w:b w:val="0"/>
                      <w:bCs w:val="0"/>
                      <w:color w:val="000000" w:themeColor="text1"/>
                      <w:sz w:val="21"/>
                      <w:szCs w:val="21"/>
                      <w14:textFill>
                        <w14:solidFill>
                          <w14:schemeClr w14:val="tx1"/>
                        </w14:solidFill>
                      </w14:textFill>
                    </w:rPr>
                    <w:t>水平。</w:t>
                  </w:r>
                </w:p>
              </w:tc>
              <w:tc>
                <w:tcPr>
                  <w:tcW w:w="2390" w:type="dxa"/>
                  <w:shd w:val="clear" w:color="auto" w:fill="FFFFFF"/>
                  <w:vAlign w:val="center"/>
                </w:tcPr>
                <w:p w14:paraId="601A8CA6">
                  <w:pPr>
                    <w:pStyle w:val="227"/>
                    <w:spacing w:before="65" w:line="333"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本项目不属于高耗能高排放低水平项目，不</w:t>
                  </w:r>
                  <w:r>
                    <w:rPr>
                      <w:rFonts w:ascii="Times New Roman" w:hAnsi="Times New Roman" w:eastAsia="宋体"/>
                      <w:b w:val="0"/>
                      <w:bCs w:val="0"/>
                      <w:color w:val="000000" w:themeColor="text1"/>
                      <w:spacing w:val="3"/>
                      <w:sz w:val="21"/>
                      <w:szCs w:val="21"/>
                      <w14:textFill>
                        <w14:solidFill>
                          <w14:schemeClr w14:val="tx1"/>
                        </w14:solidFill>
                      </w14:textFill>
                    </w:rPr>
                    <w:t>属于重点行业企业</w:t>
                  </w:r>
                  <w:r>
                    <w:rPr>
                      <w:rFonts w:hint="eastAsia" w:ascii="Times New Roman" w:hAnsi="Times New Roman" w:eastAsia="宋体"/>
                      <w:b w:val="0"/>
                      <w:bCs w:val="0"/>
                      <w:color w:val="000000" w:themeColor="text1"/>
                      <w:spacing w:val="3"/>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1A07E5F2">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866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018776E9">
                  <w:pPr>
                    <w:pStyle w:val="227"/>
                    <w:spacing w:before="110" w:line="300"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4"/>
                      <w:sz w:val="21"/>
                      <w:szCs w:val="21"/>
                      <w14:textFill>
                        <w14:solidFill>
                          <w14:schemeClr w14:val="tx1"/>
                        </w14:solidFill>
                      </w14:textFill>
                    </w:rPr>
                    <w:t>〔</w:t>
                  </w:r>
                  <w:r>
                    <w:rPr>
                      <w:rFonts w:ascii="Times New Roman" w:hAnsi="Times New Roman" w:eastAsia="宋体" w:cs="Times New Roman"/>
                      <w:b w:val="0"/>
                      <w:bCs w:val="0"/>
                      <w:color w:val="000000" w:themeColor="text1"/>
                      <w:spacing w:val="4"/>
                      <w:sz w:val="21"/>
                      <w:szCs w:val="21"/>
                      <w14:textFill>
                        <w14:solidFill>
                          <w14:schemeClr w14:val="tx1"/>
                        </w14:solidFill>
                      </w14:textFill>
                    </w:rPr>
                    <w:t>A1.1-8</w:t>
                  </w:r>
                  <w:r>
                    <w:rPr>
                      <w:rFonts w:ascii="Times New Roman" w:hAnsi="Times New Roman" w:eastAsia="宋体"/>
                      <w:b w:val="0"/>
                      <w:bCs w:val="0"/>
                      <w:color w:val="000000" w:themeColor="text1"/>
                      <w:spacing w:val="4"/>
                      <w:sz w:val="21"/>
                      <w:szCs w:val="21"/>
                      <w14:textFill>
                        <w14:solidFill>
                          <w14:schemeClr w14:val="tx1"/>
                        </w14:solidFill>
                      </w14:textFill>
                    </w:rPr>
                    <w:t>〕严格执行危险化学品</w:t>
                  </w:r>
                  <w:r>
                    <w:rPr>
                      <w:rFonts w:ascii="Times New Roman" w:hAnsi="Times New Roman" w:eastAsia="宋体" w:cs="Times New Roman"/>
                      <w:b w:val="0"/>
                      <w:bCs w:val="0"/>
                      <w:color w:val="000000" w:themeColor="text1"/>
                      <w:spacing w:val="4"/>
                      <w:sz w:val="21"/>
                      <w:szCs w:val="21"/>
                      <w14:textFill>
                        <w14:solidFill>
                          <w14:schemeClr w14:val="tx1"/>
                        </w14:solidFill>
                      </w14:textFill>
                    </w:rPr>
                    <w:t>“</w:t>
                  </w:r>
                  <w:r>
                    <w:rPr>
                      <w:rFonts w:ascii="Times New Roman" w:hAnsi="Times New Roman" w:eastAsia="宋体"/>
                      <w:b w:val="0"/>
                      <w:bCs w:val="0"/>
                      <w:color w:val="000000" w:themeColor="text1"/>
                      <w:spacing w:val="4"/>
                      <w:sz w:val="21"/>
                      <w:szCs w:val="21"/>
                      <w14:textFill>
                        <w14:solidFill>
                          <w14:schemeClr w14:val="tx1"/>
                        </w14:solidFill>
                      </w14:textFill>
                    </w:rPr>
                    <w:t>禁限控</w:t>
                  </w:r>
                  <w:r>
                    <w:rPr>
                      <w:rFonts w:ascii="Times New Roman" w:hAnsi="Times New Roman" w:eastAsia="宋体" w:cs="Times New Roman"/>
                      <w:b w:val="0"/>
                      <w:bCs w:val="0"/>
                      <w:color w:val="000000" w:themeColor="text1"/>
                      <w:spacing w:val="4"/>
                      <w:sz w:val="21"/>
                      <w:szCs w:val="21"/>
                      <w14:textFill>
                        <w14:solidFill>
                          <w14:schemeClr w14:val="tx1"/>
                        </w14:solidFill>
                      </w14:textFill>
                    </w:rPr>
                    <w:t>”</w:t>
                  </w:r>
                  <w:r>
                    <w:rPr>
                      <w:rFonts w:ascii="Times New Roman" w:hAnsi="Times New Roman" w:eastAsia="宋体"/>
                      <w:b w:val="0"/>
                      <w:bCs w:val="0"/>
                      <w:color w:val="000000" w:themeColor="text1"/>
                      <w:spacing w:val="4"/>
                      <w:sz w:val="21"/>
                      <w:szCs w:val="21"/>
                      <w14:textFill>
                        <w14:solidFill>
                          <w14:schemeClr w14:val="tx1"/>
                        </w14:solidFill>
                      </w14:textFill>
                    </w:rPr>
                    <w:t>目录，新</w:t>
                  </w:r>
                  <w:r>
                    <w:rPr>
                      <w:rFonts w:ascii="Times New Roman" w:hAnsi="Times New Roman" w:eastAsia="宋体"/>
                      <w:b w:val="0"/>
                      <w:bCs w:val="0"/>
                      <w:color w:val="000000" w:themeColor="text1"/>
                      <w:spacing w:val="13"/>
                      <w:sz w:val="21"/>
                      <w:szCs w:val="21"/>
                      <w14:textFill>
                        <w14:solidFill>
                          <w14:schemeClr w14:val="tx1"/>
                        </w14:solidFill>
                      </w14:textFill>
                    </w:rPr>
                    <w:t>建危险化学品生产项目必须进入一般或较低安全风</w:t>
                  </w:r>
                  <w:r>
                    <w:rPr>
                      <w:rFonts w:ascii="Times New Roman" w:hAnsi="Times New Roman" w:eastAsia="宋体"/>
                      <w:b w:val="0"/>
                      <w:bCs w:val="0"/>
                      <w:color w:val="000000" w:themeColor="text1"/>
                      <w:spacing w:val="5"/>
                      <w:sz w:val="21"/>
                      <w:szCs w:val="21"/>
                      <w14:textFill>
                        <w14:solidFill>
                          <w14:schemeClr w14:val="tx1"/>
                        </w14:solidFill>
                      </w14:textFill>
                    </w:rPr>
                    <w:t>险的化工园区（与其他行业生产装置配套建设的项目</w:t>
                  </w:r>
                  <w:r>
                    <w:rPr>
                      <w:rFonts w:ascii="Times New Roman" w:hAnsi="Times New Roman" w:eastAsia="宋体"/>
                      <w:b w:val="0"/>
                      <w:bCs w:val="0"/>
                      <w:color w:val="000000" w:themeColor="text1"/>
                      <w:spacing w:val="-4"/>
                      <w:sz w:val="21"/>
                      <w:szCs w:val="21"/>
                      <w14:textFill>
                        <w14:solidFill>
                          <w14:schemeClr w14:val="tx1"/>
                        </w14:solidFill>
                      </w14:textFill>
                    </w:rPr>
                    <w:t>除外</w:t>
                  </w:r>
                  <w:r>
                    <w:rPr>
                      <w:rFonts w:ascii="Times New Roman" w:hAnsi="Times New Roman" w:eastAsia="宋体"/>
                      <w:b w:val="0"/>
                      <w:bCs w:val="0"/>
                      <w:color w:val="000000" w:themeColor="text1"/>
                      <w:spacing w:val="9"/>
                      <w:sz w:val="21"/>
                      <w:szCs w:val="21"/>
                      <w14:textFill>
                        <w14:solidFill>
                          <w14:schemeClr w14:val="tx1"/>
                        </w14:solidFill>
                      </w14:textFill>
                    </w:rPr>
                    <w:t>），</w:t>
                  </w:r>
                  <w:r>
                    <w:rPr>
                      <w:rFonts w:ascii="Times New Roman" w:hAnsi="Times New Roman" w:eastAsia="宋体"/>
                      <w:b w:val="0"/>
                      <w:bCs w:val="0"/>
                      <w:color w:val="000000" w:themeColor="text1"/>
                      <w:spacing w:val="-4"/>
                      <w:sz w:val="21"/>
                      <w:szCs w:val="21"/>
                      <w14:textFill>
                        <w14:solidFill>
                          <w14:schemeClr w14:val="tx1"/>
                        </w14:solidFill>
                      </w14:textFill>
                    </w:rPr>
                    <w:t>引导其他石化化工项目在化工园区发展。</w:t>
                  </w:r>
                </w:p>
              </w:tc>
              <w:tc>
                <w:tcPr>
                  <w:tcW w:w="2390" w:type="dxa"/>
                  <w:shd w:val="clear" w:color="auto" w:fill="FFFFFF"/>
                  <w:vAlign w:val="center"/>
                </w:tcPr>
                <w:p w14:paraId="22D0695D">
                  <w:pPr>
                    <w:pStyle w:val="227"/>
                    <w:spacing w:before="65" w:line="334"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本项目不属于新建危</w:t>
                  </w:r>
                  <w:r>
                    <w:rPr>
                      <w:rFonts w:ascii="Times New Roman" w:hAnsi="Times New Roman" w:eastAsia="宋体"/>
                      <w:b w:val="0"/>
                      <w:bCs w:val="0"/>
                      <w:color w:val="000000" w:themeColor="text1"/>
                      <w:spacing w:val="2"/>
                      <w:sz w:val="21"/>
                      <w:szCs w:val="21"/>
                      <w14:textFill>
                        <w14:solidFill>
                          <w14:schemeClr w14:val="tx1"/>
                        </w14:solidFill>
                      </w14:textFill>
                    </w:rPr>
                    <w:t>险化学品生产项目</w:t>
                  </w:r>
                  <w:r>
                    <w:rPr>
                      <w:rFonts w:hint="eastAsia" w:ascii="Times New Roman" w:hAnsi="Times New Roman" w:eastAsia="宋体"/>
                      <w:b w:val="0"/>
                      <w:bCs w:val="0"/>
                      <w:color w:val="000000" w:themeColor="text1"/>
                      <w:spacing w:val="2"/>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30C71E65">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4134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5E69A2E0">
                  <w:pPr>
                    <w:pStyle w:val="227"/>
                    <w:spacing w:before="137" w:line="320"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cs="Times New Roman"/>
                      <w:b w:val="0"/>
                      <w:bCs w:val="0"/>
                      <w:color w:val="000000" w:themeColor="text1"/>
                      <w:spacing w:val="11"/>
                      <w:sz w:val="21"/>
                      <w:szCs w:val="21"/>
                      <w14:textFill>
                        <w14:solidFill>
                          <w14:schemeClr w14:val="tx1"/>
                        </w14:solidFill>
                      </w14:textFill>
                    </w:rPr>
                    <w:t>A1.1-9</w:t>
                  </w:r>
                  <w:r>
                    <w:rPr>
                      <w:rFonts w:ascii="Times New Roman" w:hAnsi="Times New Roman" w:eastAsia="宋体"/>
                      <w:b w:val="0"/>
                      <w:bCs w:val="0"/>
                      <w:color w:val="000000" w:themeColor="text1"/>
                      <w:spacing w:val="11"/>
                      <w:sz w:val="21"/>
                      <w:szCs w:val="21"/>
                      <w14:textFill>
                        <w14:solidFill>
                          <w14:schemeClr w14:val="tx1"/>
                        </w14:solidFill>
                      </w14:textFill>
                    </w:rPr>
                    <w:t>〕严禁新建自治区《禁止、控制和限制</w:t>
                  </w:r>
                  <w:r>
                    <w:rPr>
                      <w:rFonts w:ascii="Times New Roman" w:hAnsi="Times New Roman" w:eastAsia="宋体"/>
                      <w:b w:val="0"/>
                      <w:bCs w:val="0"/>
                      <w:color w:val="000000" w:themeColor="text1"/>
                      <w:spacing w:val="12"/>
                      <w:sz w:val="21"/>
                      <w:szCs w:val="21"/>
                      <w14:textFill>
                        <w14:solidFill>
                          <w14:schemeClr w14:val="tx1"/>
                        </w14:solidFill>
                      </w14:textFill>
                    </w:rPr>
                    <w:t>危险化学品目录》中淘汰类、禁止类危险化学品化</w:t>
                  </w:r>
                  <w:r>
                    <w:rPr>
                      <w:rFonts w:ascii="Times New Roman" w:hAnsi="Times New Roman" w:eastAsia="宋体"/>
                      <w:b w:val="0"/>
                      <w:bCs w:val="0"/>
                      <w:color w:val="000000" w:themeColor="text1"/>
                      <w:spacing w:val="14"/>
                      <w:sz w:val="21"/>
                      <w:szCs w:val="21"/>
                      <w14:textFill>
                        <w14:solidFill>
                          <w14:schemeClr w14:val="tx1"/>
                        </w14:solidFill>
                      </w14:textFill>
                    </w:rPr>
                    <w:t>工项目。严格执行生态保护红线、永久基本农田管</w:t>
                  </w:r>
                  <w:r>
                    <w:rPr>
                      <w:rFonts w:ascii="Times New Roman" w:hAnsi="Times New Roman" w:eastAsia="宋体"/>
                      <w:b w:val="0"/>
                      <w:bCs w:val="0"/>
                      <w:color w:val="000000" w:themeColor="text1"/>
                      <w:spacing w:val="5"/>
                      <w:sz w:val="21"/>
                      <w:szCs w:val="21"/>
                      <w14:textFill>
                        <w14:solidFill>
                          <w14:schemeClr w14:val="tx1"/>
                        </w14:solidFill>
                      </w14:textFill>
                    </w:rPr>
                    <w:t>控要求，禁止新（改、扩）建化工项目违规占用生态保护红线和永久基本农田。在塔里木河、伊犁河、额</w:t>
                  </w:r>
                  <w:r>
                    <w:rPr>
                      <w:rFonts w:ascii="Times New Roman" w:hAnsi="Times New Roman" w:eastAsia="宋体"/>
                      <w:b w:val="0"/>
                      <w:bCs w:val="0"/>
                      <w:color w:val="000000" w:themeColor="text1"/>
                      <w:spacing w:val="9"/>
                      <w:sz w:val="21"/>
                      <w:szCs w:val="21"/>
                      <w14:textFill>
                        <w14:solidFill>
                          <w14:schemeClr w14:val="tx1"/>
                        </w14:solidFill>
                      </w14:textFill>
                    </w:rPr>
                    <w:t>尔齐斯河干流及主要支流岸线</w:t>
                  </w:r>
                  <w:r>
                    <w:rPr>
                      <w:rFonts w:ascii="Times New Roman" w:hAnsi="Times New Roman" w:eastAsia="宋体" w:cs="Times New Roman"/>
                      <w:b w:val="0"/>
                      <w:bCs w:val="0"/>
                      <w:color w:val="000000" w:themeColor="text1"/>
                      <w:spacing w:val="9"/>
                      <w:sz w:val="21"/>
                      <w:szCs w:val="21"/>
                      <w14:textFill>
                        <w14:solidFill>
                          <w14:schemeClr w14:val="tx1"/>
                        </w14:solidFill>
                      </w14:textFill>
                    </w:rPr>
                    <w:t>1</w:t>
                  </w:r>
                  <w:r>
                    <w:rPr>
                      <w:rFonts w:ascii="Times New Roman" w:hAnsi="Times New Roman" w:eastAsia="宋体"/>
                      <w:b w:val="0"/>
                      <w:bCs w:val="0"/>
                      <w:color w:val="000000" w:themeColor="text1"/>
                      <w:spacing w:val="9"/>
                      <w:sz w:val="21"/>
                      <w:szCs w:val="21"/>
                      <w14:textFill>
                        <w14:solidFill>
                          <w14:schemeClr w14:val="tx1"/>
                        </w14:solidFill>
                      </w14:textFill>
                    </w:rPr>
                    <w:t>公里范围内，除提升</w:t>
                  </w:r>
                  <w:r>
                    <w:rPr>
                      <w:rFonts w:ascii="Times New Roman" w:hAnsi="Times New Roman" w:eastAsia="宋体"/>
                      <w:b w:val="0"/>
                      <w:bCs w:val="0"/>
                      <w:color w:val="000000" w:themeColor="text1"/>
                      <w:spacing w:val="10"/>
                      <w:sz w:val="21"/>
                      <w:szCs w:val="21"/>
                      <w14:textFill>
                        <w14:solidFill>
                          <w14:schemeClr w14:val="tx1"/>
                        </w14:solidFill>
                      </w14:textFill>
                    </w:rPr>
                    <w:t>安全、环保、节能、智能化、产品质量水平的技术</w:t>
                  </w:r>
                  <w:r>
                    <w:rPr>
                      <w:rFonts w:ascii="Times New Roman" w:hAnsi="Times New Roman" w:eastAsia="宋体"/>
                      <w:b w:val="0"/>
                      <w:bCs w:val="0"/>
                      <w:color w:val="000000" w:themeColor="text1"/>
                      <w:spacing w:val="5"/>
                      <w:sz w:val="21"/>
                      <w:szCs w:val="21"/>
                      <w14:textFill>
                        <w14:solidFill>
                          <w14:schemeClr w14:val="tx1"/>
                        </w14:solidFill>
                      </w14:textFill>
                    </w:rPr>
                    <w:t>改造项目外，严格禁止新建、扩建化工项目，不得布</w:t>
                  </w:r>
                  <w:r>
                    <w:rPr>
                      <w:rFonts w:ascii="Times New Roman" w:hAnsi="Times New Roman" w:eastAsia="宋体"/>
                      <w:b w:val="0"/>
                      <w:bCs w:val="0"/>
                      <w:color w:val="000000" w:themeColor="text1"/>
                      <w:spacing w:val="6"/>
                      <w:sz w:val="21"/>
                      <w:szCs w:val="21"/>
                      <w14:textFill>
                        <w14:solidFill>
                          <w14:schemeClr w14:val="tx1"/>
                        </w14:solidFill>
                      </w14:textFill>
                    </w:rPr>
                    <w:t>局新的化工园区（含化工集中区）。</w:t>
                  </w:r>
                </w:p>
              </w:tc>
              <w:tc>
                <w:tcPr>
                  <w:tcW w:w="2390" w:type="dxa"/>
                  <w:shd w:val="clear" w:color="auto" w:fill="FFFFFF"/>
                  <w:vAlign w:val="center"/>
                </w:tcPr>
                <w:p w14:paraId="0E3A93DC">
                  <w:pPr>
                    <w:pStyle w:val="227"/>
                    <w:spacing w:before="65" w:line="334"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本项目不属于危险化</w:t>
                  </w:r>
                  <w:r>
                    <w:rPr>
                      <w:rFonts w:ascii="Times New Roman" w:hAnsi="Times New Roman" w:eastAsia="宋体"/>
                      <w:b w:val="0"/>
                      <w:bCs w:val="0"/>
                      <w:color w:val="000000" w:themeColor="text1"/>
                      <w:spacing w:val="2"/>
                      <w:sz w:val="21"/>
                      <w:szCs w:val="21"/>
                      <w14:textFill>
                        <w14:solidFill>
                          <w14:schemeClr w14:val="tx1"/>
                        </w14:solidFill>
                      </w14:textFill>
                    </w:rPr>
                    <w:t>学品化工项目</w:t>
                  </w:r>
                  <w:r>
                    <w:rPr>
                      <w:rFonts w:hint="eastAsia" w:ascii="Times New Roman" w:hAnsi="Times New Roman" w:eastAsia="宋体"/>
                      <w:b w:val="0"/>
                      <w:bCs w:val="0"/>
                      <w:color w:val="000000" w:themeColor="text1"/>
                      <w:spacing w:val="2"/>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65F73CBF">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0E0B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8374BDE">
                  <w:pPr>
                    <w:pStyle w:val="227"/>
                    <w:spacing w:before="112" w:line="309"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w:t>
                  </w:r>
                  <w:r>
                    <w:rPr>
                      <w:rFonts w:ascii="Times New Roman" w:hAnsi="Times New Roman" w:eastAsia="宋体" w:cs="Times New Roman"/>
                      <w:b w:val="0"/>
                      <w:bCs w:val="0"/>
                      <w:color w:val="000000" w:themeColor="text1"/>
                      <w:spacing w:val="5"/>
                      <w:sz w:val="21"/>
                      <w:szCs w:val="21"/>
                      <w14:textFill>
                        <w14:solidFill>
                          <w14:schemeClr w14:val="tx1"/>
                        </w14:solidFill>
                      </w14:textFill>
                    </w:rPr>
                    <w:t>A1.1-10</w:t>
                  </w:r>
                  <w:r>
                    <w:rPr>
                      <w:rFonts w:ascii="Times New Roman" w:hAnsi="Times New Roman" w:eastAsia="宋体"/>
                      <w:b w:val="0"/>
                      <w:bCs w:val="0"/>
                      <w:color w:val="000000" w:themeColor="text1"/>
                      <w:spacing w:val="5"/>
                      <w:sz w:val="21"/>
                      <w:szCs w:val="21"/>
                      <w14:textFill>
                        <w14:solidFill>
                          <w14:schemeClr w14:val="tx1"/>
                        </w14:solidFill>
                      </w14:textFill>
                    </w:rPr>
                    <w:t>〕推动涉重金属产业集中优化发展</w:t>
                  </w:r>
                  <w:r>
                    <w:rPr>
                      <w:rFonts w:ascii="Times New Roman" w:hAnsi="Times New Roman" w:eastAsia="宋体"/>
                      <w:b w:val="0"/>
                      <w:bCs w:val="0"/>
                      <w:color w:val="000000" w:themeColor="text1"/>
                      <w:spacing w:val="4"/>
                      <w:sz w:val="21"/>
                      <w:szCs w:val="21"/>
                      <w14:textFill>
                        <w14:solidFill>
                          <w14:schemeClr w14:val="tx1"/>
                        </w14:solidFill>
                      </w14:textFill>
                    </w:rPr>
                    <w:t>，禁</w:t>
                  </w:r>
                  <w:r>
                    <w:rPr>
                      <w:rFonts w:ascii="Times New Roman" w:hAnsi="Times New Roman" w:eastAsia="宋体"/>
                      <w:b w:val="0"/>
                      <w:bCs w:val="0"/>
                      <w:color w:val="000000" w:themeColor="text1"/>
                      <w:spacing w:val="5"/>
                      <w:sz w:val="21"/>
                      <w:szCs w:val="21"/>
                      <w14:textFill>
                        <w14:solidFill>
                          <w14:schemeClr w14:val="tx1"/>
                        </w14:solidFill>
                      </w14:textFill>
                    </w:rPr>
                    <w:t>止新建用汞的电石法（聚）氯乙烯生产工艺，新建、</w:t>
                  </w:r>
                  <w:r>
                    <w:rPr>
                      <w:rFonts w:ascii="Times New Roman" w:hAnsi="Times New Roman" w:eastAsia="宋体"/>
                      <w:b w:val="0"/>
                      <w:bCs w:val="0"/>
                      <w:color w:val="000000" w:themeColor="text1"/>
                      <w:spacing w:val="9"/>
                      <w:sz w:val="21"/>
                      <w:szCs w:val="21"/>
                      <w14:textFill>
                        <w14:solidFill>
                          <w14:schemeClr w14:val="tx1"/>
                        </w14:solidFill>
                      </w14:textFill>
                    </w:rPr>
                    <w:t>扩建的重有色金属冶炼、</w:t>
                  </w:r>
                  <w:r>
                    <w:rPr>
                      <w:rFonts w:ascii="Times New Roman" w:hAnsi="Times New Roman" w:eastAsia="宋体"/>
                      <w:b w:val="0"/>
                      <w:bCs w:val="0"/>
                      <w:color w:val="000000" w:themeColor="text1"/>
                      <w:spacing w:val="-45"/>
                      <w:sz w:val="21"/>
                      <w:szCs w:val="21"/>
                      <w14:textFill>
                        <w14:solidFill>
                          <w14:schemeClr w14:val="tx1"/>
                        </w14:solidFill>
                      </w14:textFill>
                    </w:rPr>
                    <w:t xml:space="preserve"> </w:t>
                  </w:r>
                  <w:r>
                    <w:rPr>
                      <w:rFonts w:ascii="Times New Roman" w:hAnsi="Times New Roman" w:eastAsia="宋体"/>
                      <w:b w:val="0"/>
                      <w:bCs w:val="0"/>
                      <w:color w:val="000000" w:themeColor="text1"/>
                      <w:spacing w:val="9"/>
                      <w:sz w:val="21"/>
                      <w:szCs w:val="21"/>
                      <w14:textFill>
                        <w14:solidFill>
                          <w14:schemeClr w14:val="tx1"/>
                        </w14:solidFill>
                      </w14:textFill>
                    </w:rPr>
                    <w:t>电镀、制革企业优先选择</w:t>
                  </w:r>
                  <w:r>
                    <w:rPr>
                      <w:rFonts w:ascii="Times New Roman" w:hAnsi="Times New Roman" w:eastAsia="宋体"/>
                      <w:b w:val="0"/>
                      <w:bCs w:val="0"/>
                      <w:color w:val="000000" w:themeColor="text1"/>
                      <w:spacing w:val="6"/>
                      <w:sz w:val="21"/>
                      <w:szCs w:val="21"/>
                      <w14:textFill>
                        <w14:solidFill>
                          <w14:schemeClr w14:val="tx1"/>
                        </w14:solidFill>
                      </w14:textFill>
                    </w:rPr>
                    <w:t>布设在依法合规设立并依法开展规划环境影响评价</w:t>
                  </w:r>
                  <w:r>
                    <w:rPr>
                      <w:rFonts w:ascii="Times New Roman" w:hAnsi="Times New Roman" w:eastAsia="宋体"/>
                      <w:b w:val="0"/>
                      <w:bCs w:val="0"/>
                      <w:color w:val="000000" w:themeColor="text1"/>
                      <w:spacing w:val="2"/>
                      <w:sz w:val="21"/>
                      <w:szCs w:val="21"/>
                      <w14:textFill>
                        <w14:solidFill>
                          <w14:schemeClr w14:val="tx1"/>
                        </w14:solidFill>
                      </w14:textFill>
                    </w:rPr>
                    <w:t>的产业园区。</w:t>
                  </w:r>
                </w:p>
              </w:tc>
              <w:tc>
                <w:tcPr>
                  <w:tcW w:w="2390" w:type="dxa"/>
                  <w:shd w:val="clear" w:color="auto" w:fill="FFFFFF"/>
                  <w:vAlign w:val="center"/>
                </w:tcPr>
                <w:p w14:paraId="1C27FEB3">
                  <w:pPr>
                    <w:pStyle w:val="227"/>
                    <w:spacing w:before="65" w:line="227" w:lineRule="auto"/>
                    <w:ind w:left="0" w:leftChars="0" w:right="3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8"/>
                      <w:sz w:val="21"/>
                      <w:szCs w:val="21"/>
                      <w14:textFill>
                        <w14:solidFill>
                          <w14:schemeClr w14:val="tx1"/>
                        </w14:solidFill>
                      </w14:textFill>
                    </w:rPr>
                    <w:t>本项目不涉及重金属</w:t>
                  </w:r>
                  <w:r>
                    <w:rPr>
                      <w:rFonts w:hint="eastAsia" w:ascii="Times New Roman" w:hAnsi="Times New Roman" w:eastAsia="宋体"/>
                      <w:b w:val="0"/>
                      <w:bCs w:val="0"/>
                      <w:color w:val="000000" w:themeColor="text1"/>
                      <w:spacing w:val="8"/>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31F666CC">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249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1312FAB1">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w:t>
                  </w:r>
                  <w:r>
                    <w:rPr>
                      <w:rFonts w:ascii="Times New Roman" w:hAnsi="Times New Roman" w:eastAsia="宋体" w:cs="Times New Roman"/>
                      <w:b w:val="0"/>
                      <w:bCs w:val="0"/>
                      <w:color w:val="000000" w:themeColor="text1"/>
                      <w:spacing w:val="5"/>
                      <w:sz w:val="21"/>
                      <w:szCs w:val="21"/>
                      <w14:textFill>
                        <w14:solidFill>
                          <w14:schemeClr w14:val="tx1"/>
                        </w14:solidFill>
                      </w14:textFill>
                    </w:rPr>
                    <w:t>A1.1-11</w:t>
                  </w:r>
                  <w:r>
                    <w:rPr>
                      <w:rFonts w:ascii="Times New Roman" w:hAnsi="Times New Roman" w:eastAsia="宋体"/>
                      <w:b w:val="0"/>
                      <w:bCs w:val="0"/>
                      <w:color w:val="000000" w:themeColor="text1"/>
                      <w:spacing w:val="5"/>
                      <w:sz w:val="21"/>
                      <w:szCs w:val="21"/>
                      <w14:textFill>
                        <w14:solidFill>
                          <w14:schemeClr w14:val="tx1"/>
                        </w14:solidFill>
                      </w14:textFill>
                    </w:rPr>
                    <w:t>〕国务院有关部门和青藏高原县级以上</w:t>
                  </w:r>
                  <w:r>
                    <w:rPr>
                      <w:rFonts w:ascii="Times New Roman" w:hAnsi="Times New Roman" w:eastAsia="宋体"/>
                      <w:b w:val="0"/>
                      <w:bCs w:val="0"/>
                      <w:color w:val="000000" w:themeColor="text1"/>
                      <w:spacing w:val="16"/>
                      <w:sz w:val="21"/>
                      <w:szCs w:val="21"/>
                      <w14:textFill>
                        <w14:solidFill>
                          <w14:schemeClr w14:val="tx1"/>
                        </w14:solidFill>
                      </w14:textFill>
                    </w:rPr>
                    <w:t>地方人民政府应当建立健全青藏高原雪山冰川冻土</w:t>
                  </w:r>
                  <w:r>
                    <w:rPr>
                      <w:rFonts w:ascii="Times New Roman" w:hAnsi="Times New Roman" w:eastAsia="宋体"/>
                      <w:b w:val="0"/>
                      <w:bCs w:val="0"/>
                      <w:color w:val="000000" w:themeColor="text1"/>
                      <w:spacing w:val="6"/>
                      <w:sz w:val="21"/>
                      <w:szCs w:val="21"/>
                      <w14:textFill>
                        <w14:solidFill>
                          <w14:schemeClr w14:val="tx1"/>
                        </w14:solidFill>
                      </w14:textFill>
                    </w:rPr>
                    <w:t>保护制度，加强对雪山冰川冻土的监测预警和系统保护。青藏高原省级人民政府应当将大型冰帽冰川、小规模冰川群等划入生态保护红线，对重要雪山冰川实施封禁保护，采取有效措施，严格控制人为扰动。青藏高原省级人民政府应当划定冻土区保护范围，加强对多年冻土区和中深季节冻土区的保护，严格控制多年冻土区资源开发，严格审批多年冻土区城镇规划和交通、管线、输变电等重大工程项目。青藏高原省级</w:t>
                  </w:r>
                  <w:r>
                    <w:rPr>
                      <w:rFonts w:ascii="Times New Roman" w:hAnsi="Times New Roman" w:eastAsia="宋体"/>
                      <w:b w:val="0"/>
                      <w:bCs w:val="0"/>
                      <w:color w:val="000000" w:themeColor="text1"/>
                      <w:spacing w:val="16"/>
                      <w:sz w:val="21"/>
                      <w:szCs w:val="21"/>
                      <w14:textFill>
                        <w14:solidFill>
                          <w14:schemeClr w14:val="tx1"/>
                        </w14:solidFill>
                      </w14:textFill>
                    </w:rPr>
                    <w:t>人民政府应当开展雪山冰川冻土与周边生态系</w:t>
                  </w:r>
                  <w:r>
                    <w:rPr>
                      <w:rFonts w:ascii="Times New Roman" w:hAnsi="Times New Roman" w:eastAsia="宋体"/>
                      <w:b w:val="0"/>
                      <w:bCs w:val="0"/>
                      <w:color w:val="000000" w:themeColor="text1"/>
                      <w:spacing w:val="15"/>
                      <w:sz w:val="21"/>
                      <w:szCs w:val="21"/>
                      <w14:textFill>
                        <w14:solidFill>
                          <w14:schemeClr w14:val="tx1"/>
                        </w14:solidFill>
                      </w14:textFill>
                    </w:rPr>
                    <w:t>统的</w:t>
                  </w:r>
                  <w:r>
                    <w:rPr>
                      <w:rFonts w:ascii="Times New Roman" w:hAnsi="Times New Roman" w:eastAsia="宋体"/>
                      <w:b w:val="0"/>
                      <w:bCs w:val="0"/>
                      <w:color w:val="000000" w:themeColor="text1"/>
                      <w:spacing w:val="6"/>
                      <w:sz w:val="21"/>
                      <w:szCs w:val="21"/>
                      <w14:textFill>
                        <w14:solidFill>
                          <w14:schemeClr w14:val="tx1"/>
                        </w14:solidFill>
                      </w14:textFill>
                    </w:rPr>
                    <w:t>协同保护，维持有利于雪山冰川冻土保护的自然生态</w:t>
                  </w:r>
                  <w:r>
                    <w:rPr>
                      <w:rFonts w:ascii="Times New Roman" w:hAnsi="Times New Roman" w:eastAsia="宋体"/>
                      <w:b w:val="0"/>
                      <w:bCs w:val="0"/>
                      <w:color w:val="000000" w:themeColor="text1"/>
                      <w:spacing w:val="3"/>
                      <w:sz w:val="21"/>
                      <w:szCs w:val="21"/>
                      <w14:textFill>
                        <w14:solidFill>
                          <w14:schemeClr w14:val="tx1"/>
                        </w14:solidFill>
                      </w14:textFill>
                    </w:rPr>
                    <w:t>环境。</w:t>
                  </w:r>
                </w:p>
              </w:tc>
              <w:tc>
                <w:tcPr>
                  <w:tcW w:w="2390" w:type="dxa"/>
                  <w:shd w:val="clear" w:color="auto" w:fill="FFFFFF"/>
                  <w:vAlign w:val="center"/>
                </w:tcPr>
                <w:p w14:paraId="799F01A3">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ascii="Times New Roman" w:hAnsi="Times New Roman" w:eastAsia="宋体"/>
                      <w:b w:val="0"/>
                      <w:bCs w:val="0"/>
                      <w:color w:val="000000" w:themeColor="text1"/>
                      <w:spacing w:val="8"/>
                      <w:sz w:val="21"/>
                      <w:szCs w:val="21"/>
                      <w14:textFill>
                        <w14:solidFill>
                          <w14:schemeClr w14:val="tx1"/>
                        </w14:solidFill>
                      </w14:textFill>
                    </w:rPr>
                    <w:t>本项目不涉及</w:t>
                  </w:r>
                  <w:r>
                    <w:rPr>
                      <w:rFonts w:hint="eastAsia" w:ascii="Times New Roman" w:hAnsi="Times New Roman" w:eastAsia="宋体"/>
                      <w:b w:val="0"/>
                      <w:bCs w:val="0"/>
                      <w:color w:val="000000" w:themeColor="text1"/>
                      <w:spacing w:val="8"/>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3FE4E619">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185E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05A3DA14">
                  <w:pPr>
                    <w:pStyle w:val="227"/>
                    <w:spacing w:before="110" w:line="279"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6"/>
                      <w:sz w:val="21"/>
                      <w:szCs w:val="21"/>
                      <w14:textFill>
                        <w14:solidFill>
                          <w14:schemeClr w14:val="tx1"/>
                        </w14:solidFill>
                      </w14:textFill>
                    </w:rPr>
                    <w:t>〔</w:t>
                  </w:r>
                  <w:r>
                    <w:rPr>
                      <w:rFonts w:ascii="Times New Roman" w:hAnsi="Times New Roman" w:eastAsia="宋体" w:cs="Times New Roman"/>
                      <w:b w:val="0"/>
                      <w:bCs w:val="0"/>
                      <w:color w:val="000000" w:themeColor="text1"/>
                      <w:spacing w:val="6"/>
                      <w:sz w:val="21"/>
                      <w:szCs w:val="21"/>
                      <w14:textFill>
                        <w14:solidFill>
                          <w14:schemeClr w14:val="tx1"/>
                        </w14:solidFill>
                      </w14:textFill>
                    </w:rPr>
                    <w:t>A1.2-1</w:t>
                  </w:r>
                  <w:r>
                    <w:rPr>
                      <w:rFonts w:ascii="Times New Roman" w:hAnsi="Times New Roman" w:eastAsia="宋体"/>
                      <w:b w:val="0"/>
                      <w:bCs w:val="0"/>
                      <w:color w:val="000000" w:themeColor="text1"/>
                      <w:spacing w:val="6"/>
                      <w:sz w:val="21"/>
                      <w:szCs w:val="21"/>
                      <w14:textFill>
                        <w14:solidFill>
                          <w14:schemeClr w14:val="tx1"/>
                        </w14:solidFill>
                      </w14:textFill>
                    </w:rPr>
                    <w:t>〕严格控制缺水地区、水污染严重区域和</w:t>
                  </w:r>
                  <w:r>
                    <w:rPr>
                      <w:rFonts w:ascii="Times New Roman" w:hAnsi="Times New Roman" w:eastAsia="宋体"/>
                      <w:b w:val="0"/>
                      <w:bCs w:val="0"/>
                      <w:color w:val="000000" w:themeColor="text1"/>
                      <w:spacing w:val="4"/>
                      <w:sz w:val="21"/>
                      <w:szCs w:val="21"/>
                      <w14:textFill>
                        <w14:solidFill>
                          <w14:schemeClr w14:val="tx1"/>
                        </w14:solidFill>
                      </w14:textFill>
                    </w:rPr>
                    <w:t xml:space="preserve"> </w:t>
                  </w:r>
                  <w:r>
                    <w:rPr>
                      <w:rFonts w:ascii="Times New Roman" w:hAnsi="Times New Roman" w:eastAsia="宋体"/>
                      <w:b w:val="0"/>
                      <w:bCs w:val="0"/>
                      <w:color w:val="000000" w:themeColor="text1"/>
                      <w:spacing w:val="6"/>
                      <w:sz w:val="21"/>
                      <w:szCs w:val="21"/>
                      <w14:textFill>
                        <w14:solidFill>
                          <w14:schemeClr w14:val="tx1"/>
                        </w14:solidFill>
                      </w14:textFill>
                    </w:rPr>
                    <w:t>敏感区域高耗水、高污染行业发展。</w:t>
                  </w:r>
                </w:p>
              </w:tc>
              <w:tc>
                <w:tcPr>
                  <w:tcW w:w="2390" w:type="dxa"/>
                  <w:shd w:val="clear" w:color="auto" w:fill="FFFFFF"/>
                  <w:vAlign w:val="center"/>
                </w:tcPr>
                <w:p w14:paraId="168A4AE2">
                  <w:pPr>
                    <w:pStyle w:val="227"/>
                    <w:spacing w:before="110" w:line="279"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44"/>
                      <w:sz w:val="21"/>
                      <w:szCs w:val="21"/>
                      <w14:textFill>
                        <w14:solidFill>
                          <w14:schemeClr w14:val="tx1"/>
                        </w14:solidFill>
                      </w14:textFill>
                    </w:rPr>
                    <w:t>本项目不属于高耗</w:t>
                  </w:r>
                  <w:r>
                    <w:rPr>
                      <w:rFonts w:ascii="Times New Roman" w:hAnsi="Times New Roman" w:eastAsia="宋体"/>
                      <w:b w:val="0"/>
                      <w:bCs w:val="0"/>
                      <w:color w:val="000000" w:themeColor="text1"/>
                      <w:spacing w:val="6"/>
                      <w:sz w:val="21"/>
                      <w:szCs w:val="21"/>
                      <w14:textFill>
                        <w14:solidFill>
                          <w14:schemeClr w14:val="tx1"/>
                        </w14:solidFill>
                      </w14:textFill>
                    </w:rPr>
                    <w:t>水、高污染行业</w:t>
                  </w:r>
                  <w:r>
                    <w:rPr>
                      <w:rFonts w:hint="eastAsia" w:ascii="Times New Roman" w:hAnsi="Times New Roman" w:eastAsia="宋体"/>
                      <w:b w:val="0"/>
                      <w:bCs w:val="0"/>
                      <w:color w:val="000000" w:themeColor="text1"/>
                      <w:spacing w:val="6"/>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76DB6B20">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34D7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52D1E240">
                  <w:pPr>
                    <w:pStyle w:val="227"/>
                    <w:spacing w:before="109" w:line="311"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0"/>
                      <w:sz w:val="21"/>
                      <w:szCs w:val="21"/>
                      <w14:textFill>
                        <w14:solidFill>
                          <w14:schemeClr w14:val="tx1"/>
                        </w14:solidFill>
                      </w14:textFill>
                    </w:rPr>
                    <w:t>〔</w:t>
                  </w:r>
                  <w:r>
                    <w:rPr>
                      <w:rFonts w:ascii="Times New Roman" w:hAnsi="Times New Roman" w:eastAsia="宋体" w:cs="Times New Roman"/>
                      <w:b w:val="0"/>
                      <w:bCs w:val="0"/>
                      <w:color w:val="000000" w:themeColor="text1"/>
                      <w:spacing w:val="10"/>
                      <w:sz w:val="21"/>
                      <w:szCs w:val="21"/>
                      <w14:textFill>
                        <w14:solidFill>
                          <w14:schemeClr w14:val="tx1"/>
                        </w14:solidFill>
                      </w14:textFill>
                    </w:rPr>
                    <w:t>A1</w:t>
                  </w:r>
                  <w:r>
                    <w:rPr>
                      <w:rFonts w:ascii="Times New Roman" w:hAnsi="Times New Roman" w:eastAsia="宋体" w:cs="Times New Roman"/>
                      <w:b w:val="0"/>
                      <w:bCs w:val="0"/>
                      <w:color w:val="000000" w:themeColor="text1"/>
                      <w:spacing w:val="-30"/>
                      <w:sz w:val="21"/>
                      <w:szCs w:val="21"/>
                      <w14:textFill>
                        <w14:solidFill>
                          <w14:schemeClr w14:val="tx1"/>
                        </w14:solidFill>
                      </w14:textFill>
                    </w:rPr>
                    <w:t xml:space="preserve"> </w:t>
                  </w:r>
                  <w:r>
                    <w:rPr>
                      <w:rFonts w:ascii="Times New Roman" w:hAnsi="Times New Roman" w:eastAsia="宋体" w:cs="Times New Roman"/>
                      <w:b w:val="0"/>
                      <w:bCs w:val="0"/>
                      <w:color w:val="000000" w:themeColor="text1"/>
                      <w:spacing w:val="10"/>
                      <w:sz w:val="21"/>
                      <w:szCs w:val="21"/>
                      <w14:textFill>
                        <w14:solidFill>
                          <w14:schemeClr w14:val="tx1"/>
                        </w14:solidFill>
                      </w14:textFill>
                    </w:rPr>
                    <w:t>.2-2</w:t>
                  </w:r>
                  <w:r>
                    <w:rPr>
                      <w:rFonts w:ascii="Times New Roman" w:hAnsi="Times New Roman" w:eastAsia="宋体"/>
                      <w:b w:val="0"/>
                      <w:bCs w:val="0"/>
                      <w:color w:val="000000" w:themeColor="text1"/>
                      <w:spacing w:val="10"/>
                      <w:sz w:val="21"/>
                      <w:szCs w:val="21"/>
                      <w14:textFill>
                        <w14:solidFill>
                          <w14:schemeClr w14:val="tx1"/>
                        </w14:solidFill>
                      </w14:textFill>
                    </w:rPr>
                    <w:t>〕建设项目用地原则上不得占用</w:t>
                  </w:r>
                  <w:r>
                    <w:rPr>
                      <w:rFonts w:ascii="Times New Roman" w:hAnsi="Times New Roman" w:eastAsia="宋体"/>
                      <w:b w:val="0"/>
                      <w:bCs w:val="0"/>
                      <w:color w:val="000000" w:themeColor="text1"/>
                      <w:spacing w:val="9"/>
                      <w:sz w:val="21"/>
                      <w:szCs w:val="21"/>
                      <w14:textFill>
                        <w14:solidFill>
                          <w14:schemeClr w14:val="tx1"/>
                        </w14:solidFill>
                      </w14:textFill>
                    </w:rPr>
                    <w:t>永久基</w:t>
                  </w:r>
                  <w:r>
                    <w:rPr>
                      <w:rFonts w:ascii="Times New Roman" w:hAnsi="Times New Roman" w:eastAsia="宋体"/>
                      <w:b w:val="0"/>
                      <w:bCs w:val="0"/>
                      <w:color w:val="000000" w:themeColor="text1"/>
                      <w:spacing w:val="14"/>
                      <w:sz w:val="21"/>
                      <w:szCs w:val="21"/>
                      <w14:textFill>
                        <w14:solidFill>
                          <w14:schemeClr w14:val="tx1"/>
                        </w14:solidFill>
                      </w14:textFill>
                    </w:rPr>
                    <w:t>本农田，确需占用永久基本农田的建设项目须符合</w:t>
                  </w:r>
                  <w:r>
                    <w:rPr>
                      <w:rFonts w:ascii="Times New Roman" w:hAnsi="Times New Roman" w:eastAsia="宋体"/>
                      <w:b w:val="0"/>
                      <w:bCs w:val="0"/>
                      <w:color w:val="000000" w:themeColor="text1"/>
                      <w:spacing w:val="4"/>
                      <w:sz w:val="21"/>
                      <w:szCs w:val="21"/>
                      <w14:textFill>
                        <w14:solidFill>
                          <w14:schemeClr w14:val="tx1"/>
                        </w14:solidFill>
                      </w14:textFill>
                    </w:rPr>
                    <w:t>《中华人民共和国基本农田保护条例》中相关要求，</w:t>
                  </w:r>
                  <w:r>
                    <w:rPr>
                      <w:rFonts w:ascii="Times New Roman" w:hAnsi="Times New Roman" w:eastAsia="宋体"/>
                      <w:b w:val="0"/>
                      <w:bCs w:val="0"/>
                      <w:color w:val="000000" w:themeColor="text1"/>
                      <w:spacing w:val="9"/>
                      <w:sz w:val="21"/>
                      <w:szCs w:val="21"/>
                      <w14:textFill>
                        <w14:solidFill>
                          <w14:schemeClr w14:val="tx1"/>
                        </w14:solidFill>
                      </w14:textFill>
                    </w:rPr>
                    <w:t>占用耕地、林地或草地的建设项目须按照国家、自</w:t>
                  </w:r>
                  <w:r>
                    <w:rPr>
                      <w:rFonts w:ascii="Times New Roman" w:hAnsi="Times New Roman" w:eastAsia="宋体"/>
                      <w:b w:val="0"/>
                      <w:bCs w:val="0"/>
                      <w:color w:val="000000" w:themeColor="text1"/>
                      <w:spacing w:val="5"/>
                      <w:sz w:val="21"/>
                      <w:szCs w:val="21"/>
                      <w14:textFill>
                        <w14:solidFill>
                          <w14:schemeClr w14:val="tx1"/>
                        </w14:solidFill>
                      </w14:textFill>
                    </w:rPr>
                    <w:t>治区相关补偿要求进行补偿。</w:t>
                  </w:r>
                </w:p>
              </w:tc>
              <w:tc>
                <w:tcPr>
                  <w:tcW w:w="2390" w:type="dxa"/>
                  <w:shd w:val="clear" w:color="auto" w:fill="FFFFFF"/>
                  <w:vAlign w:val="center"/>
                </w:tcPr>
                <w:p w14:paraId="650B1AA6">
                  <w:pPr>
                    <w:pStyle w:val="227"/>
                    <w:spacing w:before="65" w:line="333"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本项目不占用永久基</w:t>
                  </w:r>
                  <w:r>
                    <w:rPr>
                      <w:rFonts w:ascii="Times New Roman" w:hAnsi="Times New Roman" w:eastAsia="宋体"/>
                      <w:b w:val="0"/>
                      <w:bCs w:val="0"/>
                      <w:color w:val="000000" w:themeColor="text1"/>
                      <w:spacing w:val="9"/>
                      <w:sz w:val="21"/>
                      <w:szCs w:val="21"/>
                      <w14:textFill>
                        <w14:solidFill>
                          <w14:schemeClr w14:val="tx1"/>
                        </w14:solidFill>
                      </w14:textFill>
                    </w:rPr>
                    <w:t>本农田</w:t>
                  </w:r>
                  <w:r>
                    <w:rPr>
                      <w:rFonts w:hint="eastAsia" w:ascii="Times New Roman" w:hAnsi="Times New Roman" w:eastAsia="宋体"/>
                      <w:b w:val="0"/>
                      <w:bCs w:val="0"/>
                      <w:color w:val="000000" w:themeColor="text1"/>
                      <w:spacing w:val="9"/>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7EEE9D05">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7981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6C9AD3D9">
                  <w:pPr>
                    <w:pStyle w:val="227"/>
                    <w:spacing w:before="109" w:line="311"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cs="Times New Roman"/>
                      <w:b w:val="0"/>
                      <w:bCs w:val="0"/>
                      <w:color w:val="000000" w:themeColor="text1"/>
                      <w:spacing w:val="11"/>
                      <w:sz w:val="21"/>
                      <w:szCs w:val="21"/>
                      <w14:textFill>
                        <w14:solidFill>
                          <w14:schemeClr w14:val="tx1"/>
                        </w14:solidFill>
                      </w14:textFill>
                    </w:rPr>
                    <w:t>A1.2-3</w:t>
                  </w:r>
                  <w:r>
                    <w:rPr>
                      <w:rFonts w:ascii="Times New Roman" w:hAnsi="Times New Roman" w:eastAsia="宋体"/>
                      <w:b w:val="0"/>
                      <w:bCs w:val="0"/>
                      <w:color w:val="000000" w:themeColor="text1"/>
                      <w:spacing w:val="11"/>
                      <w:sz w:val="21"/>
                      <w:szCs w:val="21"/>
                      <w14:textFill>
                        <w14:solidFill>
                          <w14:schemeClr w14:val="tx1"/>
                        </w14:solidFill>
                      </w14:textFill>
                    </w:rPr>
                    <w:t>〕以用途变更为住宅、公共管理与公共</w:t>
                  </w:r>
                  <w:r>
                    <w:rPr>
                      <w:rFonts w:ascii="Times New Roman" w:hAnsi="Times New Roman" w:eastAsia="宋体"/>
                      <w:b w:val="0"/>
                      <w:bCs w:val="0"/>
                      <w:color w:val="000000" w:themeColor="text1"/>
                      <w:spacing w:val="16"/>
                      <w:sz w:val="21"/>
                      <w:szCs w:val="21"/>
                      <w14:textFill>
                        <w14:solidFill>
                          <w14:schemeClr w14:val="tx1"/>
                        </w14:solidFill>
                      </w14:textFill>
                    </w:rPr>
                    <w:t>服务用地的地块为重点，严格建设用地准入管</w:t>
                  </w:r>
                  <w:r>
                    <w:rPr>
                      <w:rFonts w:ascii="Times New Roman" w:hAnsi="Times New Roman" w:eastAsia="宋体"/>
                      <w:b w:val="0"/>
                      <w:bCs w:val="0"/>
                      <w:color w:val="000000" w:themeColor="text1"/>
                      <w:spacing w:val="15"/>
                      <w:sz w:val="21"/>
                      <w:szCs w:val="21"/>
                      <w14:textFill>
                        <w14:solidFill>
                          <w14:schemeClr w14:val="tx1"/>
                        </w14:solidFill>
                      </w14:textFill>
                    </w:rPr>
                    <w:t>理和</w:t>
                  </w:r>
                  <w:r>
                    <w:rPr>
                      <w:rFonts w:ascii="Times New Roman" w:hAnsi="Times New Roman" w:eastAsia="宋体"/>
                      <w:b w:val="0"/>
                      <w:bCs w:val="0"/>
                      <w:color w:val="000000" w:themeColor="text1"/>
                      <w:spacing w:val="6"/>
                      <w:sz w:val="21"/>
                      <w:szCs w:val="21"/>
                      <w14:textFill>
                        <w14:solidFill>
                          <w14:schemeClr w14:val="tx1"/>
                        </w14:solidFill>
                      </w14:textFill>
                    </w:rPr>
                    <w:t>风险管控，未依法完成土壤污染状况调查或风险评估</w:t>
                  </w:r>
                  <w:r>
                    <w:rPr>
                      <w:rFonts w:ascii="Times New Roman" w:hAnsi="Times New Roman" w:eastAsia="宋体"/>
                      <w:b w:val="0"/>
                      <w:bCs w:val="0"/>
                      <w:color w:val="000000" w:themeColor="text1"/>
                      <w:spacing w:val="11"/>
                      <w:sz w:val="21"/>
                      <w:szCs w:val="21"/>
                      <w14:textFill>
                        <w14:solidFill>
                          <w14:schemeClr w14:val="tx1"/>
                        </w14:solidFill>
                      </w14:textFill>
                    </w:rPr>
                    <w:t>的地块，不得开工建设与风险管控和修复无关的项</w:t>
                  </w:r>
                  <w:r>
                    <w:rPr>
                      <w:rFonts w:ascii="Times New Roman" w:hAnsi="Times New Roman" w:eastAsia="宋体"/>
                      <w:b w:val="0"/>
                      <w:bCs w:val="0"/>
                      <w:color w:val="000000" w:themeColor="text1"/>
                      <w:sz w:val="21"/>
                      <w:szCs w:val="21"/>
                      <w14:textFill>
                        <w14:solidFill>
                          <w14:schemeClr w14:val="tx1"/>
                        </w14:solidFill>
                      </w14:textFill>
                    </w:rPr>
                    <w:t>目。</w:t>
                  </w:r>
                </w:p>
              </w:tc>
              <w:tc>
                <w:tcPr>
                  <w:tcW w:w="2390" w:type="dxa"/>
                  <w:shd w:val="clear" w:color="auto" w:fill="FFFFFF"/>
                  <w:vAlign w:val="center"/>
                </w:tcPr>
                <w:p w14:paraId="67ACC8C6">
                  <w:pPr>
                    <w:pStyle w:val="227"/>
                    <w:spacing w:before="65"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本项目不涉及</w:t>
                  </w:r>
                  <w:r>
                    <w:rPr>
                      <w:rFonts w:hint="eastAsia" w:ascii="Times New Roman" w:hAnsi="Times New Roman" w:eastAsia="宋体"/>
                      <w:b w:val="0"/>
                      <w:bCs w:val="0"/>
                      <w:color w:val="000000" w:themeColor="text1"/>
                      <w:spacing w:val="1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45A6BE95">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A67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61D81FBD">
                  <w:pPr>
                    <w:pStyle w:val="227"/>
                    <w:spacing w:before="112" w:line="305"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cs="Times New Roman"/>
                      <w:b w:val="0"/>
                      <w:bCs w:val="0"/>
                      <w:color w:val="000000" w:themeColor="text1"/>
                      <w:spacing w:val="11"/>
                      <w:sz w:val="21"/>
                      <w:szCs w:val="21"/>
                      <w14:textFill>
                        <w14:solidFill>
                          <w14:schemeClr w14:val="tx1"/>
                        </w14:solidFill>
                      </w14:textFill>
                    </w:rPr>
                    <w:t>A1.2-4</w:t>
                  </w: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b w:val="0"/>
                      <w:bCs w:val="0"/>
                      <w:color w:val="000000" w:themeColor="text1"/>
                      <w:spacing w:val="-59"/>
                      <w:sz w:val="21"/>
                      <w:szCs w:val="21"/>
                      <w14:textFill>
                        <w14:solidFill>
                          <w14:schemeClr w14:val="tx1"/>
                        </w14:solidFill>
                      </w14:textFill>
                    </w:rPr>
                    <w:t xml:space="preserve"> </w:t>
                  </w:r>
                  <w:r>
                    <w:rPr>
                      <w:rFonts w:ascii="Times New Roman" w:hAnsi="Times New Roman" w:eastAsia="宋体"/>
                      <w:b w:val="0"/>
                      <w:bCs w:val="0"/>
                      <w:color w:val="000000" w:themeColor="text1"/>
                      <w:spacing w:val="11"/>
                      <w:sz w:val="21"/>
                      <w:szCs w:val="21"/>
                      <w14:textFill>
                        <w14:solidFill>
                          <w14:schemeClr w14:val="tx1"/>
                        </w14:solidFill>
                      </w14:textFill>
                    </w:rPr>
                    <w:t>严格控制建设项目占用湿</w:t>
                  </w:r>
                  <w:r>
                    <w:rPr>
                      <w:rFonts w:ascii="Times New Roman" w:hAnsi="Times New Roman" w:eastAsia="宋体"/>
                      <w:b w:val="0"/>
                      <w:bCs w:val="0"/>
                      <w:color w:val="000000" w:themeColor="text1"/>
                      <w:spacing w:val="10"/>
                      <w:sz w:val="21"/>
                      <w:szCs w:val="21"/>
                      <w14:textFill>
                        <w14:solidFill>
                          <w14:schemeClr w14:val="tx1"/>
                        </w14:solidFill>
                      </w14:textFill>
                    </w:rPr>
                    <w:t>地。因国家</w:t>
                  </w:r>
                  <w:r>
                    <w:rPr>
                      <w:rFonts w:ascii="Times New Roman" w:hAnsi="Times New Roman" w:eastAsia="宋体"/>
                      <w:b w:val="0"/>
                      <w:bCs w:val="0"/>
                      <w:color w:val="000000" w:themeColor="text1"/>
                      <w:spacing w:val="6"/>
                      <w:sz w:val="21"/>
                      <w:szCs w:val="21"/>
                      <w14:textFill>
                        <w14:solidFill>
                          <w14:schemeClr w14:val="tx1"/>
                        </w14:solidFill>
                      </w14:textFill>
                    </w:rPr>
                    <w:t>和自治区重点建设工程、基础设施建设，以及重点公益性项目建设，确需占用湿地的，应当按照有关法律</w:t>
                  </w:r>
                  <w:r>
                    <w:rPr>
                      <w:rFonts w:ascii="Times New Roman" w:hAnsi="Times New Roman" w:eastAsia="宋体"/>
                      <w:b w:val="0"/>
                      <w:bCs w:val="0"/>
                      <w:color w:val="000000" w:themeColor="text1"/>
                      <w:spacing w:val="9"/>
                      <w:sz w:val="21"/>
                      <w:szCs w:val="21"/>
                      <w14:textFill>
                        <w14:solidFill>
                          <w14:schemeClr w14:val="tx1"/>
                        </w14:solidFill>
                      </w14:textFill>
                    </w:rPr>
                    <w:t>法规规定的权限和程序办理批准手续。</w:t>
                  </w:r>
                </w:p>
              </w:tc>
              <w:tc>
                <w:tcPr>
                  <w:tcW w:w="2390" w:type="dxa"/>
                  <w:shd w:val="clear" w:color="auto" w:fill="FFFFFF"/>
                  <w:vAlign w:val="center"/>
                </w:tcPr>
                <w:p w14:paraId="1C0956E1">
                  <w:pPr>
                    <w:pStyle w:val="227"/>
                    <w:spacing w:before="65"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本项目不占用湿地</w:t>
                  </w:r>
                  <w:r>
                    <w:rPr>
                      <w:rFonts w:hint="eastAsia" w:ascii="Times New Roman" w:hAnsi="Times New Roman" w:eastAsia="宋体"/>
                      <w:b w:val="0"/>
                      <w:bCs w:val="0"/>
                      <w:color w:val="000000" w:themeColor="text1"/>
                      <w:spacing w:val="1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0757AD3B">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5F22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2D01D0E">
                  <w:pPr>
                    <w:pStyle w:val="227"/>
                    <w:spacing w:before="112" w:line="296"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A1.2-5</w:t>
                  </w:r>
                  <w:r>
                    <w:rPr>
                      <w:rFonts w:ascii="Times New Roman" w:hAnsi="Times New Roman" w:eastAsia="宋体"/>
                      <w:b w:val="0"/>
                      <w:bCs w:val="0"/>
                      <w:color w:val="000000" w:themeColor="text1"/>
                      <w:spacing w:val="12"/>
                      <w:sz w:val="21"/>
                      <w:szCs w:val="21"/>
                      <w14:textFill>
                        <w14:solidFill>
                          <w14:schemeClr w14:val="tx1"/>
                        </w14:solidFill>
                      </w14:textFill>
                    </w:rPr>
                    <w:t>〕严格管控自然保护地范围内非生态活</w:t>
                  </w:r>
                  <w:r>
                    <w:rPr>
                      <w:rFonts w:ascii="Times New Roman" w:hAnsi="Times New Roman" w:eastAsia="宋体"/>
                      <w:b w:val="0"/>
                      <w:bCs w:val="0"/>
                      <w:color w:val="000000" w:themeColor="text1"/>
                      <w:spacing w:val="6"/>
                      <w:sz w:val="21"/>
                      <w:szCs w:val="21"/>
                      <w14:textFill>
                        <w14:solidFill>
                          <w14:schemeClr w14:val="tx1"/>
                        </w14:solidFill>
                      </w14:textFill>
                    </w:rPr>
                    <w:t>动，稳妥推进核心区内居民、耕地有序退出，矿权依法依规退出。</w:t>
                  </w:r>
                </w:p>
              </w:tc>
              <w:tc>
                <w:tcPr>
                  <w:tcW w:w="2390" w:type="dxa"/>
                  <w:shd w:val="clear" w:color="auto" w:fill="FFFFFF"/>
                  <w:vAlign w:val="center"/>
                </w:tcPr>
                <w:p w14:paraId="014ABB75">
                  <w:pPr>
                    <w:pStyle w:val="227"/>
                    <w:spacing w:before="292" w:line="334" w:lineRule="auto"/>
                    <w:ind w:left="0" w:leftChars="0" w:right="3"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本项目不涉及自然保</w:t>
                  </w:r>
                  <w:r>
                    <w:rPr>
                      <w:rFonts w:ascii="Times New Roman" w:hAnsi="Times New Roman" w:eastAsia="宋体"/>
                      <w:b w:val="0"/>
                      <w:bCs w:val="0"/>
                      <w:color w:val="000000" w:themeColor="text1"/>
                      <w:spacing w:val="10"/>
                      <w:sz w:val="21"/>
                      <w:szCs w:val="21"/>
                      <w14:textFill>
                        <w14:solidFill>
                          <w14:schemeClr w14:val="tx1"/>
                        </w14:solidFill>
                      </w14:textFill>
                    </w:rPr>
                    <w:t>护地范围</w:t>
                  </w:r>
                  <w:r>
                    <w:rPr>
                      <w:rFonts w:hint="eastAsia" w:ascii="Times New Roman" w:hAnsi="Times New Roman" w:eastAsia="宋体"/>
                      <w:b w:val="0"/>
                      <w:bCs w:val="0"/>
                      <w:color w:val="000000" w:themeColor="text1"/>
                      <w:spacing w:val="10"/>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48F6FA8C">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34C0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4E2A7BF0">
                  <w:pPr>
                    <w:pStyle w:val="227"/>
                    <w:spacing w:before="113" w:line="305"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6"/>
                      <w:sz w:val="21"/>
                      <w:szCs w:val="21"/>
                      <w14:textFill>
                        <w14:solidFill>
                          <w14:schemeClr w14:val="tx1"/>
                        </w14:solidFill>
                      </w14:textFill>
                    </w:rPr>
                    <w:t>〔</w:t>
                  </w:r>
                  <w:r>
                    <w:rPr>
                      <w:rFonts w:ascii="Times New Roman" w:hAnsi="Times New Roman" w:eastAsia="宋体" w:cs="Times New Roman"/>
                      <w:b w:val="0"/>
                      <w:bCs w:val="0"/>
                      <w:color w:val="000000" w:themeColor="text1"/>
                      <w:spacing w:val="6"/>
                      <w:sz w:val="21"/>
                      <w:szCs w:val="21"/>
                      <w14:textFill>
                        <w14:solidFill>
                          <w14:schemeClr w14:val="tx1"/>
                        </w14:solidFill>
                      </w14:textFill>
                    </w:rPr>
                    <w:t>A1.3-1</w:t>
                  </w:r>
                  <w:r>
                    <w:rPr>
                      <w:rFonts w:ascii="Times New Roman" w:hAnsi="Times New Roman" w:eastAsia="宋体"/>
                      <w:b w:val="0"/>
                      <w:bCs w:val="0"/>
                      <w:color w:val="000000" w:themeColor="text1"/>
                      <w:spacing w:val="6"/>
                      <w:sz w:val="21"/>
                      <w:szCs w:val="21"/>
                      <w14:textFill>
                        <w14:solidFill>
                          <w14:schemeClr w14:val="tx1"/>
                        </w14:solidFill>
                      </w14:textFill>
                    </w:rPr>
                    <w:t>〕任何单位和个人不得在水源涵养区、饮用水水源保护区内和河流、湖泊、水库周围建设重化工、涉重金属等工业污染项目；对已建成的工业污染</w:t>
                  </w:r>
                  <w:r>
                    <w:rPr>
                      <w:rFonts w:ascii="Times New Roman" w:hAnsi="Times New Roman" w:eastAsia="宋体"/>
                      <w:b w:val="0"/>
                      <w:bCs w:val="0"/>
                      <w:color w:val="000000" w:themeColor="text1"/>
                      <w:spacing w:val="5"/>
                      <w:sz w:val="21"/>
                      <w:szCs w:val="21"/>
                      <w14:textFill>
                        <w14:solidFill>
                          <w14:schemeClr w14:val="tx1"/>
                        </w14:solidFill>
                      </w14:textFill>
                    </w:rPr>
                    <w:t>项目，当地人民政府应当组织限期搬迁。</w:t>
                  </w:r>
                </w:p>
              </w:tc>
              <w:tc>
                <w:tcPr>
                  <w:tcW w:w="2390" w:type="dxa"/>
                  <w:shd w:val="clear" w:color="auto" w:fill="FFFFFF"/>
                  <w:vAlign w:val="center"/>
                </w:tcPr>
                <w:p w14:paraId="1A29242A">
                  <w:pPr>
                    <w:pStyle w:val="227"/>
                    <w:spacing w:before="292" w:line="334"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4"/>
                      <w:sz w:val="21"/>
                      <w:szCs w:val="21"/>
                      <w14:textFill>
                        <w14:solidFill>
                          <w14:schemeClr w14:val="tx1"/>
                        </w14:solidFill>
                      </w14:textFill>
                    </w:rPr>
                    <w:t>本项目不属于重化工、</w:t>
                  </w:r>
                  <w:r>
                    <w:rPr>
                      <w:rFonts w:ascii="Times New Roman" w:hAnsi="Times New Roman" w:eastAsia="宋体"/>
                      <w:b w:val="0"/>
                      <w:bCs w:val="0"/>
                      <w:color w:val="000000" w:themeColor="text1"/>
                      <w:spacing w:val="10"/>
                      <w:sz w:val="21"/>
                      <w:szCs w:val="21"/>
                      <w14:textFill>
                        <w14:solidFill>
                          <w14:schemeClr w14:val="tx1"/>
                        </w14:solidFill>
                      </w14:textFill>
                    </w:rPr>
                    <w:t>涉重金属等工业污染项</w:t>
                  </w:r>
                  <w:r>
                    <w:rPr>
                      <w:rFonts w:ascii="Times New Roman" w:hAnsi="Times New Roman" w:eastAsia="宋体"/>
                      <w:b w:val="0"/>
                      <w:bCs w:val="0"/>
                      <w:color w:val="000000" w:themeColor="text1"/>
                      <w:sz w:val="21"/>
                      <w:szCs w:val="21"/>
                      <w14:textFill>
                        <w14:solidFill>
                          <w14:schemeClr w14:val="tx1"/>
                        </w14:solidFill>
                      </w14:textFill>
                    </w:rPr>
                    <w:t>目</w:t>
                  </w:r>
                  <w:r>
                    <w:rPr>
                      <w:rFonts w:hint="eastAsia" w:ascii="Times New Roman" w:hAnsi="Times New Roman" w:eastAsia="宋体"/>
                      <w:b w:val="0"/>
                      <w:bCs w:val="0"/>
                      <w:color w:val="000000" w:themeColor="text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60C24BD4">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7DE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4A6A53B6">
                  <w:pPr>
                    <w:pStyle w:val="227"/>
                    <w:spacing w:before="293" w:line="334" w:lineRule="auto"/>
                    <w:ind w:left="0" w:leftChars="0" w:right="7"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4"/>
                      <w:sz w:val="21"/>
                      <w:szCs w:val="21"/>
                      <w14:textFill>
                        <w14:solidFill>
                          <w14:schemeClr w14:val="tx1"/>
                        </w14:solidFill>
                      </w14:textFill>
                    </w:rPr>
                    <w:t>〔</w:t>
                  </w:r>
                  <w:r>
                    <w:rPr>
                      <w:rFonts w:ascii="Times New Roman" w:hAnsi="Times New Roman" w:eastAsia="宋体" w:cs="Times New Roman"/>
                      <w:b w:val="0"/>
                      <w:bCs w:val="0"/>
                      <w:color w:val="000000" w:themeColor="text1"/>
                      <w:spacing w:val="14"/>
                      <w:sz w:val="21"/>
                      <w:szCs w:val="21"/>
                      <w14:textFill>
                        <w14:solidFill>
                          <w14:schemeClr w14:val="tx1"/>
                        </w14:solidFill>
                      </w14:textFill>
                    </w:rPr>
                    <w:t>A1.3-2</w:t>
                  </w:r>
                  <w:r>
                    <w:rPr>
                      <w:rFonts w:ascii="Times New Roman" w:hAnsi="Times New Roman" w:eastAsia="宋体"/>
                      <w:b w:val="0"/>
                      <w:bCs w:val="0"/>
                      <w:color w:val="000000" w:themeColor="text1"/>
                      <w:spacing w:val="14"/>
                      <w:sz w:val="21"/>
                      <w:szCs w:val="21"/>
                      <w14:textFill>
                        <w14:solidFill>
                          <w14:schemeClr w14:val="tx1"/>
                        </w14:solidFill>
                      </w14:textFill>
                    </w:rPr>
                    <w:t>〕对不符合国家产业政策、严重污染水</w:t>
                  </w:r>
                  <w:r>
                    <w:rPr>
                      <w:rFonts w:ascii="Times New Roman" w:hAnsi="Times New Roman" w:eastAsia="宋体"/>
                      <w:b w:val="0"/>
                      <w:bCs w:val="0"/>
                      <w:color w:val="000000" w:themeColor="text1"/>
                      <w:spacing w:val="10"/>
                      <w:sz w:val="21"/>
                      <w:szCs w:val="21"/>
                      <w14:textFill>
                        <w14:solidFill>
                          <w14:schemeClr w14:val="tx1"/>
                        </w14:solidFill>
                      </w14:textFill>
                    </w:rPr>
                    <w:t>环境的生产项目全部予以取缔。</w:t>
                  </w:r>
                </w:p>
              </w:tc>
              <w:tc>
                <w:tcPr>
                  <w:tcW w:w="2390" w:type="dxa"/>
                  <w:shd w:val="clear" w:color="auto" w:fill="FFFFFF"/>
                  <w:vAlign w:val="center"/>
                </w:tcPr>
                <w:p w14:paraId="0B9BB20C">
                  <w:pPr>
                    <w:pStyle w:val="227"/>
                    <w:spacing w:before="114" w:line="296"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本项目符合国家产业</w:t>
                  </w:r>
                  <w:r>
                    <w:rPr>
                      <w:rFonts w:ascii="Times New Roman" w:hAnsi="Times New Roman" w:eastAsia="宋体"/>
                      <w:b w:val="0"/>
                      <w:bCs w:val="0"/>
                      <w:color w:val="000000" w:themeColor="text1"/>
                      <w:spacing w:val="16"/>
                      <w:sz w:val="21"/>
                      <w:szCs w:val="21"/>
                      <w14:textFill>
                        <w14:solidFill>
                          <w14:schemeClr w14:val="tx1"/>
                        </w14:solidFill>
                      </w14:textFill>
                    </w:rPr>
                    <w:t>政策、不属于严重污染</w:t>
                  </w:r>
                  <w:r>
                    <w:rPr>
                      <w:rFonts w:ascii="Times New Roman" w:hAnsi="Times New Roman" w:eastAsia="宋体"/>
                      <w:b w:val="0"/>
                      <w:bCs w:val="0"/>
                      <w:color w:val="000000" w:themeColor="text1"/>
                      <w:spacing w:val="12"/>
                      <w:sz w:val="21"/>
                      <w:szCs w:val="21"/>
                      <w14:textFill>
                        <w14:solidFill>
                          <w14:schemeClr w14:val="tx1"/>
                        </w14:solidFill>
                      </w14:textFill>
                    </w:rPr>
                    <w:t>水环境的生产项目</w:t>
                  </w:r>
                  <w:r>
                    <w:rPr>
                      <w:rFonts w:hint="eastAsia" w:ascii="Times New Roman" w:hAnsi="Times New Roman" w:eastAsia="宋体"/>
                      <w:b w:val="0"/>
                      <w:bCs w:val="0"/>
                      <w:color w:val="000000" w:themeColor="text1"/>
                      <w:spacing w:val="12"/>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01690F79">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55A3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7DCCC08">
                  <w:pPr>
                    <w:pStyle w:val="227"/>
                    <w:spacing w:before="113" w:line="332" w:lineRule="auto"/>
                    <w:ind w:left="0" w:leftChars="0" w:right="4" w:firstLine="0" w:firstLineChars="0"/>
                    <w:jc w:val="center"/>
                    <w:rPr>
                      <w:rFonts w:ascii="Times New Roman" w:hAnsi="Times New Roman" w:eastAsia="宋体"/>
                      <w:b w:val="0"/>
                      <w:bCs w:val="0"/>
                      <w:color w:val="000000" w:themeColor="text1"/>
                      <w:sz w:val="21"/>
                      <w:szCs w:val="21"/>
                      <w14:textFill>
                        <w14:solidFill>
                          <w14:schemeClr w14:val="tx1"/>
                        </w14:solidFill>
                      </w14:textFill>
                    </w:rPr>
                  </w:pPr>
                  <w:r>
                    <w:rPr>
                      <w:rFonts w:ascii="Times New Roman" w:hAnsi="Times New Roman" w:eastAsia="宋体"/>
                      <w:b w:val="0"/>
                      <w:bCs w:val="0"/>
                      <w:color w:val="000000" w:themeColor="text1"/>
                      <w:spacing w:val="6"/>
                      <w:sz w:val="21"/>
                      <w:szCs w:val="21"/>
                      <w14:textFill>
                        <w14:solidFill>
                          <w14:schemeClr w14:val="tx1"/>
                        </w14:solidFill>
                      </w14:textFill>
                    </w:rPr>
                    <w:t>〔</w:t>
                  </w:r>
                  <w:r>
                    <w:rPr>
                      <w:rFonts w:ascii="Times New Roman" w:hAnsi="Times New Roman" w:eastAsia="宋体" w:cs="Times New Roman"/>
                      <w:b w:val="0"/>
                      <w:bCs w:val="0"/>
                      <w:color w:val="000000" w:themeColor="text1"/>
                      <w:spacing w:val="6"/>
                      <w:sz w:val="21"/>
                      <w:szCs w:val="21"/>
                      <w14:textFill>
                        <w14:solidFill>
                          <w14:schemeClr w14:val="tx1"/>
                        </w14:solidFill>
                      </w14:textFill>
                    </w:rPr>
                    <w:t>A1.3-3</w:t>
                  </w:r>
                  <w:r>
                    <w:rPr>
                      <w:rFonts w:ascii="Times New Roman" w:hAnsi="Times New Roman" w:eastAsia="宋体"/>
                      <w:b w:val="0"/>
                      <w:bCs w:val="0"/>
                      <w:color w:val="000000" w:themeColor="text1"/>
                      <w:spacing w:val="6"/>
                      <w:sz w:val="21"/>
                      <w:szCs w:val="21"/>
                      <w14:textFill>
                        <w14:solidFill>
                          <w14:schemeClr w14:val="tx1"/>
                        </w14:solidFill>
                      </w14:textFill>
                    </w:rPr>
                    <w:t>〕根据《产业结构调整指导目录》《限期</w:t>
                  </w:r>
                  <w:r>
                    <w:rPr>
                      <w:rFonts w:ascii="Times New Roman" w:hAnsi="Times New Roman" w:eastAsia="宋体"/>
                      <w:b w:val="0"/>
                      <w:bCs w:val="0"/>
                      <w:color w:val="000000" w:themeColor="text1"/>
                      <w:spacing w:val="15"/>
                      <w:sz w:val="21"/>
                      <w:szCs w:val="21"/>
                      <w14:textFill>
                        <w14:solidFill>
                          <w14:schemeClr w14:val="tx1"/>
                        </w14:solidFill>
                      </w14:textFill>
                    </w:rPr>
                    <w:t>淘汰产生严重污染环境的工业固体废物的落后生产</w:t>
                  </w:r>
                  <w:r>
                    <w:rPr>
                      <w:rFonts w:ascii="Times New Roman" w:hAnsi="Times New Roman" w:eastAsia="宋体"/>
                      <w:b w:val="0"/>
                      <w:bCs w:val="0"/>
                      <w:color w:val="000000" w:themeColor="text1"/>
                      <w:spacing w:val="6"/>
                      <w:sz w:val="21"/>
                      <w:szCs w:val="21"/>
                      <w14:textFill>
                        <w14:solidFill>
                          <w14:schemeClr w14:val="tx1"/>
                        </w14:solidFill>
                      </w14:textFill>
                    </w:rPr>
                    <w:t>工艺设备名录》等要求，配合有关部门依法淘汰烧结</w:t>
                  </w:r>
                </w:p>
                <w:p w14:paraId="245B9727">
                  <w:pPr>
                    <w:pStyle w:val="227"/>
                    <w:spacing w:line="306"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pacing w:val="9"/>
                      <w:sz w:val="21"/>
                      <w:szCs w:val="21"/>
                      <w:lang w:eastAsia="zh-CN"/>
                      <w14:textFill>
                        <w14:solidFill>
                          <w14:schemeClr w14:val="tx1"/>
                        </w14:solidFill>
                      </w14:textFill>
                    </w:rPr>
                    <w:t>－</w:t>
                  </w:r>
                  <w:r>
                    <w:rPr>
                      <w:rFonts w:ascii="Times New Roman" w:hAnsi="Times New Roman" w:eastAsia="宋体"/>
                      <w:b w:val="0"/>
                      <w:bCs w:val="0"/>
                      <w:color w:val="000000" w:themeColor="text1"/>
                      <w:spacing w:val="9"/>
                      <w:sz w:val="21"/>
                      <w:szCs w:val="21"/>
                      <w14:textFill>
                        <w14:solidFill>
                          <w14:schemeClr w14:val="tx1"/>
                        </w14:solidFill>
                      </w14:textFill>
                    </w:rPr>
                    <w:t>鼓风炉</w:t>
                  </w:r>
                  <w:r>
                    <w:rPr>
                      <w:rFonts w:ascii="Times New Roman" w:hAnsi="Times New Roman" w:eastAsia="宋体" w:cs="Times New Roman"/>
                      <w:b w:val="0"/>
                      <w:bCs w:val="0"/>
                      <w:color w:val="000000" w:themeColor="text1"/>
                      <w:spacing w:val="9"/>
                      <w:sz w:val="21"/>
                      <w:szCs w:val="21"/>
                      <w14:textFill>
                        <w14:solidFill>
                          <w14:schemeClr w14:val="tx1"/>
                        </w14:solidFill>
                      </w14:textFill>
                    </w:rPr>
                    <w:t>5</w:t>
                  </w:r>
                  <w:r>
                    <w:rPr>
                      <w:rFonts w:ascii="Times New Roman" w:hAnsi="Times New Roman" w:eastAsia="宋体"/>
                      <w:b w:val="0"/>
                      <w:bCs w:val="0"/>
                      <w:color w:val="000000" w:themeColor="text1"/>
                      <w:spacing w:val="9"/>
                      <w:sz w:val="21"/>
                      <w:szCs w:val="21"/>
                      <w14:textFill>
                        <w14:solidFill>
                          <w14:schemeClr w14:val="tx1"/>
                        </w14:solidFill>
                      </w14:textFill>
                    </w:rPr>
                    <w:t>炼铅工艺炼铅等涉重金属落后产能和化解</w:t>
                  </w:r>
                  <w:r>
                    <w:rPr>
                      <w:rFonts w:ascii="Times New Roman" w:hAnsi="Times New Roman" w:eastAsia="宋体"/>
                      <w:b w:val="0"/>
                      <w:bCs w:val="0"/>
                      <w:color w:val="000000" w:themeColor="text1"/>
                      <w:spacing w:val="6"/>
                      <w:sz w:val="21"/>
                      <w:szCs w:val="21"/>
                      <w14:textFill>
                        <w14:solidFill>
                          <w14:schemeClr w14:val="tx1"/>
                        </w14:solidFill>
                      </w14:textFill>
                    </w:rPr>
                    <w:t>过剩产能。严格执行生态环境保护等相关法规标准，</w:t>
                  </w:r>
                  <w:r>
                    <w:rPr>
                      <w:rFonts w:ascii="Times New Roman" w:hAnsi="Times New Roman" w:eastAsia="宋体"/>
                      <w:b w:val="0"/>
                      <w:bCs w:val="0"/>
                      <w:color w:val="000000" w:themeColor="text1"/>
                      <w:spacing w:val="23"/>
                      <w:sz w:val="21"/>
                      <w:szCs w:val="21"/>
                      <w14:textFill>
                        <w14:solidFill>
                          <w14:schemeClr w14:val="tx1"/>
                        </w14:solidFill>
                      </w14:textFill>
                    </w:rPr>
                    <w:t>推动经整改仍达不到要求的产能依法依规关闭退</w:t>
                  </w:r>
                  <w:r>
                    <w:rPr>
                      <w:rFonts w:ascii="Times New Roman" w:hAnsi="Times New Roman" w:eastAsia="宋体"/>
                      <w:b w:val="0"/>
                      <w:bCs w:val="0"/>
                      <w:color w:val="000000" w:themeColor="text1"/>
                      <w:spacing w:val="-1"/>
                      <w:sz w:val="21"/>
                      <w:szCs w:val="21"/>
                      <w14:textFill>
                        <w14:solidFill>
                          <w14:schemeClr w14:val="tx1"/>
                        </w14:solidFill>
                      </w14:textFill>
                    </w:rPr>
                    <w:t>出。</w:t>
                  </w:r>
                </w:p>
              </w:tc>
              <w:tc>
                <w:tcPr>
                  <w:tcW w:w="2390" w:type="dxa"/>
                  <w:shd w:val="clear" w:color="auto" w:fill="FFFFFF"/>
                  <w:vAlign w:val="center"/>
                </w:tcPr>
                <w:p w14:paraId="3A39A4F8">
                  <w:pPr>
                    <w:pStyle w:val="227"/>
                    <w:spacing w:before="65" w:line="334"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7"/>
                      <w:sz w:val="21"/>
                      <w:szCs w:val="21"/>
                      <w14:textFill>
                        <w14:solidFill>
                          <w14:schemeClr w14:val="tx1"/>
                        </w14:solidFill>
                      </w14:textFill>
                    </w:rPr>
                    <w:t>本项目符合国家产业</w:t>
                  </w:r>
                  <w:r>
                    <w:rPr>
                      <w:rFonts w:ascii="Times New Roman" w:hAnsi="Times New Roman" w:eastAsia="宋体"/>
                      <w:b w:val="0"/>
                      <w:bCs w:val="0"/>
                      <w:color w:val="000000" w:themeColor="text1"/>
                      <w:spacing w:val="5"/>
                      <w:sz w:val="21"/>
                      <w:szCs w:val="21"/>
                      <w14:textFill>
                        <w14:solidFill>
                          <w14:schemeClr w14:val="tx1"/>
                        </w14:solidFill>
                      </w14:textFill>
                    </w:rPr>
                    <w:t>政策</w:t>
                  </w:r>
                  <w:r>
                    <w:rPr>
                      <w:rFonts w:hint="eastAsia" w:ascii="Times New Roman" w:hAnsi="Times New Roman" w:eastAsia="宋体"/>
                      <w:b w:val="0"/>
                      <w:bCs w:val="0"/>
                      <w:color w:val="000000" w:themeColor="text1"/>
                      <w:spacing w:val="5"/>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2AFBF0DA">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370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4E38E0AA">
                  <w:pPr>
                    <w:pStyle w:val="227"/>
                    <w:spacing w:before="112" w:line="305"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4"/>
                      <w:sz w:val="21"/>
                      <w:szCs w:val="21"/>
                      <w14:textFill>
                        <w14:solidFill>
                          <w14:schemeClr w14:val="tx1"/>
                        </w14:solidFill>
                      </w14:textFill>
                    </w:rPr>
                    <w:t>〔</w:t>
                  </w:r>
                  <w:r>
                    <w:rPr>
                      <w:rFonts w:ascii="Times New Roman" w:hAnsi="Times New Roman" w:eastAsia="宋体" w:cs="Times New Roman"/>
                      <w:b w:val="0"/>
                      <w:bCs w:val="0"/>
                      <w:color w:val="000000" w:themeColor="text1"/>
                      <w:spacing w:val="14"/>
                      <w:sz w:val="21"/>
                      <w:szCs w:val="21"/>
                      <w14:textFill>
                        <w14:solidFill>
                          <w14:schemeClr w14:val="tx1"/>
                        </w14:solidFill>
                      </w14:textFill>
                    </w:rPr>
                    <w:t>A1.3-4</w:t>
                  </w:r>
                  <w:r>
                    <w:rPr>
                      <w:rFonts w:ascii="Times New Roman" w:hAnsi="Times New Roman" w:eastAsia="宋体"/>
                      <w:b w:val="0"/>
                      <w:bCs w:val="0"/>
                      <w:color w:val="000000" w:themeColor="text1"/>
                      <w:spacing w:val="14"/>
                      <w:sz w:val="21"/>
                      <w:szCs w:val="21"/>
                      <w14:textFill>
                        <w14:solidFill>
                          <w14:schemeClr w14:val="tx1"/>
                        </w14:solidFill>
                      </w14:textFill>
                    </w:rPr>
                    <w:t>〕城市建成区、重点流域内已建成投产</w:t>
                  </w:r>
                  <w:r>
                    <w:rPr>
                      <w:rFonts w:ascii="Times New Roman" w:hAnsi="Times New Roman" w:eastAsia="宋体"/>
                      <w:b w:val="0"/>
                      <w:bCs w:val="0"/>
                      <w:color w:val="000000" w:themeColor="text1"/>
                      <w:spacing w:val="6"/>
                      <w:sz w:val="21"/>
                      <w:szCs w:val="21"/>
                      <w14:textFill>
                        <w14:solidFill>
                          <w14:schemeClr w14:val="tx1"/>
                        </w14:solidFill>
                      </w14:textFill>
                    </w:rPr>
                    <w:t>化工企业和危险化学品生产企业应加快退城入园，搬</w:t>
                  </w:r>
                  <w:r>
                    <w:rPr>
                      <w:rFonts w:ascii="Times New Roman" w:hAnsi="Times New Roman" w:eastAsia="宋体"/>
                      <w:b w:val="0"/>
                      <w:bCs w:val="0"/>
                      <w:color w:val="000000" w:themeColor="text1"/>
                      <w:spacing w:val="16"/>
                      <w:sz w:val="21"/>
                      <w:szCs w:val="21"/>
                      <w14:textFill>
                        <w14:solidFill>
                          <w14:schemeClr w14:val="tx1"/>
                        </w14:solidFill>
                      </w14:textFill>
                    </w:rPr>
                    <w:t>入化工园区前企业不应实施改扩建工程扩大生产规</w:t>
                  </w:r>
                  <w:r>
                    <w:rPr>
                      <w:rFonts w:ascii="Times New Roman" w:hAnsi="Times New Roman" w:eastAsia="宋体"/>
                      <w:b w:val="0"/>
                      <w:bCs w:val="0"/>
                      <w:color w:val="000000" w:themeColor="text1"/>
                      <w:sz w:val="21"/>
                      <w:szCs w:val="21"/>
                      <w14:textFill>
                        <w14:solidFill>
                          <w14:schemeClr w14:val="tx1"/>
                        </w14:solidFill>
                      </w14:textFill>
                    </w:rPr>
                    <w:t>模。</w:t>
                  </w:r>
                </w:p>
              </w:tc>
              <w:tc>
                <w:tcPr>
                  <w:tcW w:w="2390" w:type="dxa"/>
                  <w:shd w:val="clear" w:color="auto" w:fill="FFFFFF"/>
                  <w:vAlign w:val="center"/>
                </w:tcPr>
                <w:p w14:paraId="7C57275D">
                  <w:pPr>
                    <w:pStyle w:val="227"/>
                    <w:spacing w:before="291" w:line="337"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7"/>
                      <w:sz w:val="21"/>
                      <w:szCs w:val="21"/>
                      <w14:textFill>
                        <w14:solidFill>
                          <w14:schemeClr w14:val="tx1"/>
                        </w14:solidFill>
                      </w14:textFill>
                    </w:rPr>
                    <w:t>本项目不属于化工企</w:t>
                  </w:r>
                  <w:r>
                    <w:rPr>
                      <w:rFonts w:ascii="Times New Roman" w:hAnsi="Times New Roman" w:eastAsia="宋体"/>
                      <w:b w:val="0"/>
                      <w:bCs w:val="0"/>
                      <w:color w:val="000000" w:themeColor="text1"/>
                      <w:spacing w:val="16"/>
                      <w:sz w:val="21"/>
                      <w:szCs w:val="21"/>
                      <w14:textFill>
                        <w14:solidFill>
                          <w14:schemeClr w14:val="tx1"/>
                        </w14:solidFill>
                      </w14:textFill>
                    </w:rPr>
                    <w:t>业和危险化学品生产企</w:t>
                  </w:r>
                  <w:r>
                    <w:rPr>
                      <w:rFonts w:ascii="Times New Roman" w:hAnsi="Times New Roman" w:eastAsia="宋体"/>
                      <w:b w:val="0"/>
                      <w:bCs w:val="0"/>
                      <w:color w:val="000000" w:themeColor="text1"/>
                      <w:spacing w:val="1"/>
                      <w:sz w:val="21"/>
                      <w:szCs w:val="21"/>
                      <w14:textFill>
                        <w14:solidFill>
                          <w14:schemeClr w14:val="tx1"/>
                        </w14:solidFill>
                      </w14:textFill>
                    </w:rPr>
                    <w:t>业</w:t>
                  </w:r>
                  <w:r>
                    <w:rPr>
                      <w:rFonts w:hint="eastAsia" w:ascii="Times New Roman" w:hAnsi="Times New Roman" w:eastAsia="宋体"/>
                      <w:b w:val="0"/>
                      <w:bCs w:val="0"/>
                      <w:color w:val="000000" w:themeColor="text1"/>
                      <w:spacing w:val="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4A8CE859">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3E4A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0A2CA82F">
                  <w:pPr>
                    <w:pStyle w:val="227"/>
                    <w:spacing w:before="109" w:line="311"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6"/>
                      <w:sz w:val="21"/>
                      <w:szCs w:val="21"/>
                      <w14:textFill>
                        <w14:solidFill>
                          <w14:schemeClr w14:val="tx1"/>
                        </w14:solidFill>
                      </w14:textFill>
                    </w:rPr>
                    <w:t>〔</w:t>
                  </w:r>
                  <w:r>
                    <w:rPr>
                      <w:rFonts w:ascii="Times New Roman" w:hAnsi="Times New Roman" w:eastAsia="宋体" w:cs="Times New Roman"/>
                      <w:b w:val="0"/>
                      <w:bCs w:val="0"/>
                      <w:color w:val="000000" w:themeColor="text1"/>
                      <w:spacing w:val="6"/>
                      <w:sz w:val="21"/>
                      <w:szCs w:val="21"/>
                      <w14:textFill>
                        <w14:solidFill>
                          <w14:schemeClr w14:val="tx1"/>
                        </w14:solidFill>
                      </w14:textFill>
                    </w:rPr>
                    <w:t>A1.4-1</w:t>
                  </w:r>
                  <w:r>
                    <w:rPr>
                      <w:rFonts w:ascii="Times New Roman" w:hAnsi="Times New Roman" w:eastAsia="宋体"/>
                      <w:b w:val="0"/>
                      <w:bCs w:val="0"/>
                      <w:color w:val="000000" w:themeColor="text1"/>
                      <w:spacing w:val="6"/>
                      <w:sz w:val="21"/>
                      <w:szCs w:val="21"/>
                      <w14:textFill>
                        <w14:solidFill>
                          <w14:schemeClr w14:val="tx1"/>
                        </w14:solidFill>
                      </w14:textFill>
                    </w:rPr>
                    <w:t>〕一切开发建设活动应符合国家、自治区主体功能区规划、自治区和各地颁布实施的生态环境功能区划、国民经济发展规划、产业发展规划、国土</w:t>
                  </w:r>
                  <w:r>
                    <w:rPr>
                      <w:rFonts w:ascii="Times New Roman" w:hAnsi="Times New Roman" w:eastAsia="宋体"/>
                      <w:b w:val="0"/>
                      <w:bCs w:val="0"/>
                      <w:color w:val="000000" w:themeColor="text1"/>
                      <w:spacing w:val="16"/>
                      <w:sz w:val="21"/>
                      <w:szCs w:val="21"/>
                      <w14:textFill>
                        <w14:solidFill>
                          <w14:schemeClr w14:val="tx1"/>
                        </w14:solidFill>
                      </w14:textFill>
                    </w:rPr>
                    <w:t>空间规划等相关规划及重点生态功能区负面清单要</w:t>
                  </w:r>
                  <w:r>
                    <w:rPr>
                      <w:rFonts w:ascii="Times New Roman" w:hAnsi="Times New Roman" w:eastAsia="宋体"/>
                      <w:b w:val="0"/>
                      <w:bCs w:val="0"/>
                      <w:color w:val="000000" w:themeColor="text1"/>
                      <w:spacing w:val="5"/>
                      <w:sz w:val="21"/>
                      <w:szCs w:val="21"/>
                      <w14:textFill>
                        <w14:solidFill>
                          <w14:schemeClr w14:val="tx1"/>
                        </w14:solidFill>
                      </w14:textFill>
                    </w:rPr>
                    <w:t>求，符合区域或产业规划环评要求。</w:t>
                  </w:r>
                </w:p>
              </w:tc>
              <w:tc>
                <w:tcPr>
                  <w:tcW w:w="2390" w:type="dxa"/>
                  <w:shd w:val="clear" w:color="auto" w:fill="FFFFFF"/>
                  <w:vAlign w:val="center"/>
                </w:tcPr>
                <w:p w14:paraId="5A7FB370">
                  <w:pPr>
                    <w:pStyle w:val="227"/>
                    <w:spacing w:before="65" w:line="334"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0"/>
                      <w:sz w:val="21"/>
                      <w:szCs w:val="21"/>
                      <w14:textFill>
                        <w14:solidFill>
                          <w14:schemeClr w14:val="tx1"/>
                        </w14:solidFill>
                      </w14:textFill>
                    </w:rPr>
                    <w:t>本项目符合国家、自</w:t>
                  </w:r>
                  <w:r>
                    <w:rPr>
                      <w:rFonts w:ascii="Times New Roman" w:hAnsi="Times New Roman" w:eastAsia="宋体"/>
                      <w:b w:val="0"/>
                      <w:bCs w:val="0"/>
                      <w:color w:val="000000" w:themeColor="text1"/>
                      <w:spacing w:val="9"/>
                      <w:sz w:val="21"/>
                      <w:szCs w:val="21"/>
                      <w14:textFill>
                        <w14:solidFill>
                          <w14:schemeClr w14:val="tx1"/>
                        </w14:solidFill>
                      </w14:textFill>
                    </w:rPr>
                    <w:t>治区和当地相关规划</w:t>
                  </w:r>
                  <w:r>
                    <w:rPr>
                      <w:rFonts w:hint="eastAsia" w:ascii="Times New Roman" w:hAnsi="Times New Roman" w:eastAsia="宋体"/>
                      <w:b w:val="0"/>
                      <w:bCs w:val="0"/>
                      <w:color w:val="000000" w:themeColor="text1"/>
                      <w:spacing w:val="9"/>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33964D43">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3191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1AD75745">
                  <w:pPr>
                    <w:pStyle w:val="227"/>
                    <w:spacing w:before="112" w:line="296"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A1.4-2</w:t>
                  </w: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b w:val="0"/>
                      <w:bCs w:val="0"/>
                      <w:color w:val="000000" w:themeColor="text1"/>
                      <w:spacing w:val="-48"/>
                      <w:sz w:val="21"/>
                      <w:szCs w:val="21"/>
                      <w14:textFill>
                        <w14:solidFill>
                          <w14:schemeClr w14:val="tx1"/>
                        </w14:solidFill>
                      </w14:textFill>
                    </w:rPr>
                    <w:t xml:space="preserve"> </w:t>
                  </w:r>
                  <w:r>
                    <w:rPr>
                      <w:rFonts w:ascii="Times New Roman" w:hAnsi="Times New Roman" w:eastAsia="宋体"/>
                      <w:b w:val="0"/>
                      <w:bCs w:val="0"/>
                      <w:color w:val="000000" w:themeColor="text1"/>
                      <w:spacing w:val="12"/>
                      <w:sz w:val="21"/>
                      <w:szCs w:val="21"/>
                      <w14:textFill>
                        <w14:solidFill>
                          <w14:schemeClr w14:val="tx1"/>
                        </w14:solidFill>
                      </w14:textFill>
                    </w:rPr>
                    <w:t>新建、扩建石化、化工、焦化、有色</w:t>
                  </w:r>
                  <w:r>
                    <w:rPr>
                      <w:rFonts w:ascii="Times New Roman" w:hAnsi="Times New Roman" w:eastAsia="宋体"/>
                      <w:b w:val="0"/>
                      <w:bCs w:val="0"/>
                      <w:color w:val="000000" w:themeColor="text1"/>
                      <w:spacing w:val="6"/>
                      <w:sz w:val="21"/>
                      <w:szCs w:val="21"/>
                      <w14:textFill>
                        <w14:solidFill>
                          <w14:schemeClr w14:val="tx1"/>
                        </w14:solidFill>
                      </w14:textFill>
                    </w:rPr>
                    <w:t>金属冶炼、平板玻璃项目应布设在依法合规设立并经</w:t>
                  </w:r>
                  <w:r>
                    <w:rPr>
                      <w:rFonts w:ascii="Times New Roman" w:hAnsi="Times New Roman" w:eastAsia="宋体"/>
                      <w:b w:val="0"/>
                      <w:bCs w:val="0"/>
                      <w:color w:val="000000" w:themeColor="text1"/>
                      <w:spacing w:val="7"/>
                      <w:sz w:val="21"/>
                      <w:szCs w:val="21"/>
                      <w14:textFill>
                        <w14:solidFill>
                          <w14:schemeClr w14:val="tx1"/>
                        </w14:solidFill>
                      </w14:textFill>
                    </w:rPr>
                    <w:t>规划环评的产业园区。</w:t>
                  </w:r>
                </w:p>
              </w:tc>
              <w:tc>
                <w:tcPr>
                  <w:tcW w:w="2390" w:type="dxa"/>
                  <w:shd w:val="clear" w:color="auto" w:fill="FFFFFF"/>
                  <w:vAlign w:val="center"/>
                </w:tcPr>
                <w:p w14:paraId="568C03A4">
                  <w:pPr>
                    <w:pStyle w:val="227"/>
                    <w:spacing w:before="65"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本项目</w:t>
                  </w:r>
                  <w:r>
                    <w:rPr>
                      <w:rFonts w:hint="eastAsia" w:ascii="Times New Roman" w:hAnsi="Times New Roman" w:eastAsia="宋体"/>
                      <w:b w:val="0"/>
                      <w:bCs w:val="0"/>
                      <w:color w:val="000000" w:themeColor="text1"/>
                      <w:spacing w:val="11"/>
                      <w:sz w:val="21"/>
                      <w:szCs w:val="21"/>
                      <w:lang w:val="en-US" w:eastAsia="zh-CN"/>
                      <w14:textFill>
                        <w14:solidFill>
                          <w14:schemeClr w14:val="tx1"/>
                        </w14:solidFill>
                      </w14:textFill>
                    </w:rPr>
                    <w:t>不涉及</w:t>
                  </w:r>
                  <w:r>
                    <w:rPr>
                      <w:rFonts w:hint="eastAsia" w:ascii="Times New Roman" w:hAnsi="Times New Roman" w:eastAsia="宋体"/>
                      <w:b w:val="0"/>
                      <w:bCs w:val="0"/>
                      <w:color w:val="000000" w:themeColor="text1"/>
                      <w:spacing w:val="1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705FF093">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108A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FE3F3FD">
                  <w:pPr>
                    <w:pStyle w:val="227"/>
                    <w:spacing w:before="109" w:line="311"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6"/>
                      <w:sz w:val="21"/>
                      <w:szCs w:val="21"/>
                      <w14:textFill>
                        <w14:solidFill>
                          <w14:schemeClr w14:val="tx1"/>
                        </w14:solidFill>
                      </w14:textFill>
                    </w:rPr>
                    <w:t>〔</w:t>
                  </w:r>
                  <w:r>
                    <w:rPr>
                      <w:rFonts w:ascii="Times New Roman" w:hAnsi="Times New Roman" w:eastAsia="宋体" w:cs="Times New Roman"/>
                      <w:b w:val="0"/>
                      <w:bCs w:val="0"/>
                      <w:color w:val="000000" w:themeColor="text1"/>
                      <w:spacing w:val="6"/>
                      <w:sz w:val="21"/>
                      <w:szCs w:val="21"/>
                      <w14:textFill>
                        <w14:solidFill>
                          <w14:schemeClr w14:val="tx1"/>
                        </w14:solidFill>
                      </w14:textFill>
                    </w:rPr>
                    <w:t>A1.4-3</w:t>
                  </w:r>
                  <w:r>
                    <w:rPr>
                      <w:rFonts w:ascii="Times New Roman" w:hAnsi="Times New Roman" w:eastAsia="宋体"/>
                      <w:b w:val="0"/>
                      <w:bCs w:val="0"/>
                      <w:color w:val="000000" w:themeColor="text1"/>
                      <w:spacing w:val="6"/>
                      <w:sz w:val="21"/>
                      <w:szCs w:val="21"/>
                      <w14:textFill>
                        <w14:solidFill>
                          <w14:schemeClr w14:val="tx1"/>
                        </w14:solidFill>
                      </w14:textFill>
                    </w:rPr>
                    <w:t>〕危险化学品生产企业搬迁改造及新建化</w:t>
                  </w:r>
                  <w:r>
                    <w:rPr>
                      <w:rFonts w:ascii="Times New Roman" w:hAnsi="Times New Roman" w:eastAsia="宋体"/>
                      <w:b w:val="0"/>
                      <w:bCs w:val="0"/>
                      <w:color w:val="000000" w:themeColor="text1"/>
                      <w:spacing w:val="16"/>
                      <w:sz w:val="21"/>
                      <w:szCs w:val="21"/>
                      <w14:textFill>
                        <w14:solidFill>
                          <w14:schemeClr w14:val="tx1"/>
                        </w14:solidFill>
                      </w14:textFill>
                    </w:rPr>
                    <w:t>工项目必须进入国家及自治区各级人民政府正式批</w:t>
                  </w:r>
                  <w:r>
                    <w:rPr>
                      <w:rFonts w:ascii="Times New Roman" w:hAnsi="Times New Roman" w:eastAsia="宋体"/>
                      <w:b w:val="0"/>
                      <w:bCs w:val="0"/>
                      <w:color w:val="000000" w:themeColor="text1"/>
                      <w:spacing w:val="6"/>
                      <w:sz w:val="21"/>
                      <w:szCs w:val="21"/>
                      <w14:textFill>
                        <w14:solidFill>
                          <w14:schemeClr w14:val="tx1"/>
                        </w14:solidFill>
                      </w14:textFill>
                    </w:rPr>
                    <w:t>准设立，规划环评通过审查，规划通过审批且环保基础设施完善的工业园区，并符合国土空间规划、产业</w:t>
                  </w:r>
                  <w:r>
                    <w:rPr>
                      <w:rFonts w:ascii="Times New Roman" w:hAnsi="Times New Roman" w:eastAsia="宋体"/>
                      <w:b w:val="0"/>
                      <w:bCs w:val="0"/>
                      <w:color w:val="000000" w:themeColor="text1"/>
                      <w:spacing w:val="7"/>
                      <w:sz w:val="21"/>
                      <w:szCs w:val="21"/>
                      <w14:textFill>
                        <w14:solidFill>
                          <w14:schemeClr w14:val="tx1"/>
                        </w14:solidFill>
                      </w14:textFill>
                    </w:rPr>
                    <w:t>发展规划和</w:t>
                  </w:r>
                  <w:r>
                    <w:rPr>
                      <w:rFonts w:hint="eastAsia" w:ascii="Times New Roman" w:hAnsi="Times New Roman" w:eastAsia="宋体"/>
                      <w:b w:val="0"/>
                      <w:bCs w:val="0"/>
                      <w:color w:val="000000" w:themeColor="text1"/>
                      <w:spacing w:val="7"/>
                      <w:sz w:val="21"/>
                      <w:szCs w:val="21"/>
                      <w:lang w:eastAsia="zh-CN"/>
                      <w14:textFill>
                        <w14:solidFill>
                          <w14:schemeClr w14:val="tx1"/>
                        </w14:solidFill>
                      </w14:textFill>
                    </w:rPr>
                    <w:t>生态保护红线</w:t>
                  </w:r>
                  <w:r>
                    <w:rPr>
                      <w:rFonts w:ascii="Times New Roman" w:hAnsi="Times New Roman" w:eastAsia="宋体"/>
                      <w:b w:val="0"/>
                      <w:bCs w:val="0"/>
                      <w:color w:val="000000" w:themeColor="text1"/>
                      <w:spacing w:val="7"/>
                      <w:sz w:val="21"/>
                      <w:szCs w:val="21"/>
                      <w14:textFill>
                        <w14:solidFill>
                          <w14:schemeClr w14:val="tx1"/>
                        </w14:solidFill>
                      </w14:textFill>
                    </w:rPr>
                    <w:t>管控要求。</w:t>
                  </w:r>
                </w:p>
              </w:tc>
              <w:tc>
                <w:tcPr>
                  <w:tcW w:w="2390" w:type="dxa"/>
                  <w:shd w:val="clear" w:color="auto" w:fill="FFFFFF"/>
                  <w:vAlign w:val="center"/>
                </w:tcPr>
                <w:p w14:paraId="38DA7C95">
                  <w:pPr>
                    <w:pStyle w:val="227"/>
                    <w:spacing w:before="65" w:line="334"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本项目不属于危险化</w:t>
                  </w:r>
                  <w:r>
                    <w:rPr>
                      <w:rFonts w:ascii="Times New Roman" w:hAnsi="Times New Roman" w:eastAsia="宋体"/>
                      <w:b w:val="0"/>
                      <w:bCs w:val="0"/>
                      <w:color w:val="000000" w:themeColor="text1"/>
                      <w:spacing w:val="8"/>
                      <w:sz w:val="21"/>
                      <w:szCs w:val="21"/>
                      <w14:textFill>
                        <w14:solidFill>
                          <w14:schemeClr w14:val="tx1"/>
                        </w14:solidFill>
                      </w14:textFill>
                    </w:rPr>
                    <w:t>学品生产企业</w:t>
                  </w:r>
                  <w:r>
                    <w:rPr>
                      <w:rFonts w:hint="eastAsia" w:ascii="Times New Roman" w:hAnsi="Times New Roman" w:eastAsia="宋体"/>
                      <w:b w:val="0"/>
                      <w:bCs w:val="0"/>
                      <w:color w:val="000000" w:themeColor="text1"/>
                      <w:spacing w:val="8"/>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2C557EB5">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0D25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565561FD">
                  <w:pPr>
                    <w:pStyle w:val="227"/>
                    <w:spacing w:before="65" w:line="333"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4"/>
                      <w:sz w:val="21"/>
                      <w:szCs w:val="21"/>
                      <w14:textFill>
                        <w14:solidFill>
                          <w14:schemeClr w14:val="tx1"/>
                        </w14:solidFill>
                      </w14:textFill>
                    </w:rPr>
                    <w:t>〔</w:t>
                  </w:r>
                  <w:r>
                    <w:rPr>
                      <w:rFonts w:ascii="Times New Roman" w:hAnsi="Times New Roman" w:eastAsia="宋体" w:cs="Times New Roman"/>
                      <w:b w:val="0"/>
                      <w:bCs w:val="0"/>
                      <w:color w:val="000000" w:themeColor="text1"/>
                      <w:spacing w:val="4"/>
                      <w:sz w:val="21"/>
                      <w:szCs w:val="21"/>
                      <w14:textFill>
                        <w14:solidFill>
                          <w14:schemeClr w14:val="tx1"/>
                        </w14:solidFill>
                      </w14:textFill>
                    </w:rPr>
                    <w:t>A2.1-1</w:t>
                  </w:r>
                  <w:r>
                    <w:rPr>
                      <w:rFonts w:ascii="Times New Roman" w:hAnsi="Times New Roman" w:eastAsia="宋体"/>
                      <w:b w:val="0"/>
                      <w:bCs w:val="0"/>
                      <w:color w:val="000000" w:themeColor="text1"/>
                      <w:spacing w:val="4"/>
                      <w:sz w:val="21"/>
                      <w:szCs w:val="21"/>
                      <w14:textFill>
                        <w14:solidFill>
                          <w14:schemeClr w14:val="tx1"/>
                        </w14:solidFill>
                      </w14:textFill>
                    </w:rPr>
                    <w:t>〕新、改、扩建重点行业建设项目应符合</w:t>
                  </w:r>
                  <w:r>
                    <w:rPr>
                      <w:rFonts w:ascii="Times New Roman" w:hAnsi="Times New Roman" w:eastAsia="宋体" w:cs="Times New Roman"/>
                      <w:b w:val="0"/>
                      <w:bCs w:val="0"/>
                      <w:color w:val="000000" w:themeColor="text1"/>
                      <w:spacing w:val="7"/>
                      <w:sz w:val="21"/>
                      <w:szCs w:val="21"/>
                      <w14:textFill>
                        <w14:solidFill>
                          <w14:schemeClr w14:val="tx1"/>
                        </w14:solidFill>
                      </w14:textFill>
                    </w:rPr>
                    <w:t>“</w:t>
                  </w:r>
                  <w:r>
                    <w:rPr>
                      <w:rFonts w:ascii="Times New Roman" w:hAnsi="Times New Roman" w:eastAsia="宋体"/>
                      <w:b w:val="0"/>
                      <w:bCs w:val="0"/>
                      <w:color w:val="000000" w:themeColor="text1"/>
                      <w:spacing w:val="7"/>
                      <w:sz w:val="21"/>
                      <w:szCs w:val="21"/>
                      <w14:textFill>
                        <w14:solidFill>
                          <w14:schemeClr w14:val="tx1"/>
                        </w14:solidFill>
                      </w14:textFill>
                    </w:rPr>
                    <w:t>三线一单</w:t>
                  </w:r>
                  <w:r>
                    <w:rPr>
                      <w:rFonts w:ascii="Times New Roman" w:hAnsi="Times New Roman" w:eastAsia="宋体" w:cs="Times New Roman"/>
                      <w:b w:val="0"/>
                      <w:bCs w:val="0"/>
                      <w:color w:val="000000" w:themeColor="text1"/>
                      <w:spacing w:val="7"/>
                      <w:sz w:val="21"/>
                      <w:szCs w:val="21"/>
                      <w14:textFill>
                        <w14:solidFill>
                          <w14:schemeClr w14:val="tx1"/>
                        </w14:solidFill>
                      </w14:textFill>
                    </w:rPr>
                    <w:t>”</w:t>
                  </w:r>
                  <w:r>
                    <w:rPr>
                      <w:rFonts w:ascii="Times New Roman" w:hAnsi="Times New Roman" w:eastAsia="宋体"/>
                      <w:b w:val="0"/>
                      <w:bCs w:val="0"/>
                      <w:color w:val="000000" w:themeColor="text1"/>
                      <w:spacing w:val="7"/>
                      <w:sz w:val="21"/>
                      <w:szCs w:val="21"/>
                      <w14:textFill>
                        <w14:solidFill>
                          <w14:schemeClr w14:val="tx1"/>
                        </w14:solidFill>
                      </w14:textFill>
                    </w:rPr>
                    <w:t>、产业政策、区域环评、规划环</w:t>
                  </w:r>
                  <w:r>
                    <w:rPr>
                      <w:rFonts w:ascii="Times New Roman" w:hAnsi="Times New Roman" w:eastAsia="宋体"/>
                      <w:b w:val="0"/>
                      <w:bCs w:val="0"/>
                      <w:color w:val="000000" w:themeColor="text1"/>
                      <w:spacing w:val="6"/>
                      <w:sz w:val="21"/>
                      <w:szCs w:val="21"/>
                      <w14:textFill>
                        <w14:solidFill>
                          <w14:schemeClr w14:val="tx1"/>
                        </w14:solidFill>
                      </w14:textFill>
                    </w:rPr>
                    <w:t>评和行业</w:t>
                  </w:r>
                  <w:r>
                    <w:rPr>
                      <w:rFonts w:ascii="Times New Roman" w:hAnsi="Times New Roman" w:eastAsia="宋体"/>
                      <w:b w:val="0"/>
                      <w:bCs w:val="0"/>
                      <w:color w:val="000000" w:themeColor="text1"/>
                      <w:spacing w:val="7"/>
                      <w:sz w:val="21"/>
                      <w:szCs w:val="21"/>
                      <w14:textFill>
                        <w14:solidFill>
                          <w14:schemeClr w14:val="tx1"/>
                        </w14:solidFill>
                      </w14:textFill>
                    </w:rPr>
                    <w:t>环境准入管控要求。重点区域的新、改、扩建重点行</w:t>
                  </w:r>
                  <w:r>
                    <w:rPr>
                      <w:rFonts w:ascii="Times New Roman" w:hAnsi="Times New Roman" w:eastAsia="宋体"/>
                      <w:b w:val="0"/>
                      <w:bCs w:val="0"/>
                      <w:color w:val="000000" w:themeColor="text1"/>
                      <w:spacing w:val="21"/>
                      <w:sz w:val="21"/>
                      <w:szCs w:val="21"/>
                      <w14:textFill>
                        <w14:solidFill>
                          <w14:schemeClr w14:val="tx1"/>
                        </w14:solidFill>
                      </w14:textFill>
                    </w:rPr>
                    <w:t>业建设项目应遵循重点重金属污染物排放</w:t>
                  </w:r>
                  <w:r>
                    <w:rPr>
                      <w:rFonts w:ascii="Times New Roman" w:hAnsi="Times New Roman" w:eastAsia="宋体" w:cs="Times New Roman"/>
                      <w:b w:val="0"/>
                      <w:bCs w:val="0"/>
                      <w:color w:val="000000" w:themeColor="text1"/>
                      <w:spacing w:val="21"/>
                      <w:sz w:val="21"/>
                      <w:szCs w:val="21"/>
                      <w14:textFill>
                        <w14:solidFill>
                          <w14:schemeClr w14:val="tx1"/>
                        </w14:solidFill>
                      </w14:textFill>
                    </w:rPr>
                    <w:t>“</w:t>
                  </w:r>
                  <w:r>
                    <w:rPr>
                      <w:rFonts w:ascii="Times New Roman" w:hAnsi="Times New Roman" w:eastAsia="宋体"/>
                      <w:b w:val="0"/>
                      <w:bCs w:val="0"/>
                      <w:color w:val="000000" w:themeColor="text1"/>
                      <w:spacing w:val="21"/>
                      <w:sz w:val="21"/>
                      <w:szCs w:val="21"/>
                      <w14:textFill>
                        <w14:solidFill>
                          <w14:schemeClr w14:val="tx1"/>
                        </w14:solidFill>
                      </w14:textFill>
                    </w:rPr>
                    <w:t>减量替</w:t>
                  </w:r>
                  <w:r>
                    <w:rPr>
                      <w:rFonts w:ascii="Times New Roman" w:hAnsi="Times New Roman" w:eastAsia="宋体"/>
                      <w:b w:val="0"/>
                      <w:bCs w:val="0"/>
                      <w:color w:val="000000" w:themeColor="text1"/>
                      <w:spacing w:val="18"/>
                      <w:sz w:val="21"/>
                      <w:szCs w:val="21"/>
                      <w14:textFill>
                        <w14:solidFill>
                          <w14:schemeClr w14:val="tx1"/>
                        </w14:solidFill>
                      </w14:textFill>
                    </w:rPr>
                    <w:t>代</w:t>
                  </w:r>
                  <w:r>
                    <w:rPr>
                      <w:rFonts w:ascii="Times New Roman" w:hAnsi="Times New Roman" w:eastAsia="宋体" w:cs="Times New Roman"/>
                      <w:b w:val="0"/>
                      <w:bCs w:val="0"/>
                      <w:color w:val="000000" w:themeColor="text1"/>
                      <w:spacing w:val="18"/>
                      <w:sz w:val="21"/>
                      <w:szCs w:val="21"/>
                      <w14:textFill>
                        <w14:solidFill>
                          <w14:schemeClr w14:val="tx1"/>
                        </w14:solidFill>
                      </w14:textFill>
                    </w:rPr>
                    <w:t>”</w:t>
                  </w:r>
                  <w:r>
                    <w:rPr>
                      <w:rFonts w:ascii="Times New Roman" w:hAnsi="Times New Roman" w:eastAsia="宋体"/>
                      <w:b w:val="0"/>
                      <w:bCs w:val="0"/>
                      <w:color w:val="000000" w:themeColor="text1"/>
                      <w:spacing w:val="18"/>
                      <w:sz w:val="21"/>
                      <w:szCs w:val="21"/>
                      <w14:textFill>
                        <w14:solidFill>
                          <w14:schemeClr w14:val="tx1"/>
                        </w14:solidFill>
                      </w14:textFill>
                    </w:rPr>
                    <w:t>原则。</w:t>
                  </w:r>
                </w:p>
              </w:tc>
              <w:tc>
                <w:tcPr>
                  <w:tcW w:w="2390" w:type="dxa"/>
                  <w:shd w:val="clear" w:color="auto" w:fill="FFFFFF"/>
                  <w:vAlign w:val="center"/>
                </w:tcPr>
                <w:p w14:paraId="2F5F4D58">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不属于重点行业建设项</w:t>
                  </w:r>
                  <w:r>
                    <w:rPr>
                      <w:rFonts w:ascii="Times New Roman" w:hAnsi="Times New Roman" w:eastAsia="宋体"/>
                      <w:b w:val="0"/>
                      <w:bCs w:val="0"/>
                      <w:color w:val="000000" w:themeColor="text1"/>
                      <w:sz w:val="21"/>
                      <w:szCs w:val="21"/>
                      <w14:textFill>
                        <w14:solidFill>
                          <w14:schemeClr w14:val="tx1"/>
                        </w14:solidFill>
                      </w14:textFill>
                    </w:rPr>
                    <w:t>目</w:t>
                  </w:r>
                  <w:r>
                    <w:rPr>
                      <w:rFonts w:hint="eastAsia" w:ascii="Times New Roman" w:hAnsi="Times New Roman" w:eastAsia="宋体"/>
                      <w:b w:val="0"/>
                      <w:bCs w:val="0"/>
                      <w:color w:val="000000" w:themeColor="text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306537D9">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D80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3AB436B7">
                  <w:pPr>
                    <w:pStyle w:val="227"/>
                    <w:spacing w:before="112" w:line="305"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0"/>
                      <w:sz w:val="21"/>
                      <w:szCs w:val="21"/>
                      <w14:textFill>
                        <w14:solidFill>
                          <w14:schemeClr w14:val="tx1"/>
                        </w14:solidFill>
                      </w14:textFill>
                    </w:rPr>
                    <w:t>〔</w:t>
                  </w:r>
                  <w:r>
                    <w:rPr>
                      <w:rFonts w:ascii="Times New Roman" w:hAnsi="Times New Roman" w:eastAsia="宋体" w:cs="Times New Roman"/>
                      <w:b w:val="0"/>
                      <w:bCs w:val="0"/>
                      <w:color w:val="000000" w:themeColor="text1"/>
                      <w:spacing w:val="10"/>
                      <w:sz w:val="21"/>
                      <w:szCs w:val="21"/>
                      <w14:textFill>
                        <w14:solidFill>
                          <w14:schemeClr w14:val="tx1"/>
                        </w14:solidFill>
                      </w14:textFill>
                    </w:rPr>
                    <w:t>A2.1-2</w:t>
                  </w:r>
                  <w:r>
                    <w:rPr>
                      <w:rFonts w:ascii="Times New Roman" w:hAnsi="Times New Roman" w:eastAsia="宋体"/>
                      <w:b w:val="0"/>
                      <w:bCs w:val="0"/>
                      <w:color w:val="000000" w:themeColor="text1"/>
                      <w:spacing w:val="10"/>
                      <w:sz w:val="21"/>
                      <w:szCs w:val="21"/>
                      <w14:textFill>
                        <w14:solidFill>
                          <w14:schemeClr w14:val="tx1"/>
                        </w14:solidFill>
                      </w14:textFill>
                    </w:rPr>
                    <w:t>〕以石化、化工、涂装、医药、包装印</w:t>
                  </w:r>
                  <w:r>
                    <w:rPr>
                      <w:rFonts w:ascii="Times New Roman" w:hAnsi="Times New Roman" w:eastAsia="宋体"/>
                      <w:b w:val="0"/>
                      <w:bCs w:val="0"/>
                      <w:color w:val="000000" w:themeColor="text1"/>
                      <w:spacing w:val="6"/>
                      <w:sz w:val="21"/>
                      <w:szCs w:val="21"/>
                      <w14:textFill>
                        <w14:solidFill>
                          <w14:schemeClr w14:val="tx1"/>
                        </w14:solidFill>
                      </w14:textFill>
                    </w:rPr>
                    <w:t>刷、油品储运销等行业领域为重点，安全高效推进挥发性有机物综合治理，实施原辅材料和产品源头替代</w:t>
                  </w:r>
                  <w:r>
                    <w:rPr>
                      <w:rFonts w:ascii="Times New Roman" w:hAnsi="Times New Roman" w:eastAsia="宋体"/>
                      <w:b w:val="0"/>
                      <w:bCs w:val="0"/>
                      <w:color w:val="000000" w:themeColor="text1"/>
                      <w:spacing w:val="3"/>
                      <w:sz w:val="21"/>
                      <w:szCs w:val="21"/>
                      <w14:textFill>
                        <w14:solidFill>
                          <w14:schemeClr w14:val="tx1"/>
                        </w14:solidFill>
                      </w14:textFill>
                    </w:rPr>
                    <w:t>工程。</w:t>
                  </w:r>
                </w:p>
              </w:tc>
              <w:tc>
                <w:tcPr>
                  <w:tcW w:w="2390" w:type="dxa"/>
                  <w:shd w:val="clear" w:color="auto" w:fill="FFFFFF"/>
                  <w:vAlign w:val="center"/>
                </w:tcPr>
                <w:p w14:paraId="084D9F35">
                  <w:pPr>
                    <w:pStyle w:val="227"/>
                    <w:spacing w:before="290" w:line="333"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本项目不属于重点行业，</w:t>
                  </w:r>
                  <w:r>
                    <w:rPr>
                      <w:rFonts w:hint="eastAsia" w:ascii="Times New Roman" w:hAnsi="Times New Roman" w:eastAsia="宋体"/>
                      <w:b w:val="0"/>
                      <w:bCs w:val="0"/>
                      <w:color w:val="000000" w:themeColor="text1"/>
                      <w:spacing w:val="16"/>
                      <w:sz w:val="21"/>
                      <w:szCs w:val="21"/>
                      <w:lang w:val="en-US" w:eastAsia="zh-CN"/>
                      <w14:textFill>
                        <w14:solidFill>
                          <w14:schemeClr w14:val="tx1"/>
                        </w14:solidFill>
                      </w14:textFill>
                    </w:rPr>
                    <w:t>本项目不涉及挥发性有机物排放</w:t>
                  </w:r>
                  <w:r>
                    <w:rPr>
                      <w:rFonts w:hint="eastAsia" w:ascii="Times New Roman" w:hAnsi="Times New Roman" w:eastAsia="宋体"/>
                      <w:b w:val="0"/>
                      <w:bCs w:val="0"/>
                      <w:color w:val="000000" w:themeColor="text1"/>
                      <w:spacing w:val="1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337F1D02">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01D3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20D6917">
                  <w:pPr>
                    <w:pStyle w:val="227"/>
                    <w:spacing w:before="109" w:line="319"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w:t>
                  </w:r>
                  <w:r>
                    <w:rPr>
                      <w:rFonts w:ascii="Times New Roman" w:hAnsi="Times New Roman" w:eastAsia="宋体" w:cs="Times New Roman"/>
                      <w:b w:val="0"/>
                      <w:bCs w:val="0"/>
                      <w:color w:val="000000" w:themeColor="text1"/>
                      <w:spacing w:val="5"/>
                      <w:sz w:val="21"/>
                      <w:szCs w:val="21"/>
                      <w14:textFill>
                        <w14:solidFill>
                          <w14:schemeClr w14:val="tx1"/>
                        </w14:solidFill>
                      </w14:textFill>
                    </w:rPr>
                    <w:t>A2.1-3</w:t>
                  </w:r>
                  <w:r>
                    <w:rPr>
                      <w:rFonts w:ascii="Times New Roman" w:hAnsi="Times New Roman" w:eastAsia="宋体"/>
                      <w:b w:val="0"/>
                      <w:bCs w:val="0"/>
                      <w:color w:val="000000" w:themeColor="text1"/>
                      <w:spacing w:val="5"/>
                      <w:sz w:val="21"/>
                      <w:szCs w:val="21"/>
                      <w14:textFill>
                        <w14:solidFill>
                          <w14:schemeClr w14:val="tx1"/>
                        </w14:solidFill>
                      </w14:textFill>
                    </w:rPr>
                    <w:t>〕促进大气污染物与温室气体协同控制。</w:t>
                  </w:r>
                  <w:r>
                    <w:rPr>
                      <w:rFonts w:ascii="Times New Roman" w:hAnsi="Times New Roman" w:eastAsia="宋体"/>
                      <w:b w:val="0"/>
                      <w:bCs w:val="0"/>
                      <w:color w:val="000000" w:themeColor="text1"/>
                      <w:spacing w:val="13"/>
                      <w:sz w:val="21"/>
                      <w:szCs w:val="21"/>
                      <w14:textFill>
                        <w14:solidFill>
                          <w14:schemeClr w14:val="tx1"/>
                        </w14:solidFill>
                      </w14:textFill>
                    </w:rPr>
                    <w:t>实施污染物和温室气体协同控制，实现减污降碳协同效应。开展工业、农业温室气体和污染减排协同</w:t>
                  </w:r>
                  <w:r>
                    <w:rPr>
                      <w:rFonts w:ascii="Times New Roman" w:hAnsi="Times New Roman" w:eastAsia="宋体"/>
                      <w:b w:val="0"/>
                      <w:bCs w:val="0"/>
                      <w:color w:val="000000" w:themeColor="text1"/>
                      <w:spacing w:val="6"/>
                      <w:sz w:val="21"/>
                      <w:szCs w:val="21"/>
                      <w14:textFill>
                        <w14:solidFill>
                          <w14:schemeClr w14:val="tx1"/>
                        </w14:solidFill>
                      </w14:textFill>
                    </w:rPr>
                    <w:t>控制研究，减少温室气体和污染物排放。强化污水、</w:t>
                  </w:r>
                  <w:r>
                    <w:rPr>
                      <w:rFonts w:ascii="Times New Roman" w:hAnsi="Times New Roman" w:eastAsia="宋体"/>
                      <w:b w:val="0"/>
                      <w:bCs w:val="0"/>
                      <w:color w:val="000000" w:themeColor="text1"/>
                      <w:spacing w:val="13"/>
                      <w:sz w:val="21"/>
                      <w:szCs w:val="21"/>
                      <w14:textFill>
                        <w14:solidFill>
                          <w14:schemeClr w14:val="tx1"/>
                        </w14:solidFill>
                      </w14:textFill>
                    </w:rPr>
                    <w:t>垃圾等集中处置设施环境管理，协同控制氢氟碳化</w:t>
                  </w:r>
                  <w:r>
                    <w:rPr>
                      <w:rFonts w:ascii="Times New Roman" w:hAnsi="Times New Roman" w:eastAsia="宋体"/>
                      <w:b w:val="0"/>
                      <w:bCs w:val="0"/>
                      <w:color w:val="000000" w:themeColor="text1"/>
                      <w:spacing w:val="4"/>
                      <w:sz w:val="21"/>
                      <w:szCs w:val="21"/>
                      <w14:textFill>
                        <w14:solidFill>
                          <w14:schemeClr w14:val="tx1"/>
                        </w14:solidFill>
                      </w14:textFill>
                    </w:rPr>
                    <w:t>物、甲烷、氧化亚氮等温室气体。加强节约能源</w:t>
                  </w:r>
                  <w:r>
                    <w:rPr>
                      <w:rFonts w:ascii="Times New Roman" w:hAnsi="Times New Roman" w:eastAsia="宋体"/>
                      <w:b w:val="0"/>
                      <w:bCs w:val="0"/>
                      <w:color w:val="000000" w:themeColor="text1"/>
                      <w:spacing w:val="3"/>
                      <w:sz w:val="21"/>
                      <w:szCs w:val="21"/>
                      <w14:textFill>
                        <w14:solidFill>
                          <w14:schemeClr w14:val="tx1"/>
                        </w14:solidFill>
                      </w14:textFill>
                    </w:rPr>
                    <w:t>与大气污染防治协同有效衔接，促进大气污染防治协同增</w:t>
                  </w:r>
                  <w:r>
                    <w:rPr>
                      <w:rFonts w:ascii="Times New Roman" w:hAnsi="Times New Roman" w:eastAsia="宋体"/>
                      <w:b w:val="0"/>
                      <w:bCs w:val="0"/>
                      <w:color w:val="000000" w:themeColor="text1"/>
                      <w:spacing w:val="-1"/>
                      <w:sz w:val="21"/>
                      <w:szCs w:val="21"/>
                      <w14:textFill>
                        <w14:solidFill>
                          <w14:schemeClr w14:val="tx1"/>
                        </w14:solidFill>
                      </w14:textFill>
                    </w:rPr>
                    <w:t>效。</w:t>
                  </w:r>
                </w:p>
              </w:tc>
              <w:tc>
                <w:tcPr>
                  <w:tcW w:w="2390" w:type="dxa"/>
                  <w:shd w:val="clear" w:color="auto" w:fill="FFFFFF"/>
                  <w:vAlign w:val="center"/>
                </w:tcPr>
                <w:p w14:paraId="4B2043C8">
                  <w:pPr>
                    <w:pStyle w:val="227"/>
                    <w:spacing w:before="65" w:line="333"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7"/>
                      <w:sz w:val="21"/>
                      <w:szCs w:val="21"/>
                      <w14:textFill>
                        <w14:solidFill>
                          <w14:schemeClr w14:val="tx1"/>
                        </w14:solidFill>
                      </w14:textFill>
                    </w:rPr>
                    <w:t>本项目采取严格的大</w:t>
                  </w:r>
                  <w:r>
                    <w:rPr>
                      <w:rFonts w:ascii="Times New Roman" w:hAnsi="Times New Roman" w:eastAsia="宋体"/>
                      <w:b w:val="0"/>
                      <w:bCs w:val="0"/>
                      <w:color w:val="000000" w:themeColor="text1"/>
                      <w:spacing w:val="16"/>
                      <w:sz w:val="21"/>
                      <w:szCs w:val="21"/>
                      <w14:textFill>
                        <w14:solidFill>
                          <w14:schemeClr w14:val="tx1"/>
                        </w14:solidFill>
                      </w14:textFill>
                    </w:rPr>
                    <w:t>气污染防治措施，确保</w:t>
                  </w:r>
                  <w:r>
                    <w:rPr>
                      <w:rFonts w:ascii="Times New Roman" w:hAnsi="Times New Roman" w:eastAsia="宋体"/>
                      <w:b w:val="0"/>
                      <w:bCs w:val="0"/>
                      <w:color w:val="000000" w:themeColor="text1"/>
                      <w:spacing w:val="8"/>
                      <w:sz w:val="21"/>
                      <w:szCs w:val="21"/>
                      <w14:textFill>
                        <w14:solidFill>
                          <w14:schemeClr w14:val="tx1"/>
                        </w14:solidFill>
                      </w14:textFill>
                    </w:rPr>
                    <w:t>大气污染物达标排放</w:t>
                  </w:r>
                  <w:r>
                    <w:rPr>
                      <w:rFonts w:hint="eastAsia" w:ascii="Times New Roman" w:hAnsi="Times New Roman" w:eastAsia="宋体"/>
                      <w:b w:val="0"/>
                      <w:bCs w:val="0"/>
                      <w:color w:val="000000" w:themeColor="text1"/>
                      <w:spacing w:val="8"/>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52028806">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2990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189EB81C">
                  <w:pPr>
                    <w:pStyle w:val="227"/>
                    <w:spacing w:before="109" w:line="319"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9"/>
                      <w:sz w:val="21"/>
                      <w:szCs w:val="21"/>
                      <w14:textFill>
                        <w14:solidFill>
                          <w14:schemeClr w14:val="tx1"/>
                        </w14:solidFill>
                      </w14:textFill>
                    </w:rPr>
                    <w:t>〔</w:t>
                  </w:r>
                  <w:r>
                    <w:rPr>
                      <w:rFonts w:ascii="Times New Roman" w:hAnsi="Times New Roman" w:eastAsia="宋体" w:cs="Times New Roman"/>
                      <w:b w:val="0"/>
                      <w:bCs w:val="0"/>
                      <w:color w:val="000000" w:themeColor="text1"/>
                      <w:spacing w:val="9"/>
                      <w:sz w:val="21"/>
                      <w:szCs w:val="21"/>
                      <w14:textFill>
                        <w14:solidFill>
                          <w14:schemeClr w14:val="tx1"/>
                        </w14:solidFill>
                      </w14:textFill>
                    </w:rPr>
                    <w:t>A2.1-4</w:t>
                  </w:r>
                  <w:r>
                    <w:rPr>
                      <w:rFonts w:ascii="Times New Roman" w:hAnsi="Times New Roman" w:eastAsia="宋体"/>
                      <w:b w:val="0"/>
                      <w:bCs w:val="0"/>
                      <w:color w:val="000000" w:themeColor="text1"/>
                      <w:spacing w:val="9"/>
                      <w:sz w:val="21"/>
                      <w:szCs w:val="21"/>
                      <w14:textFill>
                        <w14:solidFill>
                          <w14:schemeClr w14:val="tx1"/>
                        </w14:solidFill>
                      </w14:textFill>
                    </w:rPr>
                    <w:t>〕严控建材、铸造、冶炼等行业无组织</w:t>
                  </w:r>
                  <w:r>
                    <w:rPr>
                      <w:rFonts w:ascii="Times New Roman" w:hAnsi="Times New Roman" w:eastAsia="宋体"/>
                      <w:b w:val="0"/>
                      <w:bCs w:val="0"/>
                      <w:color w:val="000000" w:themeColor="text1"/>
                      <w:spacing w:val="13"/>
                      <w:sz w:val="21"/>
                      <w:szCs w:val="21"/>
                      <w14:textFill>
                        <w14:solidFill>
                          <w14:schemeClr w14:val="tx1"/>
                        </w14:solidFill>
                      </w14:textFill>
                    </w:rPr>
                    <w:t>排放，推进石化、化工、涂装、医药、包装印刷、</w:t>
                  </w:r>
                  <w:r>
                    <w:rPr>
                      <w:rFonts w:ascii="Times New Roman" w:hAnsi="Times New Roman" w:eastAsia="宋体"/>
                      <w:b w:val="0"/>
                      <w:bCs w:val="0"/>
                      <w:color w:val="000000" w:themeColor="text1"/>
                      <w:spacing w:val="2"/>
                      <w:sz w:val="21"/>
                      <w:szCs w:val="21"/>
                      <w14:textFill>
                        <w14:solidFill>
                          <w14:schemeClr w14:val="tx1"/>
                        </w14:solidFill>
                      </w14:textFill>
                    </w:rPr>
                    <w:t>油品储运销等行业项目挥发性有机物（</w:t>
                  </w:r>
                  <w:r>
                    <w:rPr>
                      <w:rFonts w:ascii="Times New Roman" w:hAnsi="Times New Roman" w:eastAsia="宋体" w:cs="Times New Roman"/>
                      <w:b w:val="0"/>
                      <w:bCs w:val="0"/>
                      <w:color w:val="000000" w:themeColor="text1"/>
                      <w:sz w:val="21"/>
                      <w:szCs w:val="21"/>
                      <w14:textFill>
                        <w14:solidFill>
                          <w14:schemeClr w14:val="tx1"/>
                        </w14:solidFill>
                      </w14:textFill>
                    </w:rPr>
                    <w:t>VOCs</w:t>
                  </w:r>
                  <w:r>
                    <w:rPr>
                      <w:rFonts w:ascii="Times New Roman" w:hAnsi="Times New Roman" w:eastAsia="宋体"/>
                      <w:b w:val="0"/>
                      <w:bCs w:val="0"/>
                      <w:color w:val="000000" w:themeColor="text1"/>
                      <w:spacing w:val="2"/>
                      <w:sz w:val="21"/>
                      <w:szCs w:val="21"/>
                      <w14:textFill>
                        <w14:solidFill>
                          <w14:schemeClr w14:val="tx1"/>
                        </w14:solidFill>
                      </w14:textFill>
                    </w:rPr>
                    <w:t>）防治。</w:t>
                  </w:r>
                  <w:r>
                    <w:rPr>
                      <w:rFonts w:ascii="Times New Roman" w:hAnsi="Times New Roman" w:eastAsia="宋体"/>
                      <w:b w:val="0"/>
                      <w:bCs w:val="0"/>
                      <w:color w:val="000000" w:themeColor="text1"/>
                      <w:spacing w:val="3"/>
                      <w:sz w:val="21"/>
                      <w:szCs w:val="21"/>
                      <w14:textFill>
                        <w14:solidFill>
                          <w14:schemeClr w14:val="tx1"/>
                        </w14:solidFill>
                      </w14:textFill>
                    </w:rPr>
                    <w:t>严格有色金属冶炼、石油加工、化工、焦化等行业项目的土壤、地下水污染防治措施要求。推进工业园区</w:t>
                  </w:r>
                  <w:r>
                    <w:rPr>
                      <w:rFonts w:ascii="Times New Roman" w:hAnsi="Times New Roman" w:eastAsia="宋体"/>
                      <w:b w:val="0"/>
                      <w:bCs w:val="0"/>
                      <w:color w:val="000000" w:themeColor="text1"/>
                      <w:spacing w:val="9"/>
                      <w:sz w:val="21"/>
                      <w:szCs w:val="21"/>
                      <w14:textFill>
                        <w14:solidFill>
                          <w14:schemeClr w14:val="tx1"/>
                        </w14:solidFill>
                      </w14:textFill>
                    </w:rPr>
                    <w:t>和企业集群建设涉</w:t>
                  </w:r>
                  <w:r>
                    <w:rPr>
                      <w:rFonts w:ascii="Times New Roman" w:hAnsi="Times New Roman" w:eastAsia="宋体" w:cs="Times New Roman"/>
                      <w:b w:val="0"/>
                      <w:bCs w:val="0"/>
                      <w:color w:val="000000" w:themeColor="text1"/>
                      <w:sz w:val="21"/>
                      <w:szCs w:val="21"/>
                      <w14:textFill>
                        <w14:solidFill>
                          <w14:schemeClr w14:val="tx1"/>
                        </w14:solidFill>
                      </w14:textFill>
                    </w:rPr>
                    <w:t>VOCs</w:t>
                  </w:r>
                  <w:r>
                    <w:rPr>
                      <w:rFonts w:ascii="Times New Roman" w:hAnsi="Times New Roman" w:eastAsia="宋体" w:cs="Times New Roman"/>
                      <w:b w:val="0"/>
                      <w:bCs w:val="0"/>
                      <w:color w:val="000000" w:themeColor="text1"/>
                      <w:spacing w:val="9"/>
                      <w:sz w:val="21"/>
                      <w:szCs w:val="21"/>
                      <w14:textFill>
                        <w14:solidFill>
                          <w14:schemeClr w14:val="tx1"/>
                        </w14:solidFill>
                      </w14:textFill>
                    </w:rPr>
                    <w:t>“</w:t>
                  </w:r>
                  <w:r>
                    <w:rPr>
                      <w:rFonts w:ascii="Times New Roman" w:hAnsi="Times New Roman" w:eastAsia="宋体"/>
                      <w:b w:val="0"/>
                      <w:bCs w:val="0"/>
                      <w:color w:val="000000" w:themeColor="text1"/>
                      <w:spacing w:val="9"/>
                      <w:sz w:val="21"/>
                      <w:szCs w:val="21"/>
                      <w14:textFill>
                        <w14:solidFill>
                          <w14:schemeClr w14:val="tx1"/>
                        </w14:solidFill>
                      </w14:textFill>
                    </w:rPr>
                    <w:t>绿岛</w:t>
                  </w:r>
                  <w:r>
                    <w:rPr>
                      <w:rFonts w:ascii="Times New Roman" w:hAnsi="Times New Roman" w:eastAsia="宋体" w:cs="Times New Roman"/>
                      <w:b w:val="0"/>
                      <w:bCs w:val="0"/>
                      <w:color w:val="000000" w:themeColor="text1"/>
                      <w:spacing w:val="9"/>
                      <w:sz w:val="21"/>
                      <w:szCs w:val="21"/>
                      <w14:textFill>
                        <w14:solidFill>
                          <w14:schemeClr w14:val="tx1"/>
                        </w14:solidFill>
                      </w14:textFill>
                    </w:rPr>
                    <w:t>”</w:t>
                  </w:r>
                  <w:r>
                    <w:rPr>
                      <w:rFonts w:ascii="Times New Roman" w:hAnsi="Times New Roman" w:eastAsia="宋体"/>
                      <w:b w:val="0"/>
                      <w:bCs w:val="0"/>
                      <w:color w:val="000000" w:themeColor="text1"/>
                      <w:spacing w:val="9"/>
                      <w:sz w:val="21"/>
                      <w:szCs w:val="21"/>
                      <w14:textFill>
                        <w14:solidFill>
                          <w14:schemeClr w14:val="tx1"/>
                        </w14:solidFill>
                      </w14:textFill>
                    </w:rPr>
                    <w:t>项目，统筹规划建设</w:t>
                  </w:r>
                  <w:r>
                    <w:rPr>
                      <w:rFonts w:ascii="Times New Roman" w:hAnsi="Times New Roman" w:eastAsia="宋体"/>
                      <w:b w:val="0"/>
                      <w:bCs w:val="0"/>
                      <w:color w:val="000000" w:themeColor="text1"/>
                      <w:spacing w:val="3"/>
                      <w:sz w:val="21"/>
                      <w:szCs w:val="21"/>
                      <w14:textFill>
                        <w14:solidFill>
                          <w14:schemeClr w14:val="tx1"/>
                        </w14:solidFill>
                      </w14:textFill>
                    </w:rPr>
                    <w:t>一批集中涂装中心、活性炭集中处理中心、溶剂回收</w:t>
                  </w:r>
                  <w:r>
                    <w:rPr>
                      <w:rFonts w:ascii="Times New Roman" w:hAnsi="Times New Roman" w:eastAsia="宋体"/>
                      <w:b w:val="0"/>
                      <w:bCs w:val="0"/>
                      <w:color w:val="000000" w:themeColor="text1"/>
                      <w:spacing w:val="7"/>
                      <w:sz w:val="21"/>
                      <w:szCs w:val="21"/>
                      <w14:textFill>
                        <w14:solidFill>
                          <w14:schemeClr w14:val="tx1"/>
                        </w14:solidFill>
                      </w14:textFill>
                    </w:rPr>
                    <w:t>中心等，实现</w:t>
                  </w:r>
                  <w:r>
                    <w:rPr>
                      <w:rFonts w:ascii="Times New Roman" w:hAnsi="Times New Roman" w:eastAsia="宋体" w:cs="Times New Roman"/>
                      <w:b w:val="0"/>
                      <w:bCs w:val="0"/>
                      <w:color w:val="000000" w:themeColor="text1"/>
                      <w:sz w:val="21"/>
                      <w:szCs w:val="21"/>
                      <w14:textFill>
                        <w14:solidFill>
                          <w14:schemeClr w14:val="tx1"/>
                        </w14:solidFill>
                      </w14:textFill>
                    </w:rPr>
                    <w:t>VOCs</w:t>
                  </w:r>
                  <w:r>
                    <w:rPr>
                      <w:rFonts w:ascii="Times New Roman" w:hAnsi="Times New Roman" w:eastAsia="宋体"/>
                      <w:b w:val="0"/>
                      <w:bCs w:val="0"/>
                      <w:color w:val="000000" w:themeColor="text1"/>
                      <w:spacing w:val="7"/>
                      <w:sz w:val="21"/>
                      <w:szCs w:val="21"/>
                      <w14:textFill>
                        <w14:solidFill>
                          <w14:schemeClr w14:val="tx1"/>
                        </w14:solidFill>
                      </w14:textFill>
                    </w:rPr>
                    <w:t>集中高效处理。</w:t>
                  </w:r>
                </w:p>
              </w:tc>
              <w:tc>
                <w:tcPr>
                  <w:tcW w:w="2390" w:type="dxa"/>
                  <w:shd w:val="clear" w:color="auto" w:fill="FFFFFF"/>
                  <w:vAlign w:val="center"/>
                </w:tcPr>
                <w:p w14:paraId="673E0816">
                  <w:pPr>
                    <w:pStyle w:val="227"/>
                    <w:spacing w:before="65" w:line="333"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w:t>
                  </w:r>
                  <w:r>
                    <w:rPr>
                      <w:rFonts w:hint="eastAsia" w:ascii="Times New Roman" w:hAnsi="Times New Roman" w:eastAsia="宋体"/>
                      <w:b w:val="0"/>
                      <w:bCs w:val="0"/>
                      <w:color w:val="000000" w:themeColor="text1"/>
                      <w:spacing w:val="16"/>
                      <w:sz w:val="21"/>
                      <w:szCs w:val="21"/>
                      <w:lang w:val="en-US" w:eastAsia="zh-CN"/>
                      <w14:textFill>
                        <w14:solidFill>
                          <w14:schemeClr w14:val="tx1"/>
                        </w14:solidFill>
                      </w14:textFill>
                    </w:rPr>
                    <w:t>不涉及</w:t>
                  </w:r>
                  <w:r>
                    <w:rPr>
                      <w:rFonts w:hint="eastAsia" w:ascii="Times New Roman" w:hAnsi="Times New Roman" w:eastAsia="宋体"/>
                      <w:b w:val="0"/>
                      <w:bCs w:val="0"/>
                      <w:color w:val="000000" w:themeColor="text1"/>
                      <w:spacing w:val="1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03D637B7">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071F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A477947">
                  <w:pPr>
                    <w:pStyle w:val="227"/>
                    <w:spacing w:before="113" w:line="320"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6"/>
                      <w:sz w:val="21"/>
                      <w:szCs w:val="21"/>
                      <w14:textFill>
                        <w14:solidFill>
                          <w14:schemeClr w14:val="tx1"/>
                        </w14:solidFill>
                      </w14:textFill>
                    </w:rPr>
                    <w:t>〔</w:t>
                  </w:r>
                  <w:r>
                    <w:rPr>
                      <w:rFonts w:ascii="Times New Roman" w:hAnsi="Times New Roman" w:eastAsia="宋体" w:cs="Times New Roman"/>
                      <w:b w:val="0"/>
                      <w:bCs w:val="0"/>
                      <w:color w:val="000000" w:themeColor="text1"/>
                      <w:spacing w:val="6"/>
                      <w:sz w:val="21"/>
                      <w:szCs w:val="21"/>
                      <w14:textFill>
                        <w14:solidFill>
                          <w14:schemeClr w14:val="tx1"/>
                        </w14:solidFill>
                      </w14:textFill>
                    </w:rPr>
                    <w:t>A2.2-1</w:t>
                  </w:r>
                  <w:r>
                    <w:rPr>
                      <w:rFonts w:ascii="Times New Roman" w:hAnsi="Times New Roman" w:eastAsia="宋体"/>
                      <w:b w:val="0"/>
                      <w:bCs w:val="0"/>
                      <w:color w:val="000000" w:themeColor="text1"/>
                      <w:spacing w:val="6"/>
                      <w:sz w:val="21"/>
                      <w:szCs w:val="21"/>
                      <w14:textFill>
                        <w14:solidFill>
                          <w14:schemeClr w14:val="tx1"/>
                        </w14:solidFill>
                      </w14:textFill>
                    </w:rPr>
                    <w:t>〕推动能源、钢铁、建材、有色、电力、</w:t>
                  </w:r>
                  <w:r>
                    <w:rPr>
                      <w:rFonts w:ascii="Times New Roman" w:hAnsi="Times New Roman" w:eastAsia="宋体"/>
                      <w:b w:val="0"/>
                      <w:bCs w:val="0"/>
                      <w:color w:val="000000" w:themeColor="text1"/>
                      <w:spacing w:val="13"/>
                      <w:sz w:val="21"/>
                      <w:szCs w:val="21"/>
                      <w14:textFill>
                        <w14:solidFill>
                          <w14:schemeClr w14:val="tx1"/>
                        </w14:solidFill>
                      </w14:textFill>
                    </w:rPr>
                    <w:t>化工等重点领域技术升级，控制工业过程温室气体</w:t>
                  </w:r>
                  <w:r>
                    <w:rPr>
                      <w:rFonts w:ascii="Times New Roman" w:hAnsi="Times New Roman" w:eastAsia="宋体"/>
                      <w:b w:val="0"/>
                      <w:bCs w:val="0"/>
                      <w:color w:val="000000" w:themeColor="text1"/>
                      <w:spacing w:val="3"/>
                      <w:sz w:val="21"/>
                      <w:szCs w:val="21"/>
                      <w14:textFill>
                        <w14:solidFill>
                          <w14:schemeClr w14:val="tx1"/>
                        </w14:solidFill>
                      </w14:textFill>
                    </w:rPr>
                    <w:t>排放，推动工业领域绿色低碳发展。积极鼓励发展二</w:t>
                  </w:r>
                  <w:r>
                    <w:rPr>
                      <w:rFonts w:ascii="Times New Roman" w:hAnsi="Times New Roman" w:eastAsia="宋体"/>
                      <w:b w:val="0"/>
                      <w:bCs w:val="0"/>
                      <w:color w:val="000000" w:themeColor="text1"/>
                      <w:spacing w:val="9"/>
                      <w:sz w:val="21"/>
                      <w:szCs w:val="21"/>
                      <w14:textFill>
                        <w14:solidFill>
                          <w14:schemeClr w14:val="tx1"/>
                        </w14:solidFill>
                      </w14:textFill>
                    </w:rPr>
                    <w:t>氧化碳捕集利用与封存等低碳技术。促进大气污染</w:t>
                  </w:r>
                  <w:r>
                    <w:rPr>
                      <w:rFonts w:ascii="Times New Roman" w:hAnsi="Times New Roman" w:eastAsia="宋体"/>
                      <w:b w:val="0"/>
                      <w:bCs w:val="0"/>
                      <w:color w:val="000000" w:themeColor="text1"/>
                      <w:spacing w:val="3"/>
                      <w:sz w:val="21"/>
                      <w:szCs w:val="21"/>
                      <w14:textFill>
                        <w14:solidFill>
                          <w14:schemeClr w14:val="tx1"/>
                        </w14:solidFill>
                      </w14:textFill>
                    </w:rPr>
                    <w:t>物与温室气体协同控制。实施污染物和温室气体协同</w:t>
                  </w:r>
                  <w:r>
                    <w:rPr>
                      <w:rFonts w:ascii="Times New Roman" w:hAnsi="Times New Roman" w:eastAsia="宋体"/>
                      <w:b w:val="0"/>
                      <w:bCs w:val="0"/>
                      <w:color w:val="000000" w:themeColor="text1"/>
                      <w:spacing w:val="13"/>
                      <w:sz w:val="21"/>
                      <w:szCs w:val="21"/>
                      <w14:textFill>
                        <w14:solidFill>
                          <w14:schemeClr w14:val="tx1"/>
                        </w14:solidFill>
                      </w14:textFill>
                    </w:rPr>
                    <w:t>控制，实现减污降碳协同效应。强化污水、</w:t>
                  </w:r>
                  <w:r>
                    <w:rPr>
                      <w:rFonts w:ascii="Times New Roman" w:hAnsi="Times New Roman" w:eastAsia="宋体"/>
                      <w:b w:val="0"/>
                      <w:bCs w:val="0"/>
                      <w:color w:val="000000" w:themeColor="text1"/>
                      <w:spacing w:val="12"/>
                      <w:sz w:val="21"/>
                      <w:szCs w:val="21"/>
                      <w14:textFill>
                        <w14:solidFill>
                          <w14:schemeClr w14:val="tx1"/>
                        </w14:solidFill>
                      </w14:textFill>
                    </w:rPr>
                    <w:t>垃圾等</w:t>
                  </w:r>
                  <w:r>
                    <w:rPr>
                      <w:rFonts w:ascii="Times New Roman" w:hAnsi="Times New Roman" w:eastAsia="宋体"/>
                      <w:b w:val="0"/>
                      <w:bCs w:val="0"/>
                      <w:color w:val="000000" w:themeColor="text1"/>
                      <w:spacing w:val="-2"/>
                      <w:sz w:val="21"/>
                      <w:szCs w:val="21"/>
                      <w14:textFill>
                        <w14:solidFill>
                          <w14:schemeClr w14:val="tx1"/>
                        </w14:solidFill>
                      </w14:textFill>
                    </w:rPr>
                    <w:t>集中处置设施环境管理，协同控制氢氟碳化物、甲烷、</w:t>
                  </w:r>
                  <w:r>
                    <w:rPr>
                      <w:rFonts w:ascii="Times New Roman" w:hAnsi="Times New Roman" w:eastAsia="宋体"/>
                      <w:b w:val="0"/>
                      <w:bCs w:val="0"/>
                      <w:color w:val="000000" w:themeColor="text1"/>
                      <w:spacing w:val="4"/>
                      <w:sz w:val="21"/>
                      <w:szCs w:val="21"/>
                      <w14:textFill>
                        <w14:solidFill>
                          <w14:schemeClr w14:val="tx1"/>
                        </w14:solidFill>
                      </w14:textFill>
                    </w:rPr>
                    <w:t>氧化亚氮等温室气体。加强节约能源与大气</w:t>
                  </w:r>
                  <w:r>
                    <w:rPr>
                      <w:rFonts w:ascii="Times New Roman" w:hAnsi="Times New Roman" w:eastAsia="宋体"/>
                      <w:b w:val="0"/>
                      <w:bCs w:val="0"/>
                      <w:color w:val="000000" w:themeColor="text1"/>
                      <w:spacing w:val="3"/>
                      <w:sz w:val="21"/>
                      <w:szCs w:val="21"/>
                      <w14:textFill>
                        <w14:solidFill>
                          <w14:schemeClr w14:val="tx1"/>
                        </w14:solidFill>
                      </w14:textFill>
                    </w:rPr>
                    <w:t>污染防治</w:t>
                  </w:r>
                  <w:r>
                    <w:rPr>
                      <w:rFonts w:ascii="Times New Roman" w:hAnsi="Times New Roman" w:eastAsia="宋体"/>
                      <w:b w:val="0"/>
                      <w:bCs w:val="0"/>
                      <w:color w:val="000000" w:themeColor="text1"/>
                      <w:spacing w:val="6"/>
                      <w:sz w:val="21"/>
                      <w:szCs w:val="21"/>
                      <w14:textFill>
                        <w14:solidFill>
                          <w14:schemeClr w14:val="tx1"/>
                        </w14:solidFill>
                      </w14:textFill>
                    </w:rPr>
                    <w:t>协同有效衔接，促进大气污染防治协同增效。</w:t>
                  </w:r>
                </w:p>
              </w:tc>
              <w:tc>
                <w:tcPr>
                  <w:tcW w:w="2390" w:type="dxa"/>
                  <w:shd w:val="clear" w:color="auto" w:fill="FFFFFF"/>
                  <w:vAlign w:val="center"/>
                </w:tcPr>
                <w:p w14:paraId="5588898D">
                  <w:pPr>
                    <w:pStyle w:val="227"/>
                    <w:spacing w:before="65" w:line="333"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7"/>
                      <w:sz w:val="21"/>
                      <w:szCs w:val="21"/>
                      <w14:textFill>
                        <w14:solidFill>
                          <w14:schemeClr w14:val="tx1"/>
                        </w14:solidFill>
                      </w14:textFill>
                    </w:rPr>
                    <w:t>本项目采取严格的大</w:t>
                  </w:r>
                  <w:r>
                    <w:rPr>
                      <w:rFonts w:ascii="Times New Roman" w:hAnsi="Times New Roman" w:eastAsia="宋体"/>
                      <w:b w:val="0"/>
                      <w:bCs w:val="0"/>
                      <w:color w:val="000000" w:themeColor="text1"/>
                      <w:spacing w:val="16"/>
                      <w:sz w:val="21"/>
                      <w:szCs w:val="21"/>
                      <w14:textFill>
                        <w14:solidFill>
                          <w14:schemeClr w14:val="tx1"/>
                        </w14:solidFill>
                      </w14:textFill>
                    </w:rPr>
                    <w:t>气污染防治措施，确保</w:t>
                  </w:r>
                  <w:r>
                    <w:rPr>
                      <w:rFonts w:ascii="Times New Roman" w:hAnsi="Times New Roman" w:eastAsia="宋体"/>
                      <w:b w:val="0"/>
                      <w:bCs w:val="0"/>
                      <w:color w:val="000000" w:themeColor="text1"/>
                      <w:spacing w:val="8"/>
                      <w:sz w:val="21"/>
                      <w:szCs w:val="21"/>
                      <w14:textFill>
                        <w14:solidFill>
                          <w14:schemeClr w14:val="tx1"/>
                        </w14:solidFill>
                      </w14:textFill>
                    </w:rPr>
                    <w:t>大气污染物达标排放</w:t>
                  </w:r>
                  <w:r>
                    <w:rPr>
                      <w:rFonts w:hint="eastAsia" w:ascii="Times New Roman" w:hAnsi="Times New Roman" w:eastAsia="宋体"/>
                      <w:b w:val="0"/>
                      <w:bCs w:val="0"/>
                      <w:color w:val="000000" w:themeColor="text1"/>
                      <w:spacing w:val="8"/>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5D95EBB9">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0718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31803655">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ascii="Times New Roman" w:hAnsi="Times New Roman" w:eastAsia="宋体"/>
                      <w:b w:val="0"/>
                      <w:bCs w:val="0"/>
                      <w:color w:val="000000" w:themeColor="text1"/>
                      <w:spacing w:val="10"/>
                      <w:sz w:val="21"/>
                      <w:szCs w:val="21"/>
                      <w14:textFill>
                        <w14:solidFill>
                          <w14:schemeClr w14:val="tx1"/>
                        </w14:solidFill>
                      </w14:textFill>
                    </w:rPr>
                    <w:t>〔</w:t>
                  </w:r>
                  <w:r>
                    <w:rPr>
                      <w:rFonts w:ascii="Times New Roman" w:hAnsi="Times New Roman" w:eastAsia="宋体" w:cs="Times New Roman"/>
                      <w:b w:val="0"/>
                      <w:bCs w:val="0"/>
                      <w:color w:val="000000" w:themeColor="text1"/>
                      <w:spacing w:val="10"/>
                      <w:sz w:val="21"/>
                      <w:szCs w:val="21"/>
                      <w14:textFill>
                        <w14:solidFill>
                          <w14:schemeClr w14:val="tx1"/>
                        </w14:solidFill>
                      </w14:textFill>
                    </w:rPr>
                    <w:t>A2.2-2</w:t>
                  </w:r>
                  <w:r>
                    <w:rPr>
                      <w:rFonts w:ascii="Times New Roman" w:hAnsi="Times New Roman" w:eastAsia="宋体"/>
                      <w:b w:val="0"/>
                      <w:bCs w:val="0"/>
                      <w:color w:val="000000" w:themeColor="text1"/>
                      <w:spacing w:val="10"/>
                      <w:sz w:val="21"/>
                      <w:szCs w:val="21"/>
                      <w14:textFill>
                        <w14:solidFill>
                          <w14:schemeClr w14:val="tx1"/>
                        </w14:solidFill>
                      </w14:textFill>
                    </w:rPr>
                    <w:t>〕实施重点行业氮氧化物等污染</w:t>
                  </w:r>
                  <w:r>
                    <w:rPr>
                      <w:rFonts w:ascii="Times New Roman" w:hAnsi="Times New Roman" w:eastAsia="宋体"/>
                      <w:b w:val="0"/>
                      <w:bCs w:val="0"/>
                      <w:color w:val="000000" w:themeColor="text1"/>
                      <w:spacing w:val="9"/>
                      <w:sz w:val="21"/>
                      <w:szCs w:val="21"/>
                      <w14:textFill>
                        <w14:solidFill>
                          <w14:schemeClr w14:val="tx1"/>
                        </w14:solidFill>
                      </w14:textFill>
                    </w:rPr>
                    <w:t>物深度</w:t>
                  </w:r>
                  <w:r>
                    <w:rPr>
                      <w:rFonts w:ascii="Times New Roman" w:hAnsi="Times New Roman" w:eastAsia="宋体"/>
                      <w:b w:val="0"/>
                      <w:bCs w:val="0"/>
                      <w:color w:val="000000" w:themeColor="text1"/>
                      <w:spacing w:val="-2"/>
                      <w:sz w:val="21"/>
                      <w:szCs w:val="21"/>
                      <w14:textFill>
                        <w14:solidFill>
                          <w14:schemeClr w14:val="tx1"/>
                        </w14:solidFill>
                      </w14:textFill>
                    </w:rPr>
                    <w:t>治理。持续推进钢铁、水泥、焦化行业超低排放改造。</w:t>
                  </w:r>
                  <w:r>
                    <w:rPr>
                      <w:rFonts w:ascii="Times New Roman" w:hAnsi="Times New Roman" w:eastAsia="宋体"/>
                      <w:b w:val="0"/>
                      <w:bCs w:val="0"/>
                      <w:color w:val="000000" w:themeColor="text1"/>
                      <w:spacing w:val="3"/>
                      <w:sz w:val="21"/>
                      <w:szCs w:val="21"/>
                      <w14:textFill>
                        <w14:solidFill>
                          <w14:schemeClr w14:val="tx1"/>
                        </w14:solidFill>
                      </w14:textFill>
                    </w:rPr>
                    <w:t>推进玻璃、陶瓷、铸造、铁合金、有色、煤化和石化等行业采取清洁生产、提标改造、深度治理等综合措施。加强自备燃煤机组污染治理设施运行管控，确保</w:t>
                  </w:r>
                  <w:r>
                    <w:rPr>
                      <w:rFonts w:ascii="Times New Roman" w:hAnsi="Times New Roman" w:eastAsia="宋体"/>
                      <w:b w:val="0"/>
                      <w:bCs w:val="0"/>
                      <w:color w:val="000000" w:themeColor="text1"/>
                      <w:spacing w:val="6"/>
                      <w:sz w:val="21"/>
                      <w:szCs w:val="21"/>
                      <w14:textFill>
                        <w14:solidFill>
                          <w14:schemeClr w14:val="tx1"/>
                        </w14:solidFill>
                      </w14:textFill>
                    </w:rPr>
                    <w:t>按照超低排放标准运行。针对铸造、铁合金、焦化、</w:t>
                  </w:r>
                  <w:r>
                    <w:rPr>
                      <w:rFonts w:ascii="Times New Roman" w:hAnsi="Times New Roman" w:eastAsia="宋体"/>
                      <w:b w:val="0"/>
                      <w:bCs w:val="0"/>
                      <w:color w:val="000000" w:themeColor="text1"/>
                      <w:spacing w:val="-2"/>
                      <w:sz w:val="21"/>
                      <w:szCs w:val="21"/>
                      <w14:textFill>
                        <w14:solidFill>
                          <w14:schemeClr w14:val="tx1"/>
                        </w14:solidFill>
                      </w14:textFill>
                    </w:rPr>
                    <w:t>水泥、砖瓦、石灰、耐火材料、金属冶炼以及煤化工</w:t>
                  </w:r>
                  <w:r>
                    <w:rPr>
                      <w:rFonts w:hint="eastAsia" w:ascii="Times New Roman" w:hAnsi="Times New Roman" w:eastAsia="宋体"/>
                      <w:b w:val="0"/>
                      <w:bCs w:val="0"/>
                      <w:color w:val="000000" w:themeColor="text1"/>
                      <w:spacing w:val="-2"/>
                      <w:sz w:val="21"/>
                      <w:szCs w:val="21"/>
                      <w:lang w:eastAsia="zh-CN"/>
                      <w14:textFill>
                        <w14:solidFill>
                          <w14:schemeClr w14:val="tx1"/>
                        </w14:solidFill>
                      </w14:textFill>
                    </w:rPr>
                    <w:t>、</w:t>
                  </w:r>
                  <w:r>
                    <w:rPr>
                      <w:rFonts w:ascii="Times New Roman" w:hAnsi="Times New Roman" w:eastAsia="宋体"/>
                      <w:b w:val="0"/>
                      <w:bCs w:val="0"/>
                      <w:color w:val="000000" w:themeColor="text1"/>
                      <w:spacing w:val="5"/>
                      <w:sz w:val="21"/>
                      <w:szCs w:val="21"/>
                      <w14:textFill>
                        <w14:solidFill>
                          <w14:schemeClr w14:val="tx1"/>
                        </w14:solidFill>
                      </w14:textFill>
                    </w:rPr>
                    <w:t>石油化工等行业，严格控制物料储存、输送及生产工艺过程无组织排放。重点涉气排放企业逐步取消烟气</w:t>
                  </w:r>
                  <w:r>
                    <w:rPr>
                      <w:rFonts w:ascii="Times New Roman" w:hAnsi="Times New Roman" w:eastAsia="宋体"/>
                      <w:b w:val="0"/>
                      <w:bCs w:val="0"/>
                      <w:color w:val="000000" w:themeColor="text1"/>
                      <w:spacing w:val="6"/>
                      <w:sz w:val="21"/>
                      <w:szCs w:val="21"/>
                      <w14:textFill>
                        <w14:solidFill>
                          <w14:schemeClr w14:val="tx1"/>
                        </w14:solidFill>
                      </w14:textFill>
                    </w:rPr>
                    <w:t>旁路，因安全生产无法取消的，安装在线监控系统</w:t>
                  </w:r>
                  <w:r>
                    <w:rPr>
                      <w:rFonts w:hint="eastAsia" w:ascii="Times New Roman" w:hAnsi="Times New Roman" w:eastAsia="宋体"/>
                      <w:b w:val="0"/>
                      <w:bCs w:val="0"/>
                      <w:color w:val="000000" w:themeColor="text1"/>
                      <w:spacing w:val="6"/>
                      <w:sz w:val="21"/>
                      <w:szCs w:val="21"/>
                      <w:lang w:eastAsia="zh-CN"/>
                      <w14:textFill>
                        <w14:solidFill>
                          <w14:schemeClr w14:val="tx1"/>
                        </w14:solidFill>
                      </w14:textFill>
                    </w:rPr>
                    <w:t>。</w:t>
                  </w:r>
                </w:p>
              </w:tc>
              <w:tc>
                <w:tcPr>
                  <w:tcW w:w="2390" w:type="dxa"/>
                  <w:shd w:val="clear" w:color="auto" w:fill="FFFFFF"/>
                  <w:vAlign w:val="center"/>
                </w:tcPr>
                <w:p w14:paraId="32F3FD1B">
                  <w:pPr>
                    <w:pStyle w:val="227"/>
                    <w:spacing w:before="65" w:line="334" w:lineRule="auto"/>
                    <w:ind w:left="0" w:leftChars="0" w:right="6" w:rightChars="0" w:firstLine="0" w:firstLineChars="0"/>
                    <w:jc w:val="center"/>
                    <w:rPr>
                      <w:rFonts w:hint="default"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本项目不</w:t>
                  </w:r>
                  <w:r>
                    <w:rPr>
                      <w:rFonts w:hint="eastAsia" w:ascii="Times New Roman" w:hAnsi="Times New Roman" w:eastAsia="宋体"/>
                      <w:b w:val="0"/>
                      <w:bCs w:val="0"/>
                      <w:color w:val="000000" w:themeColor="text1"/>
                      <w:spacing w:val="16"/>
                      <w:sz w:val="21"/>
                      <w:szCs w:val="21"/>
                      <w:lang w:val="en-US" w:eastAsia="zh-CN"/>
                      <w14:textFill>
                        <w14:solidFill>
                          <w14:schemeClr w14:val="tx1"/>
                        </w14:solidFill>
                      </w14:textFill>
                    </w:rPr>
                    <w:t>属于重点行业。</w:t>
                  </w:r>
                </w:p>
              </w:tc>
              <w:tc>
                <w:tcPr>
                  <w:tcW w:w="1299" w:type="dxa"/>
                  <w:tcBorders>
                    <w:right w:val="nil"/>
                  </w:tcBorders>
                  <w:shd w:val="clear" w:color="auto" w:fill="FFFFFF"/>
                  <w:vAlign w:val="center"/>
                </w:tcPr>
                <w:p w14:paraId="40986D80">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2A1A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911D601">
                  <w:pPr>
                    <w:pStyle w:val="227"/>
                    <w:spacing w:before="114" w:line="320"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A2.2-3</w:t>
                  </w:r>
                  <w:r>
                    <w:rPr>
                      <w:rFonts w:ascii="Times New Roman" w:hAnsi="Times New Roman" w:eastAsia="宋体"/>
                      <w:b w:val="0"/>
                      <w:bCs w:val="0"/>
                      <w:color w:val="000000" w:themeColor="text1"/>
                      <w:spacing w:val="12"/>
                      <w:sz w:val="21"/>
                      <w:szCs w:val="21"/>
                      <w14:textFill>
                        <w14:solidFill>
                          <w14:schemeClr w14:val="tx1"/>
                        </w14:solidFill>
                      </w14:textFill>
                    </w:rPr>
                    <w:t>〕强化重点区域大气污染联防联控，合</w:t>
                  </w:r>
                  <w:r>
                    <w:rPr>
                      <w:rFonts w:ascii="Times New Roman" w:hAnsi="Times New Roman" w:eastAsia="宋体"/>
                      <w:b w:val="0"/>
                      <w:bCs w:val="0"/>
                      <w:color w:val="000000" w:themeColor="text1"/>
                      <w:spacing w:val="16"/>
                      <w:sz w:val="21"/>
                      <w:szCs w:val="21"/>
                      <w14:textFill>
                        <w14:solidFill>
                          <w14:schemeClr w14:val="tx1"/>
                        </w14:solidFill>
                      </w14:textFill>
                    </w:rPr>
                    <w:t>理确定产业布局，推动区域内统一产业准入和排放</w:t>
                  </w:r>
                  <w:r>
                    <w:rPr>
                      <w:rFonts w:ascii="Times New Roman" w:hAnsi="Times New Roman" w:eastAsia="宋体"/>
                      <w:b w:val="0"/>
                      <w:bCs w:val="0"/>
                      <w:color w:val="000000" w:themeColor="text1"/>
                      <w:spacing w:val="6"/>
                      <w:sz w:val="21"/>
                      <w:szCs w:val="21"/>
                      <w14:textFill>
                        <w14:solidFill>
                          <w14:schemeClr w14:val="tx1"/>
                        </w14:solidFill>
                      </w14:textFill>
                    </w:rPr>
                    <w:t>标准。实施水泥行业错峰生产，推进散煤整治、挥发</w:t>
                  </w:r>
                  <w:r>
                    <w:rPr>
                      <w:rFonts w:ascii="Times New Roman" w:hAnsi="Times New Roman" w:eastAsia="宋体"/>
                      <w:b w:val="0"/>
                      <w:bCs w:val="0"/>
                      <w:color w:val="000000" w:themeColor="text1"/>
                      <w:spacing w:val="12"/>
                      <w:sz w:val="21"/>
                      <w:szCs w:val="21"/>
                      <w14:textFill>
                        <w14:solidFill>
                          <w14:schemeClr w14:val="tx1"/>
                        </w14:solidFill>
                      </w14:textFill>
                    </w:rPr>
                    <w:t>性有机污染物综合治理、钢铁、水泥、焦化和燃煤</w:t>
                  </w:r>
                  <w:r>
                    <w:rPr>
                      <w:rFonts w:ascii="Times New Roman" w:hAnsi="Times New Roman" w:eastAsia="宋体"/>
                      <w:b w:val="0"/>
                      <w:bCs w:val="0"/>
                      <w:color w:val="000000" w:themeColor="text1"/>
                      <w:spacing w:val="16"/>
                      <w:sz w:val="21"/>
                      <w:szCs w:val="21"/>
                      <w14:textFill>
                        <w14:solidFill>
                          <w14:schemeClr w14:val="tx1"/>
                        </w14:solidFill>
                      </w14:textFill>
                    </w:rPr>
                    <w:t>工业锅炉行业超低排放改造、燃气锅炉低氮燃烧改</w:t>
                  </w:r>
                  <w:r>
                    <w:rPr>
                      <w:rFonts w:ascii="Times New Roman" w:hAnsi="Times New Roman" w:eastAsia="宋体"/>
                      <w:b w:val="0"/>
                      <w:bCs w:val="0"/>
                      <w:color w:val="000000" w:themeColor="text1"/>
                      <w:spacing w:val="7"/>
                      <w:sz w:val="21"/>
                      <w:szCs w:val="21"/>
                      <w14:textFill>
                        <w14:solidFill>
                          <w14:schemeClr w14:val="tx1"/>
                        </w14:solidFill>
                      </w14:textFill>
                    </w:rPr>
                    <w:t>造、工业园区内轨道运输（大宗货物</w:t>
                  </w:r>
                  <w:r>
                    <w:rPr>
                      <w:rFonts w:ascii="Times New Roman" w:hAnsi="Times New Roman" w:eastAsia="宋体" w:cs="Times New Roman"/>
                      <w:b w:val="0"/>
                      <w:bCs w:val="0"/>
                      <w:color w:val="000000" w:themeColor="text1"/>
                      <w:spacing w:val="7"/>
                      <w:sz w:val="21"/>
                      <w:szCs w:val="21"/>
                      <w14:textFill>
                        <w14:solidFill>
                          <w14:schemeClr w14:val="tx1"/>
                        </w14:solidFill>
                      </w14:textFill>
                    </w:rPr>
                    <w:t>“</w:t>
                  </w:r>
                  <w:r>
                    <w:rPr>
                      <w:rFonts w:ascii="Times New Roman" w:hAnsi="Times New Roman" w:eastAsia="宋体"/>
                      <w:b w:val="0"/>
                      <w:bCs w:val="0"/>
                      <w:color w:val="000000" w:themeColor="text1"/>
                      <w:spacing w:val="7"/>
                      <w:sz w:val="21"/>
                      <w:szCs w:val="21"/>
                      <w14:textFill>
                        <w14:solidFill>
                          <w14:schemeClr w14:val="tx1"/>
                        </w14:solidFill>
                      </w14:textFill>
                    </w:rPr>
                    <w:t>公转铁</w:t>
                  </w:r>
                  <w:r>
                    <w:rPr>
                      <w:rFonts w:ascii="Times New Roman" w:hAnsi="Times New Roman" w:eastAsia="宋体" w:cs="Times New Roman"/>
                      <w:b w:val="0"/>
                      <w:bCs w:val="0"/>
                      <w:color w:val="000000" w:themeColor="text1"/>
                      <w:spacing w:val="7"/>
                      <w:sz w:val="21"/>
                      <w:szCs w:val="21"/>
                      <w14:textFill>
                        <w14:solidFill>
                          <w14:schemeClr w14:val="tx1"/>
                        </w14:solidFill>
                      </w14:textFill>
                    </w:rPr>
                    <w:t>”</w:t>
                  </w:r>
                  <w:r>
                    <w:rPr>
                      <w:rFonts w:ascii="Times New Roman" w:hAnsi="Times New Roman" w:eastAsia="宋体"/>
                      <w:b w:val="0"/>
                      <w:bCs w:val="0"/>
                      <w:color w:val="000000" w:themeColor="text1"/>
                      <w:spacing w:val="7"/>
                      <w:sz w:val="21"/>
                      <w:szCs w:val="21"/>
                      <w14:textFill>
                        <w14:solidFill>
                          <w14:schemeClr w14:val="tx1"/>
                        </w14:solidFill>
                      </w14:textFill>
                    </w:rPr>
                    <w:t>）、柴</w:t>
                  </w:r>
                  <w:r>
                    <w:rPr>
                      <w:rFonts w:ascii="Times New Roman" w:hAnsi="Times New Roman" w:eastAsia="宋体"/>
                      <w:b w:val="0"/>
                      <w:bCs w:val="0"/>
                      <w:color w:val="000000" w:themeColor="text1"/>
                      <w:spacing w:val="6"/>
                      <w:sz w:val="21"/>
                      <w:szCs w:val="21"/>
                      <w14:textFill>
                        <w14:solidFill>
                          <w14:schemeClr w14:val="tx1"/>
                        </w14:solidFill>
                      </w14:textFill>
                    </w:rPr>
                    <w:t>油货车治理、锅炉炉窑综合治理等工程项目。全面推行绿色施工，持续推动城市建成区重污染企业搬迁或</w:t>
                  </w:r>
                  <w:r>
                    <w:rPr>
                      <w:rFonts w:ascii="Times New Roman" w:hAnsi="Times New Roman" w:eastAsia="宋体"/>
                      <w:b w:val="0"/>
                      <w:bCs w:val="0"/>
                      <w:color w:val="000000" w:themeColor="text1"/>
                      <w:spacing w:val="5"/>
                      <w:sz w:val="21"/>
                      <w:szCs w:val="21"/>
                      <w14:textFill>
                        <w14:solidFill>
                          <w14:schemeClr w14:val="tx1"/>
                        </w14:solidFill>
                      </w14:textFill>
                    </w:rPr>
                    <w:t>关闭退出。</w:t>
                  </w:r>
                </w:p>
              </w:tc>
              <w:tc>
                <w:tcPr>
                  <w:tcW w:w="2390" w:type="dxa"/>
                  <w:shd w:val="clear" w:color="auto" w:fill="FFFFFF"/>
                  <w:vAlign w:val="center"/>
                </w:tcPr>
                <w:p w14:paraId="60EC5F68">
                  <w:pPr>
                    <w:pStyle w:val="227"/>
                    <w:spacing w:before="65" w:line="334"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本项目严格执行重点区域大气污染联防联控</w:t>
                  </w:r>
                  <w:r>
                    <w:rPr>
                      <w:rFonts w:ascii="Times New Roman" w:hAnsi="Times New Roman" w:eastAsia="宋体"/>
                      <w:b w:val="0"/>
                      <w:bCs w:val="0"/>
                      <w:color w:val="000000" w:themeColor="text1"/>
                      <w:spacing w:val="6"/>
                      <w:sz w:val="21"/>
                      <w:szCs w:val="21"/>
                      <w14:textFill>
                        <w14:solidFill>
                          <w14:schemeClr w14:val="tx1"/>
                        </w14:solidFill>
                      </w14:textFill>
                    </w:rPr>
                    <w:t>要求</w:t>
                  </w:r>
                  <w:r>
                    <w:rPr>
                      <w:rFonts w:hint="eastAsia" w:ascii="Times New Roman" w:hAnsi="Times New Roman" w:eastAsia="宋体"/>
                      <w:b w:val="0"/>
                      <w:bCs w:val="0"/>
                      <w:color w:val="000000" w:themeColor="text1"/>
                      <w:spacing w:val="6"/>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752D9AF0">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53D8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0FE3C6A">
                  <w:pPr>
                    <w:pStyle w:val="227"/>
                    <w:spacing w:before="109" w:line="297"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A2.2-4</w:t>
                  </w:r>
                  <w:r>
                    <w:rPr>
                      <w:rFonts w:ascii="Times New Roman" w:hAnsi="Times New Roman" w:eastAsia="宋体"/>
                      <w:b w:val="0"/>
                      <w:bCs w:val="0"/>
                      <w:color w:val="000000" w:themeColor="text1"/>
                      <w:spacing w:val="12"/>
                      <w:sz w:val="21"/>
                      <w:szCs w:val="21"/>
                      <w14:textFill>
                        <w14:solidFill>
                          <w14:schemeClr w14:val="tx1"/>
                        </w14:solidFill>
                      </w14:textFill>
                    </w:rPr>
                    <w:t>〕强化用水定额管理。推进地下水超采</w:t>
                  </w:r>
                  <w:r>
                    <w:rPr>
                      <w:rFonts w:ascii="Times New Roman" w:hAnsi="Times New Roman" w:eastAsia="宋体"/>
                      <w:b w:val="0"/>
                      <w:bCs w:val="0"/>
                      <w:color w:val="000000" w:themeColor="text1"/>
                      <w:spacing w:val="6"/>
                      <w:sz w:val="21"/>
                      <w:szCs w:val="21"/>
                      <w14:textFill>
                        <w14:solidFill>
                          <w14:schemeClr w14:val="tx1"/>
                        </w14:solidFill>
                      </w14:textFill>
                    </w:rPr>
                    <w:t>综合治理。开展河湖生态流量（水量）确定工作，强</w:t>
                  </w:r>
                  <w:r>
                    <w:rPr>
                      <w:rFonts w:ascii="Times New Roman" w:hAnsi="Times New Roman" w:eastAsia="宋体"/>
                      <w:b w:val="0"/>
                      <w:bCs w:val="0"/>
                      <w:color w:val="000000" w:themeColor="text1"/>
                      <w:spacing w:val="7"/>
                      <w:sz w:val="21"/>
                      <w:szCs w:val="21"/>
                      <w14:textFill>
                        <w14:solidFill>
                          <w14:schemeClr w14:val="tx1"/>
                        </w14:solidFill>
                      </w14:textFill>
                    </w:rPr>
                    <w:t>化生态用水保障。</w:t>
                  </w:r>
                </w:p>
              </w:tc>
              <w:tc>
                <w:tcPr>
                  <w:tcW w:w="2390" w:type="dxa"/>
                  <w:shd w:val="clear" w:color="auto" w:fill="FFFFFF"/>
                  <w:vAlign w:val="center"/>
                </w:tcPr>
                <w:p w14:paraId="7779BE49">
                  <w:pPr>
                    <w:pStyle w:val="227"/>
                    <w:spacing w:before="291" w:line="333"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本项目不涉及地下水</w:t>
                  </w:r>
                  <w:r>
                    <w:rPr>
                      <w:rFonts w:ascii="Times New Roman" w:hAnsi="Times New Roman" w:eastAsia="宋体"/>
                      <w:b w:val="0"/>
                      <w:bCs w:val="0"/>
                      <w:color w:val="000000" w:themeColor="text1"/>
                      <w:spacing w:val="6"/>
                      <w:sz w:val="21"/>
                      <w:szCs w:val="21"/>
                      <w14:textFill>
                        <w14:solidFill>
                          <w14:schemeClr w14:val="tx1"/>
                        </w14:solidFill>
                      </w14:textFill>
                    </w:rPr>
                    <w:t>开采</w:t>
                  </w:r>
                  <w:r>
                    <w:rPr>
                      <w:rFonts w:hint="eastAsia" w:ascii="Times New Roman" w:hAnsi="Times New Roman" w:eastAsia="宋体"/>
                      <w:b w:val="0"/>
                      <w:bCs w:val="0"/>
                      <w:color w:val="000000" w:themeColor="text1"/>
                      <w:spacing w:val="6"/>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739310C0">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33EE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E55AB63">
                  <w:pPr>
                    <w:pStyle w:val="227"/>
                    <w:spacing w:before="113" w:line="314"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A2.2-5</w:t>
                  </w:r>
                  <w:r>
                    <w:rPr>
                      <w:rFonts w:ascii="Times New Roman" w:hAnsi="Times New Roman" w:eastAsia="宋体"/>
                      <w:b w:val="0"/>
                      <w:bCs w:val="0"/>
                      <w:color w:val="000000" w:themeColor="text1"/>
                      <w:spacing w:val="12"/>
                      <w:sz w:val="21"/>
                      <w:szCs w:val="21"/>
                      <w14:textFill>
                        <w14:solidFill>
                          <w14:schemeClr w14:val="tx1"/>
                        </w14:solidFill>
                      </w14:textFill>
                    </w:rPr>
                    <w:t>〕持续推进伊犁河、额尔齐斯河、额敏</w:t>
                  </w:r>
                  <w:r>
                    <w:rPr>
                      <w:rFonts w:ascii="Times New Roman" w:hAnsi="Times New Roman" w:eastAsia="宋体"/>
                      <w:b w:val="0"/>
                      <w:bCs w:val="0"/>
                      <w:color w:val="000000" w:themeColor="text1"/>
                      <w:spacing w:val="-2"/>
                      <w:sz w:val="21"/>
                      <w:szCs w:val="21"/>
                      <w14:textFill>
                        <w14:solidFill>
                          <w14:schemeClr w14:val="tx1"/>
                        </w14:solidFill>
                      </w14:textFill>
                    </w:rPr>
                    <w:t>河、玛纳斯河、乌伦古湖、博斯腾湖等流域生态治理，</w:t>
                  </w:r>
                  <w:r>
                    <w:rPr>
                      <w:rFonts w:ascii="Times New Roman" w:hAnsi="Times New Roman" w:eastAsia="宋体"/>
                      <w:b w:val="0"/>
                      <w:bCs w:val="0"/>
                      <w:color w:val="000000" w:themeColor="text1"/>
                      <w:spacing w:val="6"/>
                      <w:sz w:val="21"/>
                      <w:szCs w:val="21"/>
                      <w14:textFill>
                        <w14:solidFill>
                          <w14:schemeClr w14:val="tx1"/>
                        </w14:solidFill>
                      </w14:textFill>
                    </w:rPr>
                    <w:t>加强生态修复。推动重点行业、重点企业绿色发展，</w:t>
                  </w:r>
                  <w:r>
                    <w:rPr>
                      <w:rFonts w:ascii="Times New Roman" w:hAnsi="Times New Roman" w:eastAsia="宋体"/>
                      <w:b w:val="0"/>
                      <w:bCs w:val="0"/>
                      <w:color w:val="000000" w:themeColor="text1"/>
                      <w:spacing w:val="4"/>
                      <w:sz w:val="21"/>
                      <w:szCs w:val="21"/>
                      <w14:textFill>
                        <w14:solidFill>
                          <w14:schemeClr w14:val="tx1"/>
                        </w14:solidFill>
                      </w14:textFill>
                    </w:rPr>
                    <w:t>严格落实水污染物排放标准。加强农副食品加工、化工、印染、棉浆粕、粘胶纤维等企业综合治理和清洁</w:t>
                  </w:r>
                  <w:r>
                    <w:rPr>
                      <w:rFonts w:ascii="Times New Roman" w:hAnsi="Times New Roman" w:eastAsia="宋体"/>
                      <w:b w:val="0"/>
                      <w:bCs w:val="0"/>
                      <w:color w:val="000000" w:themeColor="text1"/>
                      <w:spacing w:val="2"/>
                      <w:sz w:val="21"/>
                      <w:szCs w:val="21"/>
                      <w14:textFill>
                        <w14:solidFill>
                          <w14:schemeClr w14:val="tx1"/>
                        </w14:solidFill>
                      </w14:textFill>
                    </w:rPr>
                    <w:t>化改造。</w:t>
                  </w:r>
                </w:p>
              </w:tc>
              <w:tc>
                <w:tcPr>
                  <w:tcW w:w="2390" w:type="dxa"/>
                  <w:shd w:val="clear" w:color="auto" w:fill="FFFFFF"/>
                  <w:vAlign w:val="center"/>
                </w:tcPr>
                <w:p w14:paraId="38FA8302">
                  <w:pPr>
                    <w:pStyle w:val="227"/>
                    <w:spacing w:before="65" w:line="334"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7"/>
                      <w:sz w:val="21"/>
                      <w:szCs w:val="21"/>
                      <w14:textFill>
                        <w14:solidFill>
                          <w14:schemeClr w14:val="tx1"/>
                        </w14:solidFill>
                      </w14:textFill>
                    </w:rPr>
                    <w:t>本项目</w:t>
                  </w:r>
                  <w:r>
                    <w:rPr>
                      <w:rFonts w:hint="eastAsia" w:ascii="Times New Roman" w:hAnsi="Times New Roman" w:eastAsia="宋体"/>
                      <w:b w:val="0"/>
                      <w:bCs w:val="0"/>
                      <w:color w:val="000000" w:themeColor="text1"/>
                      <w:spacing w:val="17"/>
                      <w:sz w:val="21"/>
                      <w:szCs w:val="21"/>
                      <w:lang w:val="en-US" w:eastAsia="zh-CN"/>
                      <w14:textFill>
                        <w14:solidFill>
                          <w14:schemeClr w14:val="tx1"/>
                        </w14:solidFill>
                      </w14:textFill>
                    </w:rPr>
                    <w:t>生产废水循环使用不外排，</w:t>
                  </w:r>
                  <w:r>
                    <w:rPr>
                      <w:rFonts w:hint="default" w:ascii="Times New Roman" w:hAnsi="Times New Roman" w:eastAsia="宋体"/>
                      <w:b w:val="0"/>
                      <w:bCs w:val="0"/>
                      <w:color w:val="000000" w:themeColor="text1"/>
                      <w:spacing w:val="17"/>
                      <w:sz w:val="21"/>
                      <w:szCs w:val="21"/>
                      <w14:textFill>
                        <w14:solidFill>
                          <w14:schemeClr w14:val="tx1"/>
                        </w14:solidFill>
                      </w14:textFill>
                    </w:rPr>
                    <w:t>生活污水</w:t>
                  </w:r>
                  <w:r>
                    <w:rPr>
                      <w:rFonts w:hint="default" w:ascii="Times New Roman" w:hAnsi="Times New Roman" w:eastAsia="宋体"/>
                      <w:b w:val="0"/>
                      <w:bCs w:val="0"/>
                      <w:color w:val="000000" w:themeColor="text1"/>
                      <w:spacing w:val="17"/>
                      <w:sz w:val="21"/>
                      <w:szCs w:val="21"/>
                      <w:lang w:eastAsia="zh-CN"/>
                      <w14:textFill>
                        <w14:solidFill>
                          <w14:schemeClr w14:val="tx1"/>
                        </w14:solidFill>
                      </w14:textFill>
                    </w:rPr>
                    <w:t>经</w:t>
                  </w:r>
                  <w:r>
                    <w:rPr>
                      <w:rFonts w:hint="eastAsia" w:ascii="Times New Roman" w:hAnsi="Times New Roman" w:eastAsia="宋体"/>
                      <w:b w:val="0"/>
                      <w:bCs w:val="0"/>
                      <w:color w:val="000000" w:themeColor="text1"/>
                      <w:spacing w:val="17"/>
                      <w:sz w:val="21"/>
                      <w:szCs w:val="21"/>
                      <w:lang w:eastAsia="zh-CN"/>
                      <w14:textFill>
                        <w14:solidFill>
                          <w14:schemeClr w14:val="tx1"/>
                        </w14:solidFill>
                      </w14:textFill>
                    </w:rPr>
                    <w:t>化粪池</w:t>
                  </w:r>
                  <w:r>
                    <w:rPr>
                      <w:rFonts w:hint="eastAsia" w:ascii="Times New Roman" w:hAnsi="Times New Roman" w:eastAsia="宋体"/>
                      <w:b w:val="0"/>
                      <w:bCs w:val="0"/>
                      <w:color w:val="000000" w:themeColor="text1"/>
                      <w:spacing w:val="17"/>
                      <w:sz w:val="21"/>
                      <w:szCs w:val="21"/>
                      <w:lang w:val="en-US" w:eastAsia="zh-CN"/>
                      <w14:textFill>
                        <w14:solidFill>
                          <w14:schemeClr w14:val="tx1"/>
                        </w14:solidFill>
                      </w14:textFill>
                    </w:rPr>
                    <w:t>收集</w:t>
                  </w:r>
                  <w:r>
                    <w:rPr>
                      <w:rFonts w:hint="eastAsia" w:ascii="Times New Roman" w:hAnsi="Times New Roman" w:eastAsia="宋体"/>
                      <w:b w:val="0"/>
                      <w:bCs w:val="0"/>
                      <w:color w:val="000000" w:themeColor="text1"/>
                      <w:spacing w:val="17"/>
                      <w:sz w:val="21"/>
                      <w:szCs w:val="21"/>
                      <w:lang w:eastAsia="zh-CN"/>
                      <w14:textFill>
                        <w14:solidFill>
                          <w14:schemeClr w14:val="tx1"/>
                        </w14:solidFill>
                      </w14:textFill>
                    </w:rPr>
                    <w:t>由吸污车运往</w:t>
                  </w:r>
                  <w:r>
                    <w:rPr>
                      <w:rFonts w:hint="default" w:ascii="Times New Roman" w:hAnsi="Times New Roman" w:eastAsia="宋体"/>
                      <w:b w:val="0"/>
                      <w:bCs w:val="0"/>
                      <w:color w:val="000000" w:themeColor="text1"/>
                      <w:spacing w:val="17"/>
                      <w:sz w:val="21"/>
                      <w:szCs w:val="21"/>
                      <w:lang w:eastAsia="zh-CN"/>
                      <w14:textFill>
                        <w14:solidFill>
                          <w14:schemeClr w14:val="tx1"/>
                        </w14:solidFill>
                      </w14:textFill>
                    </w:rPr>
                    <w:t>昌吉市第二污水处理厂</w:t>
                  </w:r>
                  <w:r>
                    <w:rPr>
                      <w:rFonts w:hint="eastAsia" w:ascii="Times New Roman" w:hAnsi="Times New Roman" w:eastAsia="宋体"/>
                      <w:b w:val="0"/>
                      <w:bCs w:val="0"/>
                      <w:color w:val="000000" w:themeColor="text1"/>
                      <w:spacing w:val="17"/>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7F708379">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4C94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122A0765">
                  <w:pPr>
                    <w:pStyle w:val="227"/>
                    <w:spacing w:before="115" w:line="322"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9"/>
                      <w:sz w:val="21"/>
                      <w:szCs w:val="21"/>
                      <w14:textFill>
                        <w14:solidFill>
                          <w14:schemeClr w14:val="tx1"/>
                        </w14:solidFill>
                      </w14:textFill>
                    </w:rPr>
                    <w:t>〔</w:t>
                  </w:r>
                  <w:r>
                    <w:rPr>
                      <w:rFonts w:ascii="Times New Roman" w:hAnsi="Times New Roman" w:eastAsia="宋体" w:cs="Times New Roman"/>
                      <w:b w:val="0"/>
                      <w:bCs w:val="0"/>
                      <w:color w:val="000000" w:themeColor="text1"/>
                      <w:spacing w:val="9"/>
                      <w:sz w:val="21"/>
                      <w:szCs w:val="21"/>
                      <w14:textFill>
                        <w14:solidFill>
                          <w14:schemeClr w14:val="tx1"/>
                        </w14:solidFill>
                      </w14:textFill>
                    </w:rPr>
                    <w:t>A2.2-6</w:t>
                  </w:r>
                  <w:r>
                    <w:rPr>
                      <w:rFonts w:ascii="Times New Roman" w:hAnsi="Times New Roman" w:eastAsia="宋体"/>
                      <w:b w:val="0"/>
                      <w:bCs w:val="0"/>
                      <w:color w:val="000000" w:themeColor="text1"/>
                      <w:spacing w:val="9"/>
                      <w:sz w:val="21"/>
                      <w:szCs w:val="21"/>
                      <w14:textFill>
                        <w14:solidFill>
                          <w14:schemeClr w14:val="tx1"/>
                        </w14:solidFill>
                      </w14:textFill>
                    </w:rPr>
                    <w:t>〕推进地表水与地下水协同防治。以傍</w:t>
                  </w:r>
                  <w:r>
                    <w:rPr>
                      <w:rFonts w:ascii="Times New Roman" w:hAnsi="Times New Roman" w:eastAsia="宋体"/>
                      <w:b w:val="0"/>
                      <w:bCs w:val="0"/>
                      <w:color w:val="000000" w:themeColor="text1"/>
                      <w:spacing w:val="4"/>
                      <w:sz w:val="21"/>
                      <w:szCs w:val="21"/>
                      <w14:textFill>
                        <w14:solidFill>
                          <w14:schemeClr w14:val="tx1"/>
                        </w14:solidFill>
                      </w14:textFill>
                    </w:rPr>
                    <w:t>河型地下水饮用水水源为重点，防范受污染</w:t>
                  </w:r>
                  <w:r>
                    <w:rPr>
                      <w:rFonts w:ascii="Times New Roman" w:hAnsi="Times New Roman" w:eastAsia="宋体"/>
                      <w:b w:val="0"/>
                      <w:bCs w:val="0"/>
                      <w:color w:val="000000" w:themeColor="text1"/>
                      <w:spacing w:val="3"/>
                      <w:sz w:val="21"/>
                      <w:szCs w:val="21"/>
                      <w14:textFill>
                        <w14:solidFill>
                          <w14:schemeClr w14:val="tx1"/>
                        </w14:solidFill>
                      </w14:textFill>
                    </w:rPr>
                    <w:t>河段侧渗</w:t>
                  </w:r>
                  <w:r>
                    <w:rPr>
                      <w:rFonts w:ascii="Times New Roman" w:hAnsi="Times New Roman" w:eastAsia="宋体"/>
                      <w:b w:val="0"/>
                      <w:bCs w:val="0"/>
                      <w:color w:val="000000" w:themeColor="text1"/>
                      <w:spacing w:val="4"/>
                      <w:sz w:val="21"/>
                      <w:szCs w:val="21"/>
                      <w14:textFill>
                        <w14:solidFill>
                          <w14:schemeClr w14:val="tx1"/>
                        </w14:solidFill>
                      </w14:textFill>
                    </w:rPr>
                    <w:t>和垂直补给对地下水污染。加强化学品生产</w:t>
                  </w:r>
                  <w:r>
                    <w:rPr>
                      <w:rFonts w:ascii="Times New Roman" w:hAnsi="Times New Roman" w:eastAsia="宋体"/>
                      <w:b w:val="0"/>
                      <w:bCs w:val="0"/>
                      <w:color w:val="000000" w:themeColor="text1"/>
                      <w:spacing w:val="3"/>
                      <w:sz w:val="21"/>
                      <w:szCs w:val="21"/>
                      <w14:textFill>
                        <w14:solidFill>
                          <w14:schemeClr w14:val="tx1"/>
                        </w14:solidFill>
                      </w14:textFill>
                    </w:rPr>
                    <w:t>企业、工</w:t>
                  </w:r>
                  <w:r>
                    <w:rPr>
                      <w:rFonts w:ascii="Times New Roman" w:hAnsi="Times New Roman" w:eastAsia="宋体"/>
                      <w:b w:val="0"/>
                      <w:bCs w:val="0"/>
                      <w:color w:val="000000" w:themeColor="text1"/>
                      <w:spacing w:val="9"/>
                      <w:sz w:val="21"/>
                      <w:szCs w:val="21"/>
                      <w14:textFill>
                        <w14:solidFill>
                          <w14:schemeClr w14:val="tx1"/>
                        </w14:solidFill>
                      </w14:textFill>
                    </w:rPr>
                    <w:t>业聚集区、矿山开采区等污染源的地表、地下协同</w:t>
                  </w:r>
                  <w:r>
                    <w:rPr>
                      <w:rFonts w:ascii="Times New Roman" w:hAnsi="Times New Roman" w:eastAsia="宋体"/>
                      <w:b w:val="0"/>
                      <w:bCs w:val="0"/>
                      <w:color w:val="000000" w:themeColor="text1"/>
                      <w:spacing w:val="3"/>
                      <w:sz w:val="21"/>
                      <w:szCs w:val="21"/>
                      <w14:textFill>
                        <w14:solidFill>
                          <w14:schemeClr w14:val="tx1"/>
                        </w14:solidFill>
                      </w14:textFill>
                    </w:rPr>
                    <w:t>防治与环境风险管控。加强工业污染防治。推动重点</w:t>
                  </w:r>
                  <w:r>
                    <w:rPr>
                      <w:rFonts w:ascii="Times New Roman" w:hAnsi="Times New Roman" w:eastAsia="宋体"/>
                      <w:b w:val="0"/>
                      <w:bCs w:val="0"/>
                      <w:color w:val="000000" w:themeColor="text1"/>
                      <w:spacing w:val="4"/>
                      <w:sz w:val="21"/>
                      <w:szCs w:val="21"/>
                      <w14:textFill>
                        <w14:solidFill>
                          <w14:schemeClr w14:val="tx1"/>
                        </w14:solidFill>
                      </w14:textFill>
                    </w:rPr>
                    <w:t>行业、重点企业绿色发展，严格落实水污染</w:t>
                  </w:r>
                  <w:r>
                    <w:rPr>
                      <w:rFonts w:ascii="Times New Roman" w:hAnsi="Times New Roman" w:eastAsia="宋体"/>
                      <w:b w:val="0"/>
                      <w:bCs w:val="0"/>
                      <w:color w:val="000000" w:themeColor="text1"/>
                      <w:spacing w:val="3"/>
                      <w:sz w:val="21"/>
                      <w:szCs w:val="21"/>
                      <w14:textFill>
                        <w14:solidFill>
                          <w14:schemeClr w14:val="tx1"/>
                        </w14:solidFill>
                      </w14:textFill>
                    </w:rPr>
                    <w:t>物排放标</w:t>
                  </w:r>
                  <w:r>
                    <w:rPr>
                      <w:rFonts w:ascii="Times New Roman" w:hAnsi="Times New Roman" w:eastAsia="宋体"/>
                      <w:b w:val="0"/>
                      <w:bCs w:val="0"/>
                      <w:color w:val="000000" w:themeColor="text1"/>
                      <w:spacing w:val="-2"/>
                      <w:sz w:val="21"/>
                      <w:szCs w:val="21"/>
                      <w14:textFill>
                        <w14:solidFill>
                          <w14:schemeClr w14:val="tx1"/>
                        </w14:solidFill>
                      </w14:textFill>
                    </w:rPr>
                    <w:t>准和排污许可制度。加强农副食品加工、化工、印染、</w:t>
                  </w:r>
                  <w:r>
                    <w:rPr>
                      <w:rFonts w:ascii="Times New Roman" w:hAnsi="Times New Roman" w:eastAsia="宋体"/>
                      <w:b w:val="0"/>
                      <w:bCs w:val="0"/>
                      <w:color w:val="000000" w:themeColor="text1"/>
                      <w:spacing w:val="9"/>
                      <w:sz w:val="21"/>
                      <w:szCs w:val="21"/>
                      <w14:textFill>
                        <w14:solidFill>
                          <w14:schemeClr w14:val="tx1"/>
                        </w14:solidFill>
                      </w14:textFill>
                    </w:rPr>
                    <w:t>棉浆粕、粘胶纤维、制糖等企业综合治理和清洁化</w:t>
                  </w:r>
                  <w:r>
                    <w:rPr>
                      <w:rFonts w:ascii="Times New Roman" w:hAnsi="Times New Roman" w:eastAsia="宋体"/>
                      <w:b w:val="0"/>
                      <w:bCs w:val="0"/>
                      <w:color w:val="000000" w:themeColor="text1"/>
                      <w:spacing w:val="4"/>
                      <w:sz w:val="21"/>
                      <w:szCs w:val="21"/>
                      <w14:textFill>
                        <w14:solidFill>
                          <w14:schemeClr w14:val="tx1"/>
                        </w14:solidFill>
                      </w14:textFill>
                    </w:rPr>
                    <w:t>改造。支持企业积极实施节水技术改造，加</w:t>
                  </w:r>
                  <w:r>
                    <w:rPr>
                      <w:rFonts w:ascii="Times New Roman" w:hAnsi="Times New Roman" w:eastAsia="宋体"/>
                      <w:b w:val="0"/>
                      <w:bCs w:val="0"/>
                      <w:color w:val="000000" w:themeColor="text1"/>
                      <w:spacing w:val="3"/>
                      <w:sz w:val="21"/>
                      <w:szCs w:val="21"/>
                      <w14:textFill>
                        <w14:solidFill>
                          <w14:schemeClr w14:val="tx1"/>
                        </w14:solidFill>
                      </w14:textFill>
                    </w:rPr>
                    <w:t>强工业园</w:t>
                  </w:r>
                  <w:r>
                    <w:rPr>
                      <w:rFonts w:ascii="Times New Roman" w:hAnsi="Times New Roman" w:eastAsia="宋体"/>
                      <w:b w:val="0"/>
                      <w:bCs w:val="0"/>
                      <w:color w:val="000000" w:themeColor="text1"/>
                      <w:spacing w:val="4"/>
                      <w:sz w:val="21"/>
                      <w:szCs w:val="21"/>
                      <w14:textFill>
                        <w14:solidFill>
                          <w14:schemeClr w14:val="tx1"/>
                        </w14:solidFill>
                      </w14:textFill>
                    </w:rPr>
                    <w:t>区污水集中处理设施运行管理，加快再生水</w:t>
                  </w:r>
                  <w:r>
                    <w:rPr>
                      <w:rFonts w:ascii="Times New Roman" w:hAnsi="Times New Roman" w:eastAsia="宋体"/>
                      <w:b w:val="0"/>
                      <w:bCs w:val="0"/>
                      <w:color w:val="000000" w:themeColor="text1"/>
                      <w:spacing w:val="3"/>
                      <w:sz w:val="21"/>
                      <w:szCs w:val="21"/>
                      <w14:textFill>
                        <w14:solidFill>
                          <w14:schemeClr w14:val="tx1"/>
                        </w14:solidFill>
                      </w14:textFill>
                    </w:rPr>
                    <w:t>回用设施</w:t>
                  </w:r>
                  <w:r>
                    <w:rPr>
                      <w:rFonts w:ascii="Times New Roman" w:hAnsi="Times New Roman" w:eastAsia="宋体"/>
                      <w:b w:val="0"/>
                      <w:bCs w:val="0"/>
                      <w:color w:val="000000" w:themeColor="text1"/>
                      <w:spacing w:val="6"/>
                      <w:sz w:val="21"/>
                      <w:szCs w:val="21"/>
                      <w14:textFill>
                        <w14:solidFill>
                          <w14:schemeClr w14:val="tx1"/>
                        </w14:solidFill>
                      </w14:textFill>
                    </w:rPr>
                    <w:t>建设，提升园区水资源循环利用水平。</w:t>
                  </w:r>
                </w:p>
              </w:tc>
              <w:tc>
                <w:tcPr>
                  <w:tcW w:w="2390" w:type="dxa"/>
                  <w:shd w:val="clear" w:color="auto" w:fill="FFFFFF"/>
                  <w:vAlign w:val="center"/>
                </w:tcPr>
                <w:p w14:paraId="7414245D">
                  <w:pPr>
                    <w:pStyle w:val="227"/>
                    <w:spacing w:before="65" w:line="334"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7"/>
                      <w:sz w:val="21"/>
                      <w:szCs w:val="21"/>
                      <w14:textFill>
                        <w14:solidFill>
                          <w14:schemeClr w14:val="tx1"/>
                        </w14:solidFill>
                      </w14:textFill>
                    </w:rPr>
                    <w:t>本项目</w:t>
                  </w:r>
                  <w:r>
                    <w:rPr>
                      <w:rFonts w:hint="eastAsia" w:ascii="Times New Roman" w:hAnsi="Times New Roman" w:eastAsia="宋体"/>
                      <w:b w:val="0"/>
                      <w:bCs w:val="0"/>
                      <w:color w:val="000000" w:themeColor="text1"/>
                      <w:spacing w:val="17"/>
                      <w:sz w:val="21"/>
                      <w:szCs w:val="21"/>
                      <w:lang w:val="en-US" w:eastAsia="zh-CN"/>
                      <w14:textFill>
                        <w14:solidFill>
                          <w14:schemeClr w14:val="tx1"/>
                        </w14:solidFill>
                      </w14:textFill>
                    </w:rPr>
                    <w:t>生产废水循环使用不外排，</w:t>
                  </w:r>
                  <w:r>
                    <w:rPr>
                      <w:rFonts w:hint="default" w:ascii="Times New Roman" w:hAnsi="Times New Roman" w:eastAsia="宋体"/>
                      <w:b w:val="0"/>
                      <w:bCs w:val="0"/>
                      <w:color w:val="000000" w:themeColor="text1"/>
                      <w:spacing w:val="17"/>
                      <w:sz w:val="21"/>
                      <w:szCs w:val="21"/>
                      <w14:textFill>
                        <w14:solidFill>
                          <w14:schemeClr w14:val="tx1"/>
                        </w14:solidFill>
                      </w14:textFill>
                    </w:rPr>
                    <w:t>生活污水</w:t>
                  </w:r>
                  <w:r>
                    <w:rPr>
                      <w:rFonts w:hint="default" w:ascii="Times New Roman" w:hAnsi="Times New Roman" w:eastAsia="宋体"/>
                      <w:b w:val="0"/>
                      <w:bCs w:val="0"/>
                      <w:color w:val="000000" w:themeColor="text1"/>
                      <w:spacing w:val="17"/>
                      <w:sz w:val="21"/>
                      <w:szCs w:val="21"/>
                      <w:lang w:eastAsia="zh-CN"/>
                      <w14:textFill>
                        <w14:solidFill>
                          <w14:schemeClr w14:val="tx1"/>
                        </w14:solidFill>
                      </w14:textFill>
                    </w:rPr>
                    <w:t>经</w:t>
                  </w:r>
                  <w:r>
                    <w:rPr>
                      <w:rFonts w:hint="eastAsia" w:ascii="Times New Roman" w:hAnsi="Times New Roman" w:eastAsia="宋体"/>
                      <w:b w:val="0"/>
                      <w:bCs w:val="0"/>
                      <w:color w:val="000000" w:themeColor="text1"/>
                      <w:spacing w:val="17"/>
                      <w:sz w:val="21"/>
                      <w:szCs w:val="21"/>
                      <w:lang w:eastAsia="zh-CN"/>
                      <w14:textFill>
                        <w14:solidFill>
                          <w14:schemeClr w14:val="tx1"/>
                        </w14:solidFill>
                      </w14:textFill>
                    </w:rPr>
                    <w:t>化粪池</w:t>
                  </w:r>
                  <w:r>
                    <w:rPr>
                      <w:rFonts w:hint="eastAsia" w:ascii="Times New Roman" w:hAnsi="Times New Roman" w:eastAsia="宋体"/>
                      <w:b w:val="0"/>
                      <w:bCs w:val="0"/>
                      <w:color w:val="000000" w:themeColor="text1"/>
                      <w:spacing w:val="17"/>
                      <w:sz w:val="21"/>
                      <w:szCs w:val="21"/>
                      <w:lang w:val="en-US" w:eastAsia="zh-CN"/>
                      <w14:textFill>
                        <w14:solidFill>
                          <w14:schemeClr w14:val="tx1"/>
                        </w14:solidFill>
                      </w14:textFill>
                    </w:rPr>
                    <w:t>收集后</w:t>
                  </w:r>
                  <w:r>
                    <w:rPr>
                      <w:rFonts w:hint="eastAsia" w:ascii="Times New Roman" w:hAnsi="Times New Roman" w:eastAsia="宋体"/>
                      <w:b w:val="0"/>
                      <w:bCs w:val="0"/>
                      <w:color w:val="000000" w:themeColor="text1"/>
                      <w:spacing w:val="17"/>
                      <w:sz w:val="21"/>
                      <w:szCs w:val="21"/>
                      <w:lang w:eastAsia="zh-CN"/>
                      <w14:textFill>
                        <w14:solidFill>
                          <w14:schemeClr w14:val="tx1"/>
                        </w14:solidFill>
                      </w14:textFill>
                    </w:rPr>
                    <w:t>由吸污车运往</w:t>
                  </w:r>
                  <w:r>
                    <w:rPr>
                      <w:rFonts w:hint="default" w:ascii="Times New Roman" w:hAnsi="Times New Roman" w:eastAsia="宋体"/>
                      <w:b w:val="0"/>
                      <w:bCs w:val="0"/>
                      <w:color w:val="000000" w:themeColor="text1"/>
                      <w:spacing w:val="17"/>
                      <w:sz w:val="21"/>
                      <w:szCs w:val="21"/>
                      <w:lang w:eastAsia="zh-CN"/>
                      <w14:textFill>
                        <w14:solidFill>
                          <w14:schemeClr w14:val="tx1"/>
                        </w14:solidFill>
                      </w14:textFill>
                    </w:rPr>
                    <w:t>昌吉市第二污水处理厂</w:t>
                  </w:r>
                  <w:r>
                    <w:rPr>
                      <w:rFonts w:hint="eastAsia" w:ascii="Times New Roman" w:hAnsi="Times New Roman" w:eastAsia="宋体"/>
                      <w:b w:val="0"/>
                      <w:bCs w:val="0"/>
                      <w:color w:val="000000" w:themeColor="text1"/>
                      <w:spacing w:val="7"/>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03DF9589">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23A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CAE2893">
                  <w:pPr>
                    <w:pStyle w:val="227"/>
                    <w:spacing w:before="114" w:line="310"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3"/>
                      <w:sz w:val="21"/>
                      <w:szCs w:val="21"/>
                      <w14:textFill>
                        <w14:solidFill>
                          <w14:schemeClr w14:val="tx1"/>
                        </w14:solidFill>
                      </w14:textFill>
                    </w:rPr>
                    <w:t>〔</w:t>
                  </w:r>
                  <w:r>
                    <w:rPr>
                      <w:rFonts w:ascii="Times New Roman" w:hAnsi="Times New Roman" w:eastAsia="宋体" w:cs="Times New Roman"/>
                      <w:b w:val="0"/>
                      <w:bCs w:val="0"/>
                      <w:color w:val="000000" w:themeColor="text1"/>
                      <w:spacing w:val="3"/>
                      <w:sz w:val="21"/>
                      <w:szCs w:val="21"/>
                      <w14:textFill>
                        <w14:solidFill>
                          <w14:schemeClr w14:val="tx1"/>
                        </w14:solidFill>
                      </w14:textFill>
                    </w:rPr>
                    <w:t>A2.2-7</w:t>
                  </w:r>
                  <w:r>
                    <w:rPr>
                      <w:rFonts w:ascii="Times New Roman" w:hAnsi="Times New Roman" w:eastAsia="宋体"/>
                      <w:b w:val="0"/>
                      <w:bCs w:val="0"/>
                      <w:color w:val="000000" w:themeColor="text1"/>
                      <w:spacing w:val="3"/>
                      <w:sz w:val="21"/>
                      <w:szCs w:val="21"/>
                      <w14:textFill>
                        <w14:solidFill>
                          <w14:schemeClr w14:val="tx1"/>
                        </w14:solidFill>
                      </w14:textFill>
                    </w:rPr>
                    <w:t>〕强化重点区域地下水环境风险管控，对</w:t>
                  </w:r>
                  <w:r>
                    <w:rPr>
                      <w:rFonts w:ascii="Times New Roman" w:hAnsi="Times New Roman" w:eastAsia="宋体"/>
                      <w:b w:val="0"/>
                      <w:bCs w:val="0"/>
                      <w:color w:val="000000" w:themeColor="text1"/>
                      <w:spacing w:val="-2"/>
                      <w:sz w:val="21"/>
                      <w:szCs w:val="21"/>
                      <w14:textFill>
                        <w14:solidFill>
                          <w14:schemeClr w14:val="tx1"/>
                        </w14:solidFill>
                      </w14:textFill>
                    </w:rPr>
                    <w:t>化学品生产企业、工业集聚区、尾矿库、矿山开采区、</w:t>
                  </w:r>
                  <w:r>
                    <w:rPr>
                      <w:rFonts w:ascii="Times New Roman" w:hAnsi="Times New Roman" w:eastAsia="宋体"/>
                      <w:b w:val="0"/>
                      <w:bCs w:val="0"/>
                      <w:color w:val="000000" w:themeColor="text1"/>
                      <w:spacing w:val="3"/>
                      <w:sz w:val="21"/>
                      <w:szCs w:val="21"/>
                      <w14:textFill>
                        <w14:solidFill>
                          <w14:schemeClr w14:val="tx1"/>
                        </w14:solidFill>
                      </w14:textFill>
                    </w:rPr>
                    <w:t>危险废物处置场、垃圾填埋场等地下水污染源及周边区域，逐步开展地下水环境状况调查评估，加强风险</w:t>
                  </w:r>
                  <w:r>
                    <w:rPr>
                      <w:rFonts w:ascii="Times New Roman" w:hAnsi="Times New Roman" w:eastAsia="宋体"/>
                      <w:b w:val="0"/>
                      <w:bCs w:val="0"/>
                      <w:color w:val="000000" w:themeColor="text1"/>
                      <w:sz w:val="21"/>
                      <w:szCs w:val="21"/>
                      <w14:textFill>
                        <w14:solidFill>
                          <w14:schemeClr w14:val="tx1"/>
                        </w14:solidFill>
                      </w14:textFill>
                    </w:rPr>
                    <w:t>管控。</w:t>
                  </w:r>
                </w:p>
              </w:tc>
              <w:tc>
                <w:tcPr>
                  <w:tcW w:w="2390" w:type="dxa"/>
                  <w:shd w:val="clear" w:color="auto" w:fill="FFFFFF"/>
                  <w:vAlign w:val="center"/>
                </w:tcPr>
                <w:p w14:paraId="0B4B150A">
                  <w:pPr>
                    <w:pStyle w:val="227"/>
                    <w:spacing w:before="65" w:line="333"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7"/>
                      <w:sz w:val="21"/>
                      <w:szCs w:val="21"/>
                      <w14:textFill>
                        <w14:solidFill>
                          <w14:schemeClr w14:val="tx1"/>
                        </w14:solidFill>
                      </w14:textFill>
                    </w:rPr>
                    <w:t>本项目源头防控和分</w:t>
                  </w:r>
                  <w:r>
                    <w:rPr>
                      <w:rFonts w:ascii="Times New Roman" w:hAnsi="Times New Roman" w:eastAsia="宋体"/>
                      <w:b w:val="0"/>
                      <w:bCs w:val="0"/>
                      <w:color w:val="000000" w:themeColor="text1"/>
                      <w:spacing w:val="16"/>
                      <w:sz w:val="21"/>
                      <w:szCs w:val="21"/>
                      <w14:textFill>
                        <w14:solidFill>
                          <w14:schemeClr w14:val="tx1"/>
                        </w14:solidFill>
                      </w14:textFill>
                    </w:rPr>
                    <w:t>区防渗措施，确保项目</w:t>
                  </w:r>
                  <w:r>
                    <w:rPr>
                      <w:rFonts w:ascii="Times New Roman" w:hAnsi="Times New Roman" w:eastAsia="宋体"/>
                      <w:b w:val="0"/>
                      <w:bCs w:val="0"/>
                      <w:color w:val="000000" w:themeColor="text1"/>
                      <w:spacing w:val="7"/>
                      <w:sz w:val="21"/>
                      <w:szCs w:val="21"/>
                      <w14:textFill>
                        <w14:solidFill>
                          <w14:schemeClr w14:val="tx1"/>
                        </w14:solidFill>
                      </w14:textFill>
                    </w:rPr>
                    <w:t>不污染地下水</w:t>
                  </w:r>
                  <w:r>
                    <w:rPr>
                      <w:rFonts w:hint="eastAsia" w:ascii="Times New Roman" w:hAnsi="Times New Roman" w:eastAsia="宋体"/>
                      <w:b w:val="0"/>
                      <w:bCs w:val="0"/>
                      <w:color w:val="000000" w:themeColor="text1"/>
                      <w:spacing w:val="7"/>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6CBE8292">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ACFB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441B7E57">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cs="Times New Roman"/>
                      <w:b w:val="0"/>
                      <w:bCs w:val="0"/>
                      <w:color w:val="000000" w:themeColor="text1"/>
                      <w:spacing w:val="11"/>
                      <w:sz w:val="21"/>
                      <w:szCs w:val="21"/>
                      <w14:textFill>
                        <w14:solidFill>
                          <w14:schemeClr w14:val="tx1"/>
                        </w14:solidFill>
                      </w14:textFill>
                    </w:rPr>
                    <w:t>A2.2-8</w:t>
                  </w: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b w:val="0"/>
                      <w:bCs w:val="0"/>
                      <w:color w:val="000000" w:themeColor="text1"/>
                      <w:spacing w:val="-43"/>
                      <w:sz w:val="21"/>
                      <w:szCs w:val="21"/>
                      <w14:textFill>
                        <w14:solidFill>
                          <w14:schemeClr w14:val="tx1"/>
                        </w14:solidFill>
                      </w14:textFill>
                    </w:rPr>
                    <w:t xml:space="preserve"> </w:t>
                  </w:r>
                  <w:r>
                    <w:rPr>
                      <w:rFonts w:ascii="Times New Roman" w:hAnsi="Times New Roman" w:eastAsia="宋体"/>
                      <w:b w:val="0"/>
                      <w:bCs w:val="0"/>
                      <w:color w:val="000000" w:themeColor="text1"/>
                      <w:spacing w:val="11"/>
                      <w:sz w:val="21"/>
                      <w:szCs w:val="21"/>
                      <w14:textFill>
                        <w14:solidFill>
                          <w14:schemeClr w14:val="tx1"/>
                        </w14:solidFill>
                      </w14:textFill>
                    </w:rPr>
                    <w:t>严控土壤重金属污染，加强油（气）</w:t>
                  </w:r>
                  <w:r>
                    <w:rPr>
                      <w:rFonts w:ascii="Times New Roman" w:hAnsi="Times New Roman" w:eastAsia="宋体"/>
                      <w:b w:val="0"/>
                      <w:bCs w:val="0"/>
                      <w:color w:val="000000" w:themeColor="text1"/>
                      <w:spacing w:val="5"/>
                      <w:sz w:val="21"/>
                      <w:szCs w:val="21"/>
                      <w14:textFill>
                        <w14:solidFill>
                          <w14:schemeClr w14:val="tx1"/>
                        </w14:solidFill>
                      </w14:textFill>
                    </w:rPr>
                    <w:t>田开发土壤污染防治，以历史遗留工业企业污染场地</w:t>
                  </w:r>
                  <w:r>
                    <w:rPr>
                      <w:rFonts w:ascii="Times New Roman" w:hAnsi="Times New Roman" w:eastAsia="宋体"/>
                      <w:b w:val="0"/>
                      <w:bCs w:val="0"/>
                      <w:color w:val="000000" w:themeColor="text1"/>
                      <w:spacing w:val="8"/>
                      <w:sz w:val="21"/>
                      <w:szCs w:val="21"/>
                      <w14:textFill>
                        <w14:solidFill>
                          <w14:schemeClr w14:val="tx1"/>
                        </w14:solidFill>
                      </w14:textFill>
                    </w:rPr>
                    <w:t>为重点，开展土壤污染风险管控与修复工程。</w:t>
                  </w:r>
                </w:p>
              </w:tc>
              <w:tc>
                <w:tcPr>
                  <w:tcW w:w="2390" w:type="dxa"/>
                  <w:shd w:val="clear" w:color="auto" w:fill="FFFFFF"/>
                  <w:vAlign w:val="center"/>
                </w:tcPr>
                <w:p w14:paraId="3B8373CC">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ascii="Times New Roman" w:hAnsi="Times New Roman" w:eastAsia="宋体"/>
                      <w:b w:val="0"/>
                      <w:bCs w:val="0"/>
                      <w:color w:val="000000" w:themeColor="text1"/>
                      <w:spacing w:val="17"/>
                      <w:sz w:val="21"/>
                      <w:szCs w:val="21"/>
                      <w14:textFill>
                        <w14:solidFill>
                          <w14:schemeClr w14:val="tx1"/>
                        </w14:solidFill>
                      </w14:textFill>
                    </w:rPr>
                    <w:t>本项目采取了严格的</w:t>
                  </w:r>
                  <w:r>
                    <w:rPr>
                      <w:rFonts w:ascii="Times New Roman" w:hAnsi="Times New Roman" w:eastAsia="宋体"/>
                      <w:b w:val="0"/>
                      <w:bCs w:val="0"/>
                      <w:color w:val="000000" w:themeColor="text1"/>
                      <w:spacing w:val="16"/>
                      <w:sz w:val="21"/>
                      <w:szCs w:val="21"/>
                      <w14:textFill>
                        <w14:solidFill>
                          <w14:schemeClr w14:val="tx1"/>
                        </w14:solidFill>
                      </w14:textFill>
                    </w:rPr>
                    <w:t>土壤防控措施，确保不</w:t>
                  </w:r>
                  <w:r>
                    <w:rPr>
                      <w:rFonts w:ascii="Times New Roman" w:hAnsi="Times New Roman" w:eastAsia="宋体"/>
                      <w:b w:val="0"/>
                      <w:bCs w:val="0"/>
                      <w:color w:val="000000" w:themeColor="text1"/>
                      <w:spacing w:val="8"/>
                      <w:sz w:val="21"/>
                      <w:szCs w:val="21"/>
                      <w14:textFill>
                        <w14:solidFill>
                          <w14:schemeClr w14:val="tx1"/>
                        </w14:solidFill>
                      </w14:textFill>
                    </w:rPr>
                    <w:t>污染土壤</w:t>
                  </w:r>
                  <w:r>
                    <w:rPr>
                      <w:rFonts w:hint="eastAsia" w:ascii="Times New Roman" w:hAnsi="Times New Roman" w:eastAsia="宋体"/>
                      <w:b w:val="0"/>
                      <w:bCs w:val="0"/>
                      <w:color w:val="000000" w:themeColor="text1"/>
                      <w:spacing w:val="8"/>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6D0C680F">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40E8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9210EEB">
                  <w:pPr>
                    <w:pStyle w:val="227"/>
                    <w:spacing w:before="109" w:line="319"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4"/>
                      <w:sz w:val="21"/>
                      <w:szCs w:val="21"/>
                      <w14:textFill>
                        <w14:solidFill>
                          <w14:schemeClr w14:val="tx1"/>
                        </w14:solidFill>
                      </w14:textFill>
                    </w:rPr>
                    <w:t>〔</w:t>
                  </w:r>
                  <w:r>
                    <w:rPr>
                      <w:rFonts w:ascii="Times New Roman" w:hAnsi="Times New Roman" w:eastAsia="宋体" w:cs="Times New Roman"/>
                      <w:b w:val="0"/>
                      <w:bCs w:val="0"/>
                      <w:color w:val="000000" w:themeColor="text1"/>
                      <w:spacing w:val="14"/>
                      <w:sz w:val="21"/>
                      <w:szCs w:val="21"/>
                      <w14:textFill>
                        <w14:solidFill>
                          <w14:schemeClr w14:val="tx1"/>
                        </w14:solidFill>
                      </w14:textFill>
                    </w:rPr>
                    <w:t>A2.2-9</w:t>
                  </w:r>
                  <w:r>
                    <w:rPr>
                      <w:rFonts w:ascii="Times New Roman" w:hAnsi="Times New Roman" w:eastAsia="宋体"/>
                      <w:b w:val="0"/>
                      <w:bCs w:val="0"/>
                      <w:color w:val="000000" w:themeColor="text1"/>
                      <w:spacing w:val="14"/>
                      <w:sz w:val="21"/>
                      <w:szCs w:val="21"/>
                      <w14:textFill>
                        <w14:solidFill>
                          <w14:schemeClr w14:val="tx1"/>
                        </w14:solidFill>
                      </w14:textFill>
                    </w:rPr>
                    <w:t>〕加强种植业污染防治。深入推进化肥</w:t>
                  </w:r>
                  <w:r>
                    <w:rPr>
                      <w:rFonts w:ascii="Times New Roman" w:hAnsi="Times New Roman" w:eastAsia="宋体"/>
                      <w:b w:val="0"/>
                      <w:bCs w:val="0"/>
                      <w:color w:val="000000" w:themeColor="text1"/>
                      <w:spacing w:val="6"/>
                      <w:sz w:val="21"/>
                      <w:szCs w:val="21"/>
                      <w14:textFill>
                        <w14:solidFill>
                          <w14:schemeClr w14:val="tx1"/>
                        </w14:solidFill>
                      </w14:textFill>
                    </w:rPr>
                    <w:t>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w:t>
                  </w:r>
                  <w:r>
                    <w:rPr>
                      <w:rFonts w:ascii="Times New Roman" w:hAnsi="Times New Roman" w:eastAsia="宋体"/>
                      <w:b w:val="0"/>
                      <w:bCs w:val="0"/>
                      <w:color w:val="000000" w:themeColor="text1"/>
                      <w:sz w:val="21"/>
                      <w:szCs w:val="21"/>
                      <w14:textFill>
                        <w14:solidFill>
                          <w14:schemeClr w14:val="tx1"/>
                        </w14:solidFill>
                      </w14:textFill>
                    </w:rPr>
                    <w:t>局。</w:t>
                  </w:r>
                </w:p>
              </w:tc>
              <w:tc>
                <w:tcPr>
                  <w:tcW w:w="2390" w:type="dxa"/>
                  <w:shd w:val="clear" w:color="auto" w:fill="FFFFFF"/>
                  <w:vAlign w:val="center"/>
                </w:tcPr>
                <w:p w14:paraId="752CD667">
                  <w:pPr>
                    <w:pStyle w:val="227"/>
                    <w:spacing w:before="65"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本项目不涉及</w:t>
                  </w:r>
                </w:p>
              </w:tc>
              <w:tc>
                <w:tcPr>
                  <w:tcW w:w="1299" w:type="dxa"/>
                  <w:tcBorders>
                    <w:right w:val="nil"/>
                  </w:tcBorders>
                  <w:shd w:val="clear" w:color="auto" w:fill="FFFFFF"/>
                  <w:vAlign w:val="center"/>
                </w:tcPr>
                <w:p w14:paraId="274E1807">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7D2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5EBB1BF">
                  <w:pPr>
                    <w:pStyle w:val="227"/>
                    <w:spacing w:before="108" w:line="306"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3"/>
                      <w:sz w:val="21"/>
                      <w:szCs w:val="21"/>
                      <w14:textFill>
                        <w14:solidFill>
                          <w14:schemeClr w14:val="tx1"/>
                        </w14:solidFill>
                      </w14:textFill>
                    </w:rPr>
                    <w:t>〔</w:t>
                  </w:r>
                  <w:r>
                    <w:rPr>
                      <w:rFonts w:ascii="Times New Roman" w:hAnsi="Times New Roman" w:eastAsia="宋体" w:cs="Times New Roman"/>
                      <w:b w:val="0"/>
                      <w:bCs w:val="0"/>
                      <w:color w:val="000000" w:themeColor="text1"/>
                      <w:spacing w:val="13"/>
                      <w:sz w:val="21"/>
                      <w:szCs w:val="21"/>
                      <w14:textFill>
                        <w14:solidFill>
                          <w14:schemeClr w14:val="tx1"/>
                        </w14:solidFill>
                      </w14:textFill>
                    </w:rPr>
                    <w:t>A3.1-1</w:t>
                  </w:r>
                  <w:r>
                    <w:rPr>
                      <w:rFonts w:ascii="Times New Roman" w:hAnsi="Times New Roman" w:eastAsia="宋体"/>
                      <w:b w:val="0"/>
                      <w:bCs w:val="0"/>
                      <w:color w:val="000000" w:themeColor="text1"/>
                      <w:spacing w:val="13"/>
                      <w:sz w:val="21"/>
                      <w:szCs w:val="21"/>
                      <w14:textFill>
                        <w14:solidFill>
                          <w14:schemeClr w14:val="tx1"/>
                        </w14:solidFill>
                      </w14:textFill>
                    </w:rPr>
                    <w:t>〕建立和完善重污染天气兵地联合应急</w:t>
                  </w:r>
                  <w:r>
                    <w:rPr>
                      <w:rFonts w:ascii="Times New Roman" w:hAnsi="Times New Roman" w:eastAsia="宋体"/>
                      <w:b w:val="0"/>
                      <w:bCs w:val="0"/>
                      <w:color w:val="000000" w:themeColor="text1"/>
                      <w:spacing w:val="11"/>
                      <w:sz w:val="21"/>
                      <w:szCs w:val="21"/>
                      <w14:textFill>
                        <w14:solidFill>
                          <w14:schemeClr w14:val="tx1"/>
                        </w14:solidFill>
                      </w14:textFill>
                    </w:rPr>
                    <w:t>预案、预报预警应急机制和会商联动机制。</w:t>
                  </w:r>
                  <w:r>
                    <w:rPr>
                      <w:rFonts w:ascii="Times New Roman" w:hAnsi="Times New Roman" w:eastAsia="宋体" w:cs="Times New Roman"/>
                      <w:b w:val="0"/>
                      <w:bCs w:val="0"/>
                      <w:color w:val="000000" w:themeColor="text1"/>
                      <w:spacing w:val="11"/>
                      <w:sz w:val="21"/>
                      <w:szCs w:val="21"/>
                      <w14:textFill>
                        <w14:solidFill>
                          <w14:schemeClr w14:val="tx1"/>
                        </w14:solidFill>
                      </w14:textFill>
                    </w:rPr>
                    <w:t>“</w:t>
                  </w:r>
                  <w:r>
                    <w:rPr>
                      <w:rFonts w:ascii="Times New Roman" w:hAnsi="Times New Roman" w:eastAsia="宋体"/>
                      <w:b w:val="0"/>
                      <w:bCs w:val="0"/>
                      <w:color w:val="000000" w:themeColor="text1"/>
                      <w:spacing w:val="11"/>
                      <w:sz w:val="21"/>
                      <w:szCs w:val="21"/>
                      <w14:textFill>
                        <w14:solidFill>
                          <w14:schemeClr w14:val="tx1"/>
                        </w14:solidFill>
                      </w14:textFill>
                    </w:rPr>
                    <w:t>乌一昌</w:t>
                  </w:r>
                  <w:r>
                    <w:rPr>
                      <w:rFonts w:ascii="Times New Roman" w:hAnsi="Times New Roman" w:eastAsia="宋体"/>
                      <w:b w:val="0"/>
                      <w:bCs w:val="0"/>
                      <w:color w:val="000000" w:themeColor="text1"/>
                      <w:spacing w:val="21"/>
                      <w:sz w:val="21"/>
                      <w:szCs w:val="21"/>
                      <w14:textFill>
                        <w14:solidFill>
                          <w14:schemeClr w14:val="tx1"/>
                        </w14:solidFill>
                      </w14:textFill>
                    </w:rPr>
                    <w:t>一石</w:t>
                  </w:r>
                  <w:r>
                    <w:rPr>
                      <w:rFonts w:ascii="Times New Roman" w:hAnsi="Times New Roman" w:eastAsia="宋体" w:cs="Times New Roman"/>
                      <w:b w:val="0"/>
                      <w:bCs w:val="0"/>
                      <w:color w:val="000000" w:themeColor="text1"/>
                      <w:spacing w:val="21"/>
                      <w:sz w:val="21"/>
                      <w:szCs w:val="21"/>
                      <w14:textFill>
                        <w14:solidFill>
                          <w14:schemeClr w14:val="tx1"/>
                        </w14:solidFill>
                      </w14:textFill>
                    </w:rPr>
                    <w:t>”</w:t>
                  </w:r>
                  <w:r>
                    <w:rPr>
                      <w:rFonts w:ascii="Times New Roman" w:hAnsi="Times New Roman" w:eastAsia="宋体"/>
                      <w:b w:val="0"/>
                      <w:bCs w:val="0"/>
                      <w:color w:val="000000" w:themeColor="text1"/>
                      <w:spacing w:val="21"/>
                      <w:sz w:val="21"/>
                      <w:szCs w:val="21"/>
                      <w14:textFill>
                        <w14:solidFill>
                          <w14:schemeClr w14:val="tx1"/>
                        </w14:solidFill>
                      </w14:textFill>
                    </w:rPr>
                    <w:t>区域内可能影响相邻行政区域大气环境的项</w:t>
                  </w:r>
                  <w:r>
                    <w:rPr>
                      <w:rFonts w:ascii="Times New Roman" w:hAnsi="Times New Roman" w:eastAsia="宋体"/>
                      <w:b w:val="0"/>
                      <w:bCs w:val="0"/>
                      <w:color w:val="000000" w:themeColor="text1"/>
                      <w:spacing w:val="7"/>
                      <w:sz w:val="21"/>
                      <w:szCs w:val="21"/>
                      <w14:textFill>
                        <w14:solidFill>
                          <w14:schemeClr w14:val="tx1"/>
                        </w14:solidFill>
                      </w14:textFill>
                    </w:rPr>
                    <w:t>目，兵地间、城市间必须相互征求意见。</w:t>
                  </w:r>
                </w:p>
              </w:tc>
              <w:tc>
                <w:tcPr>
                  <w:tcW w:w="2390" w:type="dxa"/>
                  <w:shd w:val="clear" w:color="auto" w:fill="FFFFFF"/>
                  <w:vAlign w:val="center"/>
                </w:tcPr>
                <w:p w14:paraId="0F068326">
                  <w:pPr>
                    <w:spacing w:before="57" w:line="199" w:lineRule="auto"/>
                    <w:ind w:left="0" w:leftChars="0" w:firstLine="0" w:firstLineChars="0"/>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val="0"/>
                      <w:bCs w:val="0"/>
                      <w:color w:val="000000" w:themeColor="text1"/>
                      <w:spacing w:val="2"/>
                      <w:sz w:val="21"/>
                      <w:szCs w:val="21"/>
                      <w14:textFill>
                        <w14:solidFill>
                          <w14:schemeClr w14:val="tx1"/>
                        </w14:solidFill>
                      </w14:textFill>
                    </w:rPr>
                    <w:t>/</w:t>
                  </w:r>
                </w:p>
              </w:tc>
              <w:tc>
                <w:tcPr>
                  <w:tcW w:w="1299" w:type="dxa"/>
                  <w:tcBorders>
                    <w:right w:val="nil"/>
                  </w:tcBorders>
                  <w:shd w:val="clear" w:color="auto" w:fill="FFFFFF"/>
                  <w:vAlign w:val="center"/>
                </w:tcPr>
                <w:p w14:paraId="609784EC">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5585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EBD283A">
                  <w:pPr>
                    <w:pStyle w:val="227"/>
                    <w:spacing w:before="103" w:line="325"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w:t>
                  </w:r>
                  <w:r>
                    <w:rPr>
                      <w:rFonts w:ascii="Times New Roman" w:hAnsi="Times New Roman" w:eastAsia="宋体" w:cs="Times New Roman"/>
                      <w:b w:val="0"/>
                      <w:bCs w:val="0"/>
                      <w:color w:val="000000" w:themeColor="text1"/>
                      <w:spacing w:val="5"/>
                      <w:sz w:val="21"/>
                      <w:szCs w:val="21"/>
                      <w14:textFill>
                        <w14:solidFill>
                          <w14:schemeClr w14:val="tx1"/>
                        </w14:solidFill>
                      </w14:textFill>
                    </w:rPr>
                    <w:t>A3.1-2</w:t>
                  </w:r>
                  <w:r>
                    <w:rPr>
                      <w:rFonts w:ascii="Times New Roman" w:hAnsi="Times New Roman" w:eastAsia="宋体"/>
                      <w:b w:val="0"/>
                      <w:bCs w:val="0"/>
                      <w:color w:val="000000" w:themeColor="text1"/>
                      <w:spacing w:val="5"/>
                      <w:sz w:val="21"/>
                      <w:szCs w:val="21"/>
                      <w14:textFill>
                        <w14:solidFill>
                          <w14:schemeClr w14:val="tx1"/>
                        </w14:solidFill>
                      </w14:textFill>
                    </w:rPr>
                    <w:t>〕对跨国境河流、涉及县级</w:t>
                  </w:r>
                  <w:r>
                    <w:rPr>
                      <w:rFonts w:ascii="Times New Roman" w:hAnsi="Times New Roman" w:eastAsia="宋体"/>
                      <w:b w:val="0"/>
                      <w:bCs w:val="0"/>
                      <w:color w:val="000000" w:themeColor="text1"/>
                      <w:spacing w:val="4"/>
                      <w:sz w:val="21"/>
                      <w:szCs w:val="21"/>
                      <w14:textFill>
                        <w14:solidFill>
                          <w14:schemeClr w14:val="tx1"/>
                        </w14:solidFill>
                      </w14:textFill>
                    </w:rPr>
                    <w:t>及以上集中式</w:t>
                  </w:r>
                  <w:r>
                    <w:rPr>
                      <w:rFonts w:ascii="Times New Roman" w:hAnsi="Times New Roman" w:eastAsia="宋体"/>
                      <w:b w:val="0"/>
                      <w:bCs w:val="0"/>
                      <w:color w:val="000000" w:themeColor="text1"/>
                      <w:spacing w:val="16"/>
                      <w:sz w:val="21"/>
                      <w:szCs w:val="21"/>
                      <w14:textFill>
                        <w14:solidFill>
                          <w14:schemeClr w14:val="tx1"/>
                        </w14:solidFill>
                      </w14:textFill>
                    </w:rPr>
                    <w:t>饮用水水源地的河流、其他重要环境敏感目标的河</w:t>
                  </w:r>
                  <w:r>
                    <w:rPr>
                      <w:rFonts w:ascii="Times New Roman" w:hAnsi="Times New Roman" w:eastAsia="宋体"/>
                      <w:b w:val="0"/>
                      <w:bCs w:val="0"/>
                      <w:color w:val="000000" w:themeColor="text1"/>
                      <w:spacing w:val="6"/>
                      <w:sz w:val="21"/>
                      <w:szCs w:val="21"/>
                      <w14:textFill>
                        <w14:solidFill>
                          <w14:schemeClr w14:val="tx1"/>
                        </w14:solidFill>
                      </w14:textFill>
                    </w:rPr>
                    <w:t>流，建立健全流域上下游突发水污染事件联防联控机制，建立流域环境应急基础信息动态更新长效机制，绘制全流域</w:t>
                  </w:r>
                  <w:r>
                    <w:rPr>
                      <w:rFonts w:ascii="Times New Roman" w:hAnsi="Times New Roman" w:eastAsia="宋体" w:cs="Times New Roman"/>
                      <w:b w:val="0"/>
                      <w:bCs w:val="0"/>
                      <w:color w:val="000000" w:themeColor="text1"/>
                      <w:spacing w:val="6"/>
                      <w:sz w:val="21"/>
                      <w:szCs w:val="21"/>
                      <w14:textFill>
                        <w14:solidFill>
                          <w14:schemeClr w14:val="tx1"/>
                        </w14:solidFill>
                      </w14:textFill>
                    </w:rPr>
                    <w:t>“</w:t>
                  </w:r>
                  <w:r>
                    <w:rPr>
                      <w:rFonts w:ascii="Times New Roman" w:hAnsi="Times New Roman" w:eastAsia="宋体"/>
                      <w:b w:val="0"/>
                      <w:bCs w:val="0"/>
                      <w:color w:val="000000" w:themeColor="text1"/>
                      <w:spacing w:val="6"/>
                      <w:sz w:val="21"/>
                      <w:szCs w:val="21"/>
                      <w14:textFill>
                        <w14:solidFill>
                          <w14:schemeClr w14:val="tx1"/>
                        </w14:solidFill>
                      </w14:textFill>
                    </w:rPr>
                    <w:t>一河一策一图</w:t>
                  </w:r>
                  <w:r>
                    <w:rPr>
                      <w:rFonts w:ascii="Times New Roman" w:hAnsi="Times New Roman" w:eastAsia="宋体" w:cs="Times New Roman"/>
                      <w:b w:val="0"/>
                      <w:bCs w:val="0"/>
                      <w:color w:val="000000" w:themeColor="text1"/>
                      <w:spacing w:val="6"/>
                      <w:sz w:val="21"/>
                      <w:szCs w:val="21"/>
                      <w14:textFill>
                        <w14:solidFill>
                          <w14:schemeClr w14:val="tx1"/>
                        </w14:solidFill>
                      </w14:textFill>
                    </w:rPr>
                    <w:t>”</w:t>
                  </w:r>
                  <w:r>
                    <w:rPr>
                      <w:rFonts w:ascii="Times New Roman" w:hAnsi="Times New Roman" w:eastAsia="宋体"/>
                      <w:b w:val="0"/>
                      <w:bCs w:val="0"/>
                      <w:color w:val="000000" w:themeColor="text1"/>
                      <w:spacing w:val="6"/>
                      <w:sz w:val="21"/>
                      <w:szCs w:val="21"/>
                      <w14:textFill>
                        <w14:solidFill>
                          <w14:schemeClr w14:val="tx1"/>
                        </w14:solidFill>
                      </w14:textFill>
                    </w:rPr>
                    <w:t>。建立健全跨部门、跨区域的环境应急协调联动处置机制，强化流域上下游、兵地各部门协调，实施联合监测、联合执法、应急联</w:t>
                  </w:r>
                  <w:r>
                    <w:rPr>
                      <w:rFonts w:ascii="Times New Roman" w:hAnsi="Times New Roman" w:eastAsia="宋体"/>
                      <w:b w:val="0"/>
                      <w:bCs w:val="0"/>
                      <w:color w:val="000000" w:themeColor="text1"/>
                      <w:spacing w:val="11"/>
                      <w:sz w:val="21"/>
                      <w:szCs w:val="21"/>
                      <w14:textFill>
                        <w14:solidFill>
                          <w14:schemeClr w14:val="tx1"/>
                        </w14:solidFill>
                      </w14:textFill>
                    </w:rPr>
                    <w:t>动、信息共享，形成</w:t>
                  </w:r>
                  <w:r>
                    <w:rPr>
                      <w:rFonts w:ascii="Times New Roman" w:hAnsi="Times New Roman" w:eastAsia="宋体" w:cs="Times New Roman"/>
                      <w:b w:val="0"/>
                      <w:bCs w:val="0"/>
                      <w:color w:val="000000" w:themeColor="text1"/>
                      <w:spacing w:val="11"/>
                      <w:sz w:val="21"/>
                      <w:szCs w:val="21"/>
                      <w14:textFill>
                        <w14:solidFill>
                          <w14:schemeClr w14:val="tx1"/>
                        </w14:solidFill>
                      </w14:textFill>
                    </w:rPr>
                    <w:t>“</w:t>
                  </w:r>
                  <w:r>
                    <w:rPr>
                      <w:rFonts w:ascii="Times New Roman" w:hAnsi="Times New Roman" w:eastAsia="宋体"/>
                      <w:b w:val="0"/>
                      <w:bCs w:val="0"/>
                      <w:color w:val="000000" w:themeColor="text1"/>
                      <w:spacing w:val="11"/>
                      <w:sz w:val="21"/>
                      <w:szCs w:val="21"/>
                      <w14:textFill>
                        <w14:solidFill>
                          <w14:schemeClr w14:val="tx1"/>
                        </w14:solidFill>
                      </w14:textFill>
                    </w:rPr>
                    <w:t>政府引导、多元联动、社会参</w:t>
                  </w:r>
                  <w:r>
                    <w:rPr>
                      <w:rFonts w:ascii="Times New Roman" w:hAnsi="Times New Roman" w:eastAsia="宋体"/>
                      <w:b w:val="0"/>
                      <w:bCs w:val="0"/>
                      <w:color w:val="000000" w:themeColor="text1"/>
                      <w:spacing w:val="2"/>
                      <w:sz w:val="21"/>
                      <w:szCs w:val="21"/>
                      <w14:textFill>
                        <w14:solidFill>
                          <w14:schemeClr w14:val="tx1"/>
                        </w14:solidFill>
                      </w14:textFill>
                    </w:rPr>
                    <w:t>与、专业救援</w:t>
                  </w:r>
                  <w:r>
                    <w:rPr>
                      <w:rFonts w:ascii="Times New Roman" w:hAnsi="Times New Roman" w:eastAsia="宋体" w:cs="Times New Roman"/>
                      <w:b w:val="0"/>
                      <w:bCs w:val="0"/>
                      <w:color w:val="000000" w:themeColor="text1"/>
                      <w:spacing w:val="2"/>
                      <w:sz w:val="21"/>
                      <w:szCs w:val="21"/>
                      <w14:textFill>
                        <w14:solidFill>
                          <w14:schemeClr w14:val="tx1"/>
                        </w14:solidFill>
                      </w14:textFill>
                    </w:rPr>
                    <w:t>”</w:t>
                  </w:r>
                  <w:r>
                    <w:rPr>
                      <w:rFonts w:ascii="Times New Roman" w:hAnsi="Times New Roman" w:eastAsia="宋体"/>
                      <w:b w:val="0"/>
                      <w:bCs w:val="0"/>
                      <w:color w:val="000000" w:themeColor="text1"/>
                      <w:spacing w:val="2"/>
                      <w:sz w:val="21"/>
                      <w:szCs w:val="21"/>
                      <w14:textFill>
                        <w14:solidFill>
                          <w14:schemeClr w14:val="tx1"/>
                        </w14:solidFill>
                      </w14:textFill>
                    </w:rPr>
                    <w:t>的环境应急处置机制，持续开展应急综</w:t>
                  </w:r>
                  <w:r>
                    <w:rPr>
                      <w:rFonts w:ascii="Times New Roman" w:hAnsi="Times New Roman" w:eastAsia="宋体"/>
                      <w:b w:val="0"/>
                      <w:bCs w:val="0"/>
                      <w:color w:val="000000" w:themeColor="text1"/>
                      <w:spacing w:val="6"/>
                      <w:sz w:val="21"/>
                      <w:szCs w:val="21"/>
                      <w14:textFill>
                        <w14:solidFill>
                          <w14:schemeClr w14:val="tx1"/>
                        </w14:solidFill>
                      </w14:textFill>
                    </w:rPr>
                    <w:t>合演练，实现从被动应对到主动防控的重大转变。加强流域突发水环境事件应急能力建设，提升应急响应水平，加强监测预警、拦污控污、信息通报、协同处置、基础保障等工作，防范重大生态环境风险，坚决</w:t>
                  </w:r>
                  <w:r>
                    <w:rPr>
                      <w:rFonts w:ascii="Times New Roman" w:hAnsi="Times New Roman" w:eastAsia="宋体"/>
                      <w:b w:val="0"/>
                      <w:bCs w:val="0"/>
                      <w:color w:val="000000" w:themeColor="text1"/>
                      <w:spacing w:val="5"/>
                      <w:sz w:val="21"/>
                      <w:szCs w:val="21"/>
                      <w14:textFill>
                        <w14:solidFill>
                          <w14:schemeClr w14:val="tx1"/>
                        </w14:solidFill>
                      </w14:textFill>
                    </w:rPr>
                    <w:t>守住生态环境安全底线。</w:t>
                  </w:r>
                </w:p>
              </w:tc>
              <w:tc>
                <w:tcPr>
                  <w:tcW w:w="2390" w:type="dxa"/>
                  <w:shd w:val="clear" w:color="auto" w:fill="FFFFFF"/>
                  <w:vAlign w:val="center"/>
                </w:tcPr>
                <w:p w14:paraId="0AC55C7A">
                  <w:pPr>
                    <w:spacing w:before="58" w:line="199" w:lineRule="auto"/>
                    <w:ind w:left="0" w:leftChars="0" w:firstLine="0" w:firstLineChars="0"/>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val="0"/>
                      <w:bCs w:val="0"/>
                      <w:color w:val="000000" w:themeColor="text1"/>
                      <w:spacing w:val="2"/>
                      <w:sz w:val="21"/>
                      <w:szCs w:val="21"/>
                      <w14:textFill>
                        <w14:solidFill>
                          <w14:schemeClr w14:val="tx1"/>
                        </w14:solidFill>
                      </w14:textFill>
                    </w:rPr>
                    <w:t>/</w:t>
                  </w:r>
                </w:p>
              </w:tc>
              <w:tc>
                <w:tcPr>
                  <w:tcW w:w="1299" w:type="dxa"/>
                  <w:tcBorders>
                    <w:right w:val="nil"/>
                  </w:tcBorders>
                  <w:shd w:val="clear" w:color="auto" w:fill="FFFFFF"/>
                  <w:vAlign w:val="center"/>
                </w:tcPr>
                <w:p w14:paraId="78085B06">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00B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F6D1295">
                  <w:pPr>
                    <w:pStyle w:val="227"/>
                    <w:spacing w:before="112" w:line="305"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cs="Times New Roman"/>
                      <w:b w:val="0"/>
                      <w:bCs w:val="0"/>
                      <w:color w:val="000000" w:themeColor="text1"/>
                      <w:spacing w:val="11"/>
                      <w:sz w:val="21"/>
                      <w:szCs w:val="21"/>
                      <w14:textFill>
                        <w14:solidFill>
                          <w14:schemeClr w14:val="tx1"/>
                        </w14:solidFill>
                      </w14:textFill>
                    </w:rPr>
                    <w:t>A3.1-3</w:t>
                  </w: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b w:val="0"/>
                      <w:bCs w:val="0"/>
                      <w:color w:val="000000" w:themeColor="text1"/>
                      <w:spacing w:val="-55"/>
                      <w:sz w:val="21"/>
                      <w:szCs w:val="21"/>
                      <w14:textFill>
                        <w14:solidFill>
                          <w14:schemeClr w14:val="tx1"/>
                        </w14:solidFill>
                      </w14:textFill>
                    </w:rPr>
                    <w:t xml:space="preserve"> </w:t>
                  </w:r>
                  <w:r>
                    <w:rPr>
                      <w:rFonts w:ascii="Times New Roman" w:hAnsi="Times New Roman" w:eastAsia="宋体"/>
                      <w:b w:val="0"/>
                      <w:bCs w:val="0"/>
                      <w:color w:val="000000" w:themeColor="text1"/>
                      <w:spacing w:val="11"/>
                      <w:sz w:val="21"/>
                      <w:szCs w:val="21"/>
                      <w14:textFill>
                        <w14:solidFill>
                          <w14:schemeClr w14:val="tx1"/>
                        </w14:solidFill>
                      </w14:textFill>
                    </w:rPr>
                    <w:t>强化重污染天气监测预报预警能力，</w:t>
                  </w:r>
                  <w:r>
                    <w:rPr>
                      <w:rFonts w:ascii="Times New Roman" w:hAnsi="Times New Roman" w:eastAsia="宋体"/>
                      <w:b w:val="0"/>
                      <w:bCs w:val="0"/>
                      <w:color w:val="000000" w:themeColor="text1"/>
                      <w:spacing w:val="15"/>
                      <w:sz w:val="21"/>
                      <w:szCs w:val="21"/>
                      <w14:textFill>
                        <w14:solidFill>
                          <w14:schemeClr w14:val="tx1"/>
                        </w14:solidFill>
                      </w14:textFill>
                    </w:rPr>
                    <w:t>建立和完善重污染天气兵地联合应急预案、预警应</w:t>
                  </w:r>
                  <w:r>
                    <w:rPr>
                      <w:rFonts w:ascii="Times New Roman" w:hAnsi="Times New Roman" w:eastAsia="宋体"/>
                      <w:b w:val="0"/>
                      <w:bCs w:val="0"/>
                      <w:color w:val="000000" w:themeColor="text1"/>
                      <w:spacing w:val="14"/>
                      <w:sz w:val="21"/>
                      <w:szCs w:val="21"/>
                      <w14:textFill>
                        <w14:solidFill>
                          <w14:schemeClr w14:val="tx1"/>
                        </w14:solidFill>
                      </w14:textFill>
                    </w:rPr>
                    <w:t>急机制和会商联动机制，加强轻、中度污染天气管</w:t>
                  </w:r>
                  <w:r>
                    <w:rPr>
                      <w:rFonts w:ascii="Times New Roman" w:hAnsi="Times New Roman" w:eastAsia="宋体"/>
                      <w:b w:val="0"/>
                      <w:bCs w:val="0"/>
                      <w:color w:val="000000" w:themeColor="text1"/>
                      <w:sz w:val="21"/>
                      <w:szCs w:val="21"/>
                      <w14:textFill>
                        <w14:solidFill>
                          <w14:schemeClr w14:val="tx1"/>
                        </w14:solidFill>
                      </w14:textFill>
                    </w:rPr>
                    <w:t>控。</w:t>
                  </w:r>
                </w:p>
              </w:tc>
              <w:tc>
                <w:tcPr>
                  <w:tcW w:w="2390" w:type="dxa"/>
                  <w:shd w:val="clear" w:color="auto" w:fill="FFFFFF"/>
                  <w:vAlign w:val="center"/>
                </w:tcPr>
                <w:p w14:paraId="23593AD2">
                  <w:pPr>
                    <w:spacing w:before="57" w:line="199" w:lineRule="auto"/>
                    <w:ind w:left="0" w:leftChars="0" w:firstLine="0" w:firstLineChars="0"/>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val="0"/>
                      <w:bCs w:val="0"/>
                      <w:color w:val="000000" w:themeColor="text1"/>
                      <w:spacing w:val="2"/>
                      <w:sz w:val="21"/>
                      <w:szCs w:val="21"/>
                      <w14:textFill>
                        <w14:solidFill>
                          <w14:schemeClr w14:val="tx1"/>
                        </w14:solidFill>
                      </w14:textFill>
                    </w:rPr>
                    <w:t>/</w:t>
                  </w:r>
                </w:p>
              </w:tc>
              <w:tc>
                <w:tcPr>
                  <w:tcW w:w="1299" w:type="dxa"/>
                  <w:tcBorders>
                    <w:right w:val="nil"/>
                  </w:tcBorders>
                  <w:shd w:val="clear" w:color="auto" w:fill="FFFFFF"/>
                  <w:vAlign w:val="center"/>
                </w:tcPr>
                <w:p w14:paraId="454B6647">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EBB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4A48056D">
                  <w:pPr>
                    <w:pStyle w:val="227"/>
                    <w:spacing w:before="109" w:line="315"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A3.2-1</w:t>
                  </w:r>
                  <w:r>
                    <w:rPr>
                      <w:rFonts w:ascii="Times New Roman" w:hAnsi="Times New Roman" w:eastAsia="宋体"/>
                      <w:b w:val="0"/>
                      <w:bCs w:val="0"/>
                      <w:color w:val="000000" w:themeColor="text1"/>
                      <w:spacing w:val="12"/>
                      <w:sz w:val="21"/>
                      <w:szCs w:val="21"/>
                      <w14:textFill>
                        <w14:solidFill>
                          <w14:schemeClr w14:val="tx1"/>
                        </w14:solidFill>
                      </w14:textFill>
                    </w:rPr>
                    <w:t>〕提升饮用水安全保障水平。以县级及</w:t>
                  </w:r>
                  <w:r>
                    <w:rPr>
                      <w:rFonts w:ascii="Times New Roman" w:hAnsi="Times New Roman" w:eastAsia="宋体"/>
                      <w:b w:val="0"/>
                      <w:bCs w:val="0"/>
                      <w:color w:val="000000" w:themeColor="text1"/>
                      <w:spacing w:val="16"/>
                      <w:sz w:val="21"/>
                      <w:szCs w:val="21"/>
                      <w14:textFill>
                        <w14:solidFill>
                          <w14:schemeClr w14:val="tx1"/>
                        </w14:solidFill>
                      </w14:textFill>
                    </w:rPr>
                    <w:t>以上集中式饮用水水源地为重点，推进饮用</w:t>
                  </w:r>
                  <w:r>
                    <w:rPr>
                      <w:rFonts w:ascii="Times New Roman" w:hAnsi="Times New Roman" w:eastAsia="宋体"/>
                      <w:b w:val="0"/>
                      <w:bCs w:val="0"/>
                      <w:color w:val="000000" w:themeColor="text1"/>
                      <w:spacing w:val="15"/>
                      <w:sz w:val="21"/>
                      <w:szCs w:val="21"/>
                      <w14:textFill>
                        <w14:solidFill>
                          <w14:schemeClr w14:val="tx1"/>
                        </w14:solidFill>
                      </w14:textFill>
                    </w:rPr>
                    <w:t>水水源</w:t>
                  </w:r>
                  <w:r>
                    <w:rPr>
                      <w:rFonts w:ascii="Times New Roman" w:hAnsi="Times New Roman" w:eastAsia="宋体"/>
                      <w:b w:val="0"/>
                      <w:bCs w:val="0"/>
                      <w:color w:val="000000" w:themeColor="text1"/>
                      <w:spacing w:val="6"/>
                      <w:sz w:val="21"/>
                      <w:szCs w:val="21"/>
                      <w14:textFill>
                        <w14:solidFill>
                          <w14:schemeClr w14:val="tx1"/>
                        </w14:solidFill>
                      </w14:textFill>
                    </w:rPr>
                    <w:t>保护区规范化建设，统筹推进备用水源或应急水源建设。单一水源供水的重点城市于</w:t>
                  </w:r>
                  <w:r>
                    <w:rPr>
                      <w:rFonts w:ascii="Times New Roman" w:hAnsi="Times New Roman" w:eastAsia="宋体" w:cs="Times New Roman"/>
                      <w:b w:val="0"/>
                      <w:bCs w:val="0"/>
                      <w:color w:val="000000" w:themeColor="text1"/>
                      <w:spacing w:val="6"/>
                      <w:sz w:val="21"/>
                      <w:szCs w:val="21"/>
                      <w14:textFill>
                        <w14:solidFill>
                          <w14:schemeClr w14:val="tx1"/>
                        </w14:solidFill>
                      </w14:textFill>
                    </w:rPr>
                    <w:t>2025</w:t>
                  </w:r>
                  <w:r>
                    <w:rPr>
                      <w:rFonts w:ascii="Times New Roman" w:hAnsi="Times New Roman" w:eastAsia="宋体"/>
                      <w:b w:val="0"/>
                      <w:bCs w:val="0"/>
                      <w:color w:val="000000" w:themeColor="text1"/>
                      <w:spacing w:val="6"/>
                      <w:sz w:val="21"/>
                      <w:szCs w:val="21"/>
                      <w14:textFill>
                        <w14:solidFill>
                          <w14:schemeClr w14:val="tx1"/>
                        </w14:solidFill>
                      </w14:textFill>
                    </w:rPr>
                    <w:t>年底前基本完成备用水源或应急水源建设，有条件的地区开展兵地互为备用水源建设。梯次推进农村集中式饮用水水源保</w:t>
                  </w:r>
                  <w:r>
                    <w:rPr>
                      <w:rFonts w:ascii="Times New Roman" w:hAnsi="Times New Roman" w:eastAsia="宋体"/>
                      <w:b w:val="0"/>
                      <w:bCs w:val="0"/>
                      <w:color w:val="000000" w:themeColor="text1"/>
                      <w:spacing w:val="4"/>
                      <w:sz w:val="21"/>
                      <w:szCs w:val="21"/>
                      <w14:textFill>
                        <w14:solidFill>
                          <w14:schemeClr w14:val="tx1"/>
                        </w14:solidFill>
                      </w14:textFill>
                    </w:rPr>
                    <w:t>护区划定，到</w:t>
                  </w:r>
                  <w:r>
                    <w:rPr>
                      <w:rFonts w:ascii="Times New Roman" w:hAnsi="Times New Roman" w:eastAsia="宋体" w:cs="Times New Roman"/>
                      <w:b w:val="0"/>
                      <w:bCs w:val="0"/>
                      <w:color w:val="000000" w:themeColor="text1"/>
                      <w:spacing w:val="4"/>
                      <w:sz w:val="21"/>
                      <w:szCs w:val="21"/>
                      <w14:textFill>
                        <w14:solidFill>
                          <w14:schemeClr w14:val="tx1"/>
                        </w14:solidFill>
                      </w14:textFill>
                    </w:rPr>
                    <w:t>2025</w:t>
                  </w:r>
                  <w:r>
                    <w:rPr>
                      <w:rFonts w:ascii="Times New Roman" w:hAnsi="Times New Roman" w:eastAsia="宋体"/>
                      <w:b w:val="0"/>
                      <w:bCs w:val="0"/>
                      <w:color w:val="000000" w:themeColor="text1"/>
                      <w:spacing w:val="4"/>
                      <w:sz w:val="21"/>
                      <w:szCs w:val="21"/>
                      <w14:textFill>
                        <w14:solidFill>
                          <w14:schemeClr w14:val="tx1"/>
                        </w14:solidFill>
                      </w14:textFill>
                    </w:rPr>
                    <w:t>年，完成乡镇级集中式饮用水水源</w:t>
                  </w:r>
                  <w:r>
                    <w:rPr>
                      <w:rFonts w:ascii="Times New Roman" w:hAnsi="Times New Roman" w:eastAsia="宋体"/>
                      <w:b w:val="0"/>
                      <w:bCs w:val="0"/>
                      <w:color w:val="000000" w:themeColor="text1"/>
                      <w:spacing w:val="5"/>
                      <w:sz w:val="21"/>
                      <w:szCs w:val="21"/>
                      <w14:textFill>
                        <w14:solidFill>
                          <w14:schemeClr w14:val="tx1"/>
                        </w14:solidFill>
                      </w14:textFill>
                    </w:rPr>
                    <w:t>保护区划定与勘界立标。开展</w:t>
                  </w:r>
                  <w:r>
                    <w:rPr>
                      <w:rFonts w:ascii="Times New Roman" w:hAnsi="Times New Roman" w:eastAsia="宋体" w:cs="Times New Roman"/>
                      <w:b w:val="0"/>
                      <w:bCs w:val="0"/>
                      <w:color w:val="000000" w:themeColor="text1"/>
                      <w:spacing w:val="5"/>
                      <w:sz w:val="21"/>
                      <w:szCs w:val="21"/>
                      <w14:textFill>
                        <w14:solidFill>
                          <w14:schemeClr w14:val="tx1"/>
                        </w14:solidFill>
                      </w14:textFill>
                    </w:rPr>
                    <w:t>“</w:t>
                  </w:r>
                  <w:r>
                    <w:rPr>
                      <w:rFonts w:ascii="Times New Roman" w:hAnsi="Times New Roman" w:eastAsia="宋体"/>
                      <w:b w:val="0"/>
                      <w:bCs w:val="0"/>
                      <w:color w:val="000000" w:themeColor="text1"/>
                      <w:spacing w:val="5"/>
                      <w:sz w:val="21"/>
                      <w:szCs w:val="21"/>
                      <w14:textFill>
                        <w14:solidFill>
                          <w14:schemeClr w14:val="tx1"/>
                        </w14:solidFill>
                      </w14:textFill>
                    </w:rPr>
                    <w:t>千吨万人</w:t>
                  </w:r>
                  <w:r>
                    <w:rPr>
                      <w:rFonts w:ascii="Times New Roman" w:hAnsi="Times New Roman" w:eastAsia="宋体" w:cs="Times New Roman"/>
                      <w:b w:val="0"/>
                      <w:bCs w:val="0"/>
                      <w:color w:val="000000" w:themeColor="text1"/>
                      <w:spacing w:val="5"/>
                      <w:sz w:val="21"/>
                      <w:szCs w:val="21"/>
                      <w14:textFill>
                        <w14:solidFill>
                          <w14:schemeClr w14:val="tx1"/>
                        </w14:solidFill>
                      </w14:textFill>
                    </w:rPr>
                    <w:t>”</w:t>
                  </w:r>
                  <w:r>
                    <w:rPr>
                      <w:rFonts w:ascii="Times New Roman" w:hAnsi="Times New Roman" w:eastAsia="宋体"/>
                      <w:b w:val="0"/>
                      <w:bCs w:val="0"/>
                      <w:color w:val="000000" w:themeColor="text1"/>
                      <w:spacing w:val="5"/>
                      <w:sz w:val="21"/>
                      <w:szCs w:val="21"/>
                      <w14:textFill>
                        <w14:solidFill>
                          <w14:schemeClr w14:val="tx1"/>
                        </w14:solidFill>
                      </w14:textFill>
                    </w:rPr>
                    <w:t>农村饮用水</w:t>
                  </w:r>
                  <w:r>
                    <w:rPr>
                      <w:rFonts w:ascii="Times New Roman" w:hAnsi="Times New Roman" w:eastAsia="宋体"/>
                      <w:b w:val="0"/>
                      <w:bCs w:val="0"/>
                      <w:color w:val="000000" w:themeColor="text1"/>
                      <w:spacing w:val="4"/>
                      <w:sz w:val="21"/>
                      <w:szCs w:val="21"/>
                      <w14:textFill>
                        <w14:solidFill>
                          <w14:schemeClr w14:val="tx1"/>
                        </w14:solidFill>
                      </w14:textFill>
                    </w:rPr>
                    <w:t>水源保护区环境风险排查整治，加强农村水源水质监</w:t>
                  </w:r>
                  <w:r>
                    <w:rPr>
                      <w:rFonts w:ascii="Times New Roman" w:hAnsi="Times New Roman" w:eastAsia="宋体"/>
                      <w:b w:val="0"/>
                      <w:bCs w:val="0"/>
                      <w:color w:val="000000" w:themeColor="text1"/>
                      <w:spacing w:val="13"/>
                      <w:sz w:val="21"/>
                      <w:szCs w:val="21"/>
                      <w14:textFill>
                        <w14:solidFill>
                          <w14:schemeClr w14:val="tx1"/>
                        </w14:solidFill>
                      </w14:textFill>
                    </w:rPr>
                    <w:t>测，依法清理饮用水水源保护区内违法建筑和排污</w:t>
                  </w:r>
                  <w:r>
                    <w:rPr>
                      <w:rFonts w:ascii="Times New Roman" w:hAnsi="Times New Roman" w:eastAsia="宋体"/>
                      <w:b w:val="0"/>
                      <w:bCs w:val="0"/>
                      <w:color w:val="000000" w:themeColor="text1"/>
                      <w:spacing w:val="4"/>
                      <w:sz w:val="21"/>
                      <w:szCs w:val="21"/>
                      <w14:textFill>
                        <w14:solidFill>
                          <w14:schemeClr w14:val="tx1"/>
                        </w14:solidFill>
                      </w14:textFill>
                    </w:rPr>
                    <w:t>口，实施从水源到水龙头全过程监管。强化饮用水水源保护区环境应急管理，完善重大突发环境事件的物</w:t>
                  </w:r>
                  <w:r>
                    <w:rPr>
                      <w:rFonts w:ascii="Times New Roman" w:hAnsi="Times New Roman" w:eastAsia="宋体"/>
                      <w:b w:val="0"/>
                      <w:bCs w:val="0"/>
                      <w:color w:val="000000" w:themeColor="text1"/>
                      <w:spacing w:val="-2"/>
                      <w:sz w:val="21"/>
                      <w:szCs w:val="21"/>
                      <w14:textFill>
                        <w14:solidFill>
                          <w14:schemeClr w14:val="tx1"/>
                        </w14:solidFill>
                      </w14:textFill>
                    </w:rPr>
                    <w:t>资和技术储备。针对汇水区、补给区存在兵地跨界的，</w:t>
                  </w:r>
                  <w:r>
                    <w:rPr>
                      <w:rFonts w:ascii="Times New Roman" w:hAnsi="Times New Roman" w:eastAsia="宋体"/>
                      <w:b w:val="0"/>
                      <w:bCs w:val="0"/>
                      <w:color w:val="000000" w:themeColor="text1"/>
                      <w:spacing w:val="4"/>
                      <w:sz w:val="21"/>
                      <w:szCs w:val="21"/>
                      <w14:textFill>
                        <w14:solidFill>
                          <w14:schemeClr w14:val="tx1"/>
                        </w14:solidFill>
                      </w14:textFill>
                    </w:rPr>
                    <w:t>建立统一的饮用水水源应急和执法机制，共享应急物</w:t>
                  </w:r>
                  <w:r>
                    <w:rPr>
                      <w:rFonts w:ascii="Times New Roman" w:hAnsi="Times New Roman" w:eastAsia="宋体"/>
                      <w:b w:val="0"/>
                      <w:bCs w:val="0"/>
                      <w:color w:val="000000" w:themeColor="text1"/>
                      <w:spacing w:val="-1"/>
                      <w:sz w:val="21"/>
                      <w:szCs w:val="21"/>
                      <w14:textFill>
                        <w14:solidFill>
                          <w14:schemeClr w14:val="tx1"/>
                        </w14:solidFill>
                      </w14:textFill>
                    </w:rPr>
                    <w:t>资。</w:t>
                  </w:r>
                </w:p>
              </w:tc>
              <w:tc>
                <w:tcPr>
                  <w:tcW w:w="2390" w:type="dxa"/>
                  <w:shd w:val="clear" w:color="auto" w:fill="FFFFFF"/>
                  <w:vAlign w:val="center"/>
                </w:tcPr>
                <w:p w14:paraId="4DBEEC0F">
                  <w:pPr>
                    <w:pStyle w:val="227"/>
                    <w:spacing w:before="65" w:line="334" w:lineRule="auto"/>
                    <w:ind w:left="0" w:leftChars="0" w:right="3"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本项目不涉及饮用水</w:t>
                  </w:r>
                  <w:r>
                    <w:rPr>
                      <w:rFonts w:ascii="Times New Roman" w:hAnsi="Times New Roman" w:eastAsia="宋体"/>
                      <w:b w:val="0"/>
                      <w:bCs w:val="0"/>
                      <w:color w:val="000000" w:themeColor="text1"/>
                      <w:spacing w:val="6"/>
                      <w:sz w:val="21"/>
                      <w:szCs w:val="21"/>
                      <w14:textFill>
                        <w14:solidFill>
                          <w14:schemeClr w14:val="tx1"/>
                        </w14:solidFill>
                      </w14:textFill>
                    </w:rPr>
                    <w:t>水源地</w:t>
                  </w:r>
                  <w:r>
                    <w:rPr>
                      <w:rFonts w:hint="eastAsia" w:ascii="Times New Roman" w:hAnsi="Times New Roman" w:eastAsia="宋体"/>
                      <w:b w:val="0"/>
                      <w:bCs w:val="0"/>
                      <w:color w:val="000000" w:themeColor="text1"/>
                      <w:spacing w:val="6"/>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4A46ADA7">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915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4CAA13AC">
                  <w:pPr>
                    <w:pStyle w:val="227"/>
                    <w:spacing w:before="112" w:line="305"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A3.2-2</w:t>
                  </w: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b w:val="0"/>
                      <w:bCs w:val="0"/>
                      <w:color w:val="000000" w:themeColor="text1"/>
                      <w:spacing w:val="-48"/>
                      <w:sz w:val="21"/>
                      <w:szCs w:val="21"/>
                      <w14:textFill>
                        <w14:solidFill>
                          <w14:schemeClr w14:val="tx1"/>
                        </w14:solidFill>
                      </w14:textFill>
                    </w:rPr>
                    <w:t xml:space="preserve"> </w:t>
                  </w:r>
                  <w:r>
                    <w:rPr>
                      <w:rFonts w:ascii="Times New Roman" w:hAnsi="Times New Roman" w:eastAsia="宋体"/>
                      <w:b w:val="0"/>
                      <w:bCs w:val="0"/>
                      <w:color w:val="000000" w:themeColor="text1"/>
                      <w:spacing w:val="12"/>
                      <w:sz w:val="21"/>
                      <w:szCs w:val="21"/>
                      <w14:textFill>
                        <w14:solidFill>
                          <w14:schemeClr w14:val="tx1"/>
                        </w14:solidFill>
                      </w14:textFill>
                    </w:rPr>
                    <w:t>依法推行农用地分类管理制度，强化</w:t>
                  </w:r>
                  <w:r>
                    <w:rPr>
                      <w:rFonts w:ascii="Times New Roman" w:hAnsi="Times New Roman" w:eastAsia="宋体"/>
                      <w:b w:val="0"/>
                      <w:bCs w:val="0"/>
                      <w:color w:val="000000" w:themeColor="text1"/>
                      <w:spacing w:val="16"/>
                      <w:sz w:val="21"/>
                      <w:szCs w:val="21"/>
                      <w14:textFill>
                        <w14:solidFill>
                          <w14:schemeClr w14:val="tx1"/>
                        </w14:solidFill>
                      </w14:textFill>
                    </w:rPr>
                    <w:t>受污染耕地安全利用和风险管控。因地制宜制定实</w:t>
                  </w:r>
                  <w:r>
                    <w:rPr>
                      <w:rFonts w:ascii="Times New Roman" w:hAnsi="Times New Roman" w:eastAsia="宋体"/>
                      <w:b w:val="0"/>
                      <w:bCs w:val="0"/>
                      <w:color w:val="000000" w:themeColor="text1"/>
                      <w:spacing w:val="6"/>
                      <w:sz w:val="21"/>
                      <w:szCs w:val="21"/>
                      <w14:textFill>
                        <w14:solidFill>
                          <w14:schemeClr w14:val="tx1"/>
                        </w14:solidFill>
                      </w14:textFill>
                    </w:rPr>
                    <w:t>施安全利用方案，鼓励采取种植结构调整等措施，确</w:t>
                  </w:r>
                  <w:r>
                    <w:rPr>
                      <w:rFonts w:ascii="Times New Roman" w:hAnsi="Times New Roman" w:eastAsia="宋体"/>
                      <w:b w:val="0"/>
                      <w:bCs w:val="0"/>
                      <w:color w:val="000000" w:themeColor="text1"/>
                      <w:spacing w:val="8"/>
                      <w:sz w:val="21"/>
                      <w:szCs w:val="21"/>
                      <w14:textFill>
                        <w14:solidFill>
                          <w14:schemeClr w14:val="tx1"/>
                        </w14:solidFill>
                      </w14:textFill>
                    </w:rPr>
                    <w:t>保受污染耕地全部实现安全利用。</w:t>
                  </w:r>
                </w:p>
              </w:tc>
              <w:tc>
                <w:tcPr>
                  <w:tcW w:w="2390" w:type="dxa"/>
                  <w:shd w:val="clear" w:color="auto" w:fill="FFFFFF"/>
                  <w:vAlign w:val="center"/>
                </w:tcPr>
                <w:p w14:paraId="0981B0DA">
                  <w:pPr>
                    <w:pStyle w:val="227"/>
                    <w:spacing w:before="65"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本项目不占用农用地</w:t>
                  </w:r>
                </w:p>
              </w:tc>
              <w:tc>
                <w:tcPr>
                  <w:tcW w:w="1299" w:type="dxa"/>
                  <w:tcBorders>
                    <w:right w:val="nil"/>
                  </w:tcBorders>
                  <w:shd w:val="clear" w:color="auto" w:fill="FFFFFF"/>
                  <w:vAlign w:val="center"/>
                </w:tcPr>
                <w:p w14:paraId="71E4F562">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2F7A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0DE6E23">
                  <w:pPr>
                    <w:pStyle w:val="227"/>
                    <w:spacing w:before="109" w:line="324"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A3.2-3</w:t>
                  </w:r>
                  <w:r>
                    <w:rPr>
                      <w:rFonts w:ascii="Times New Roman" w:hAnsi="Times New Roman" w:eastAsia="宋体"/>
                      <w:b w:val="0"/>
                      <w:bCs w:val="0"/>
                      <w:color w:val="000000" w:themeColor="text1"/>
                      <w:spacing w:val="12"/>
                      <w:sz w:val="21"/>
                      <w:szCs w:val="21"/>
                      <w14:textFill>
                        <w14:solidFill>
                          <w14:schemeClr w14:val="tx1"/>
                        </w14:solidFill>
                      </w14:textFill>
                    </w:rPr>
                    <w:t>〕加强新污染物多环境介质协同治理。</w:t>
                  </w:r>
                  <w:r>
                    <w:rPr>
                      <w:rFonts w:ascii="Times New Roman" w:hAnsi="Times New Roman" w:eastAsia="宋体"/>
                      <w:b w:val="0"/>
                      <w:bCs w:val="0"/>
                      <w:color w:val="000000" w:themeColor="text1"/>
                      <w:spacing w:val="13"/>
                      <w:sz w:val="21"/>
                      <w:szCs w:val="21"/>
                      <w14:textFill>
                        <w14:solidFill>
                          <w14:schemeClr w14:val="tx1"/>
                        </w14:solidFill>
                      </w14:textFill>
                    </w:rPr>
                    <w:t>排放重点管控新污染物的企事业单位应采取</w:t>
                  </w:r>
                  <w:r>
                    <w:rPr>
                      <w:rFonts w:ascii="Times New Roman" w:hAnsi="Times New Roman" w:eastAsia="宋体"/>
                      <w:b w:val="0"/>
                      <w:bCs w:val="0"/>
                      <w:color w:val="000000" w:themeColor="text1"/>
                      <w:spacing w:val="12"/>
                      <w:sz w:val="21"/>
                      <w:szCs w:val="21"/>
                      <w14:textFill>
                        <w14:solidFill>
                          <w14:schemeClr w14:val="tx1"/>
                        </w14:solidFill>
                      </w14:textFill>
                    </w:rPr>
                    <w:t>污染控</w:t>
                  </w:r>
                  <w:r>
                    <w:rPr>
                      <w:rFonts w:ascii="Times New Roman" w:hAnsi="Times New Roman" w:eastAsia="宋体"/>
                      <w:b w:val="0"/>
                      <w:bCs w:val="0"/>
                      <w:color w:val="000000" w:themeColor="text1"/>
                      <w:spacing w:val="3"/>
                      <w:sz w:val="21"/>
                      <w:szCs w:val="21"/>
                      <w14:textFill>
                        <w14:solidFill>
                          <w14:schemeClr w14:val="tx1"/>
                        </w14:solidFill>
                      </w14:textFill>
                    </w:rPr>
                    <w:t>制措施，达到相关污染物排放标准及环境质量目标要</w:t>
                  </w:r>
                  <w:r>
                    <w:rPr>
                      <w:rFonts w:ascii="Times New Roman" w:hAnsi="Times New Roman" w:eastAsia="宋体"/>
                      <w:b w:val="0"/>
                      <w:bCs w:val="0"/>
                      <w:color w:val="000000" w:themeColor="text1"/>
                      <w:spacing w:val="13"/>
                      <w:sz w:val="21"/>
                      <w:szCs w:val="21"/>
                      <w14:textFill>
                        <w14:solidFill>
                          <w14:schemeClr w14:val="tx1"/>
                        </w14:solidFill>
                      </w14:textFill>
                    </w:rPr>
                    <w:t>求；按照排污许可管理有关要求，依法申领排污许可证或填写排污登记表，并在其中载明执行的污染</w:t>
                  </w:r>
                  <w:r>
                    <w:rPr>
                      <w:rFonts w:ascii="Times New Roman" w:hAnsi="Times New Roman" w:eastAsia="宋体"/>
                      <w:b w:val="0"/>
                      <w:bCs w:val="0"/>
                      <w:color w:val="000000" w:themeColor="text1"/>
                      <w:spacing w:val="4"/>
                      <w:sz w:val="21"/>
                      <w:szCs w:val="21"/>
                      <w14:textFill>
                        <w14:solidFill>
                          <w14:schemeClr w14:val="tx1"/>
                        </w14:solidFill>
                      </w14:textFill>
                    </w:rPr>
                    <w:t>控制标准要求及采取的污染控制措施。排放</w:t>
                  </w:r>
                  <w:r>
                    <w:rPr>
                      <w:rFonts w:ascii="Times New Roman" w:hAnsi="Times New Roman" w:eastAsia="宋体"/>
                      <w:b w:val="0"/>
                      <w:bCs w:val="0"/>
                      <w:color w:val="000000" w:themeColor="text1"/>
                      <w:spacing w:val="3"/>
                      <w:sz w:val="21"/>
                      <w:szCs w:val="21"/>
                      <w14:textFill>
                        <w14:solidFill>
                          <w14:schemeClr w14:val="tx1"/>
                        </w14:solidFill>
                      </w14:textFill>
                    </w:rPr>
                    <w:t>重点管控</w:t>
                  </w:r>
                  <w:r>
                    <w:rPr>
                      <w:rFonts w:ascii="Times New Roman" w:hAnsi="Times New Roman" w:eastAsia="宋体"/>
                      <w:b w:val="0"/>
                      <w:bCs w:val="0"/>
                      <w:color w:val="000000" w:themeColor="text1"/>
                      <w:spacing w:val="13"/>
                      <w:sz w:val="21"/>
                      <w:szCs w:val="21"/>
                      <w14:textFill>
                        <w14:solidFill>
                          <w14:schemeClr w14:val="tx1"/>
                        </w14:solidFill>
                      </w14:textFill>
                    </w:rPr>
                    <w:t>新污染物的企事业单位和其他生产经营者应按照相</w:t>
                  </w:r>
                  <w:r>
                    <w:rPr>
                      <w:rFonts w:ascii="Times New Roman" w:hAnsi="Times New Roman" w:eastAsia="宋体"/>
                      <w:b w:val="0"/>
                      <w:bCs w:val="0"/>
                      <w:color w:val="000000" w:themeColor="text1"/>
                      <w:spacing w:val="3"/>
                      <w:sz w:val="21"/>
                      <w:szCs w:val="21"/>
                      <w14:textFill>
                        <w14:solidFill>
                          <w14:schemeClr w14:val="tx1"/>
                        </w14:solidFill>
                      </w14:textFill>
                    </w:rPr>
                    <w:t>关法律法规要求，对排放（污）口及其周边环境定期</w:t>
                  </w:r>
                  <w:r>
                    <w:rPr>
                      <w:rFonts w:ascii="Times New Roman" w:hAnsi="Times New Roman" w:eastAsia="宋体"/>
                      <w:b w:val="0"/>
                      <w:bCs w:val="0"/>
                      <w:color w:val="000000" w:themeColor="text1"/>
                      <w:spacing w:val="4"/>
                      <w:sz w:val="21"/>
                      <w:szCs w:val="21"/>
                      <w14:textFill>
                        <w14:solidFill>
                          <w14:schemeClr w14:val="tx1"/>
                        </w14:solidFill>
                      </w14:textFill>
                    </w:rPr>
                    <w:t>开展环境监测，评估环境风险，排查整治环</w:t>
                  </w:r>
                  <w:r>
                    <w:rPr>
                      <w:rFonts w:ascii="Times New Roman" w:hAnsi="Times New Roman" w:eastAsia="宋体"/>
                      <w:b w:val="0"/>
                      <w:bCs w:val="0"/>
                      <w:color w:val="000000" w:themeColor="text1"/>
                      <w:spacing w:val="3"/>
                      <w:sz w:val="21"/>
                      <w:szCs w:val="21"/>
                      <w14:textFill>
                        <w14:solidFill>
                          <w14:schemeClr w14:val="tx1"/>
                        </w14:solidFill>
                      </w14:textFill>
                    </w:rPr>
                    <w:t>境安全隐</w:t>
                  </w:r>
                  <w:r>
                    <w:rPr>
                      <w:rFonts w:ascii="Times New Roman" w:hAnsi="Times New Roman" w:eastAsia="宋体"/>
                      <w:b w:val="0"/>
                      <w:bCs w:val="0"/>
                      <w:color w:val="000000" w:themeColor="text1"/>
                      <w:spacing w:val="-2"/>
                      <w:sz w:val="21"/>
                      <w:szCs w:val="21"/>
                      <w14:textFill>
                        <w14:solidFill>
                          <w14:schemeClr w14:val="tx1"/>
                        </w14:solidFill>
                      </w14:textFill>
                    </w:rPr>
                    <w:t>患，依法公开新污染物信息，采取措施防范环境风险。</w:t>
                  </w:r>
                  <w:r>
                    <w:rPr>
                      <w:rFonts w:ascii="Times New Roman" w:hAnsi="Times New Roman" w:eastAsia="宋体"/>
                      <w:b w:val="0"/>
                      <w:bCs w:val="0"/>
                      <w:color w:val="000000" w:themeColor="text1"/>
                      <w:spacing w:val="13"/>
                      <w:sz w:val="21"/>
                      <w:szCs w:val="21"/>
                      <w14:textFill>
                        <w14:solidFill>
                          <w14:schemeClr w14:val="tx1"/>
                        </w14:solidFill>
                      </w14:textFill>
                    </w:rPr>
                    <w:t>土壤污染重点监管单位应严格控制有毒有害物质排</w:t>
                  </w:r>
                  <w:r>
                    <w:rPr>
                      <w:rFonts w:ascii="Times New Roman" w:hAnsi="Times New Roman" w:eastAsia="宋体"/>
                      <w:b w:val="0"/>
                      <w:bCs w:val="0"/>
                      <w:color w:val="000000" w:themeColor="text1"/>
                      <w:spacing w:val="3"/>
                      <w:sz w:val="21"/>
                      <w:szCs w:val="21"/>
                      <w14:textFill>
                        <w14:solidFill>
                          <w14:schemeClr w14:val="tx1"/>
                        </w14:solidFill>
                      </w14:textFill>
                    </w:rPr>
                    <w:t>放，建立土壤污染隐患排查制度，防止有毒有害物质</w:t>
                  </w:r>
                  <w:r>
                    <w:rPr>
                      <w:rFonts w:ascii="Times New Roman" w:hAnsi="Times New Roman" w:eastAsia="宋体"/>
                      <w:b w:val="0"/>
                      <w:bCs w:val="0"/>
                      <w:color w:val="000000" w:themeColor="text1"/>
                      <w:spacing w:val="5"/>
                      <w:sz w:val="21"/>
                      <w:szCs w:val="21"/>
                      <w14:textFill>
                        <w14:solidFill>
                          <w14:schemeClr w14:val="tx1"/>
                        </w14:solidFill>
                      </w14:textFill>
                    </w:rPr>
                    <w:t>渗漏、流失、扬散。</w:t>
                  </w:r>
                </w:p>
              </w:tc>
              <w:tc>
                <w:tcPr>
                  <w:tcW w:w="2390" w:type="dxa"/>
                  <w:shd w:val="clear" w:color="auto" w:fill="FFFFFF"/>
                  <w:vAlign w:val="center"/>
                </w:tcPr>
                <w:p w14:paraId="248EC274">
                  <w:pPr>
                    <w:pStyle w:val="227"/>
                    <w:spacing w:before="65" w:line="360"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本项目为</w:t>
                  </w:r>
                  <w:r>
                    <w:rPr>
                      <w:rFonts w:hint="eastAsia" w:ascii="Times New Roman" w:hAnsi="Times New Roman" w:eastAsia="宋体"/>
                      <w:b w:val="0"/>
                      <w:bCs w:val="0"/>
                      <w:color w:val="000000" w:themeColor="text1"/>
                      <w:spacing w:val="12"/>
                      <w:sz w:val="21"/>
                      <w:szCs w:val="21"/>
                      <w:lang w:val="en-US" w:eastAsia="zh-CN"/>
                      <w14:textFill>
                        <w14:solidFill>
                          <w14:schemeClr w14:val="tx1"/>
                        </w14:solidFill>
                      </w14:textFill>
                    </w:rPr>
                    <w:t>砂厂</w:t>
                  </w:r>
                  <w:r>
                    <w:rPr>
                      <w:rFonts w:ascii="Times New Roman" w:hAnsi="Times New Roman" w:eastAsia="宋体"/>
                      <w:b w:val="0"/>
                      <w:bCs w:val="0"/>
                      <w:color w:val="000000" w:themeColor="text1"/>
                      <w:spacing w:val="12"/>
                      <w:sz w:val="21"/>
                      <w:szCs w:val="21"/>
                      <w14:textFill>
                        <w14:solidFill>
                          <w14:schemeClr w14:val="tx1"/>
                        </w14:solidFill>
                      </w14:textFill>
                    </w:rPr>
                    <w:t>固废水洗制砂扩建项目，生产原料为</w:t>
                  </w:r>
                  <w:r>
                    <w:rPr>
                      <w:rFonts w:hint="eastAsia" w:ascii="Times New Roman" w:hAnsi="Times New Roman" w:eastAsia="宋体"/>
                      <w:b w:val="0"/>
                      <w:bCs w:val="0"/>
                      <w:color w:val="000000" w:themeColor="text1"/>
                      <w:spacing w:val="12"/>
                      <w:sz w:val="21"/>
                      <w:szCs w:val="21"/>
                      <w:lang w:val="en-US" w:eastAsia="zh-CN"/>
                      <w14:textFill>
                        <w14:solidFill>
                          <w14:schemeClr w14:val="tx1"/>
                        </w14:solidFill>
                      </w14:textFill>
                    </w:rPr>
                    <w:t>砂厂</w:t>
                  </w:r>
                  <w:r>
                    <w:rPr>
                      <w:rFonts w:ascii="Times New Roman" w:hAnsi="Times New Roman" w:eastAsia="宋体"/>
                      <w:b w:val="0"/>
                      <w:bCs w:val="0"/>
                      <w:color w:val="000000" w:themeColor="text1"/>
                      <w:spacing w:val="12"/>
                      <w:sz w:val="21"/>
                      <w:szCs w:val="21"/>
                      <w14:textFill>
                        <w14:solidFill>
                          <w14:schemeClr w14:val="tx1"/>
                        </w14:solidFill>
                      </w14:textFill>
                    </w:rPr>
                    <w:t>固废，生产工艺仅筛分、水洗、压滤，生产过程不产生、不排放《重点管控新污染物清单》内有毒有害新污染物，无新污染物排放口。</w:t>
                  </w:r>
                </w:p>
              </w:tc>
              <w:tc>
                <w:tcPr>
                  <w:tcW w:w="1299" w:type="dxa"/>
                  <w:tcBorders>
                    <w:right w:val="nil"/>
                  </w:tcBorders>
                  <w:shd w:val="clear" w:color="auto" w:fill="FFFFFF"/>
                  <w:vAlign w:val="center"/>
                </w:tcPr>
                <w:p w14:paraId="703E20E9">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10F0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0B7793E2">
                  <w:pPr>
                    <w:pStyle w:val="227"/>
                    <w:spacing w:before="114" w:line="310"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4"/>
                      <w:sz w:val="21"/>
                      <w:szCs w:val="21"/>
                      <w14:textFill>
                        <w14:solidFill>
                          <w14:schemeClr w14:val="tx1"/>
                        </w14:solidFill>
                      </w14:textFill>
                    </w:rPr>
                    <w:t>〔</w:t>
                  </w:r>
                  <w:r>
                    <w:rPr>
                      <w:rFonts w:ascii="Times New Roman" w:hAnsi="Times New Roman" w:eastAsia="宋体" w:cs="Times New Roman"/>
                      <w:b w:val="0"/>
                      <w:bCs w:val="0"/>
                      <w:color w:val="000000" w:themeColor="text1"/>
                      <w:spacing w:val="14"/>
                      <w:sz w:val="21"/>
                      <w:szCs w:val="21"/>
                      <w14:textFill>
                        <w14:solidFill>
                          <w14:schemeClr w14:val="tx1"/>
                        </w14:solidFill>
                      </w14:textFill>
                    </w:rPr>
                    <w:t>A3.2-4</w:t>
                  </w:r>
                  <w:r>
                    <w:rPr>
                      <w:rFonts w:ascii="Times New Roman" w:hAnsi="Times New Roman" w:eastAsia="宋体"/>
                      <w:b w:val="0"/>
                      <w:bCs w:val="0"/>
                      <w:color w:val="000000" w:themeColor="text1"/>
                      <w:spacing w:val="14"/>
                      <w:sz w:val="21"/>
                      <w:szCs w:val="21"/>
                      <w14:textFill>
                        <w14:solidFill>
                          <w14:schemeClr w14:val="tx1"/>
                        </w14:solidFill>
                      </w14:textFill>
                    </w:rPr>
                    <w:t>〕加强环境风险预警防控。加强涉危险</w:t>
                  </w:r>
                  <w:r>
                    <w:rPr>
                      <w:rFonts w:ascii="Times New Roman" w:hAnsi="Times New Roman" w:eastAsia="宋体"/>
                      <w:b w:val="0"/>
                      <w:bCs w:val="0"/>
                      <w:color w:val="000000" w:themeColor="text1"/>
                      <w:spacing w:val="16"/>
                      <w:sz w:val="21"/>
                      <w:szCs w:val="21"/>
                      <w14:textFill>
                        <w14:solidFill>
                          <w14:schemeClr w14:val="tx1"/>
                        </w14:solidFill>
                      </w14:textFill>
                    </w:rPr>
                    <w:t>废物企业、涉重金属企业、化工园区、集中式饮用</w:t>
                  </w:r>
                  <w:r>
                    <w:rPr>
                      <w:rFonts w:ascii="Times New Roman" w:hAnsi="Times New Roman" w:eastAsia="宋体"/>
                      <w:b w:val="0"/>
                      <w:bCs w:val="0"/>
                      <w:color w:val="000000" w:themeColor="text1"/>
                      <w:spacing w:val="6"/>
                      <w:sz w:val="21"/>
                      <w:szCs w:val="21"/>
                      <w14:textFill>
                        <w14:solidFill>
                          <w14:schemeClr w14:val="tx1"/>
                        </w14:solidFill>
                      </w14:textFill>
                    </w:rPr>
                    <w:t>水水源地及重点流域环境风险调查评估，实施分类分</w:t>
                  </w:r>
                  <w:r>
                    <w:rPr>
                      <w:rFonts w:ascii="Times New Roman" w:hAnsi="Times New Roman" w:eastAsia="宋体"/>
                      <w:b w:val="0"/>
                      <w:bCs w:val="0"/>
                      <w:color w:val="000000" w:themeColor="text1"/>
                      <w:spacing w:val="12"/>
                      <w:sz w:val="21"/>
                      <w:szCs w:val="21"/>
                      <w14:textFill>
                        <w14:solidFill>
                          <w14:schemeClr w14:val="tx1"/>
                        </w14:solidFill>
                      </w14:textFill>
                    </w:rPr>
                    <w:t>级风险管控，协同推进重点区域、流域生态环境污</w:t>
                  </w:r>
                  <w:r>
                    <w:rPr>
                      <w:rFonts w:ascii="Times New Roman" w:hAnsi="Times New Roman" w:eastAsia="宋体"/>
                      <w:b w:val="0"/>
                      <w:bCs w:val="0"/>
                      <w:color w:val="000000" w:themeColor="text1"/>
                      <w:spacing w:val="7"/>
                      <w:sz w:val="21"/>
                      <w:szCs w:val="21"/>
                      <w14:textFill>
                        <w14:solidFill>
                          <w14:schemeClr w14:val="tx1"/>
                        </w14:solidFill>
                      </w14:textFill>
                    </w:rPr>
                    <w:t>染综合防治、风险防控与生态修复。</w:t>
                  </w:r>
                </w:p>
              </w:tc>
              <w:tc>
                <w:tcPr>
                  <w:tcW w:w="2390" w:type="dxa"/>
                  <w:shd w:val="clear" w:color="auto" w:fill="FFFFFF"/>
                  <w:vAlign w:val="center"/>
                </w:tcPr>
                <w:p w14:paraId="1000DA3E">
                  <w:pPr>
                    <w:pStyle w:val="227"/>
                    <w:spacing w:before="65" w:line="333"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本项目采取了严格的</w:t>
                  </w:r>
                  <w:r>
                    <w:rPr>
                      <w:rFonts w:ascii="Times New Roman" w:hAnsi="Times New Roman" w:eastAsia="宋体"/>
                      <w:b w:val="0"/>
                      <w:bCs w:val="0"/>
                      <w:color w:val="000000" w:themeColor="text1"/>
                      <w:spacing w:val="16"/>
                      <w:sz w:val="21"/>
                      <w:szCs w:val="21"/>
                      <w14:textFill>
                        <w14:solidFill>
                          <w14:schemeClr w14:val="tx1"/>
                        </w14:solidFill>
                      </w14:textFill>
                    </w:rPr>
                    <w:t>风险防控措施，确保环</w:t>
                  </w:r>
                  <w:r>
                    <w:rPr>
                      <w:rFonts w:ascii="Times New Roman" w:hAnsi="Times New Roman" w:eastAsia="宋体"/>
                      <w:b w:val="0"/>
                      <w:bCs w:val="0"/>
                      <w:color w:val="000000" w:themeColor="text1"/>
                      <w:spacing w:val="11"/>
                      <w:sz w:val="21"/>
                      <w:szCs w:val="21"/>
                      <w14:textFill>
                        <w14:solidFill>
                          <w14:schemeClr w14:val="tx1"/>
                        </w14:solidFill>
                      </w14:textFill>
                    </w:rPr>
                    <w:t>境风险可控</w:t>
                  </w:r>
                  <w:r>
                    <w:rPr>
                      <w:rFonts w:hint="eastAsia" w:ascii="Times New Roman" w:hAnsi="Times New Roman" w:eastAsia="宋体"/>
                      <w:b w:val="0"/>
                      <w:bCs w:val="0"/>
                      <w:color w:val="000000" w:themeColor="text1"/>
                      <w:spacing w:val="11"/>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75C9F62B">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17C7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64BBA845">
                  <w:pPr>
                    <w:pStyle w:val="227"/>
                    <w:spacing w:before="113" w:line="317"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cs="Times New Roman"/>
                      <w:b w:val="0"/>
                      <w:bCs w:val="0"/>
                      <w:color w:val="000000" w:themeColor="text1"/>
                      <w:spacing w:val="12"/>
                      <w:sz w:val="21"/>
                      <w:szCs w:val="21"/>
                      <w14:textFill>
                        <w14:solidFill>
                          <w14:schemeClr w14:val="tx1"/>
                        </w14:solidFill>
                      </w14:textFill>
                    </w:rPr>
                    <w:t>A3.2-5</w:t>
                  </w:r>
                  <w:r>
                    <w:rPr>
                      <w:rFonts w:ascii="Times New Roman" w:hAnsi="Times New Roman" w:eastAsia="宋体"/>
                      <w:b w:val="0"/>
                      <w:bCs w:val="0"/>
                      <w:color w:val="000000" w:themeColor="text1"/>
                      <w:spacing w:val="12"/>
                      <w:sz w:val="21"/>
                      <w:szCs w:val="21"/>
                      <w14:textFill>
                        <w14:solidFill>
                          <w14:schemeClr w14:val="tx1"/>
                        </w14:solidFill>
                      </w14:textFill>
                    </w:rPr>
                    <w:t>〕</w:t>
                  </w:r>
                  <w:r>
                    <w:rPr>
                      <w:rFonts w:ascii="Times New Roman" w:hAnsi="Times New Roman" w:eastAsia="宋体"/>
                      <w:b w:val="0"/>
                      <w:bCs w:val="0"/>
                      <w:color w:val="000000" w:themeColor="text1"/>
                      <w:spacing w:val="-48"/>
                      <w:sz w:val="21"/>
                      <w:szCs w:val="21"/>
                      <w14:textFill>
                        <w14:solidFill>
                          <w14:schemeClr w14:val="tx1"/>
                        </w14:solidFill>
                      </w14:textFill>
                    </w:rPr>
                    <w:t xml:space="preserve"> </w:t>
                  </w:r>
                  <w:r>
                    <w:rPr>
                      <w:rFonts w:ascii="Times New Roman" w:hAnsi="Times New Roman" w:eastAsia="宋体"/>
                      <w:b w:val="0"/>
                      <w:bCs w:val="0"/>
                      <w:color w:val="000000" w:themeColor="text1"/>
                      <w:spacing w:val="12"/>
                      <w:sz w:val="21"/>
                      <w:szCs w:val="21"/>
                      <w14:textFill>
                        <w14:solidFill>
                          <w14:schemeClr w14:val="tx1"/>
                        </w14:solidFill>
                      </w14:textFill>
                    </w:rPr>
                    <w:t>强化生态环境应急管理。实施企业突</w:t>
                  </w:r>
                  <w:r>
                    <w:rPr>
                      <w:rFonts w:ascii="Times New Roman" w:hAnsi="Times New Roman" w:eastAsia="宋体"/>
                      <w:b w:val="0"/>
                      <w:bCs w:val="0"/>
                      <w:color w:val="000000" w:themeColor="text1"/>
                      <w:spacing w:val="16"/>
                      <w:sz w:val="21"/>
                      <w:szCs w:val="21"/>
                      <w14:textFill>
                        <w14:solidFill>
                          <w14:schemeClr w14:val="tx1"/>
                        </w14:solidFill>
                      </w14:textFill>
                    </w:rPr>
                    <w:t>发生态环境应急预案电子化备案，完成县级以上政</w:t>
                  </w:r>
                  <w:r>
                    <w:rPr>
                      <w:rFonts w:ascii="Times New Roman" w:hAnsi="Times New Roman" w:eastAsia="宋体"/>
                      <w:b w:val="0"/>
                      <w:bCs w:val="0"/>
                      <w:color w:val="000000" w:themeColor="text1"/>
                      <w:spacing w:val="6"/>
                      <w:sz w:val="21"/>
                      <w:szCs w:val="21"/>
                      <w14:textFill>
                        <w14:solidFill>
                          <w14:schemeClr w14:val="tx1"/>
                        </w14:solidFill>
                      </w14:textFill>
                    </w:rPr>
                    <w:t>府突发环境事件应急预案修编。完善区域和企业应急</w:t>
                  </w:r>
                  <w:r>
                    <w:rPr>
                      <w:rFonts w:ascii="Times New Roman" w:hAnsi="Times New Roman" w:eastAsia="宋体"/>
                      <w:b w:val="0"/>
                      <w:bCs w:val="0"/>
                      <w:color w:val="000000" w:themeColor="text1"/>
                      <w:spacing w:val="13"/>
                      <w:sz w:val="21"/>
                      <w:szCs w:val="21"/>
                      <w14:textFill>
                        <w14:solidFill>
                          <w14:schemeClr w14:val="tx1"/>
                        </w14:solidFill>
                      </w14:textFill>
                    </w:rPr>
                    <w:t>处置物资储备系统，结合新疆各地特征污染</w:t>
                  </w:r>
                  <w:r>
                    <w:rPr>
                      <w:rFonts w:ascii="Times New Roman" w:hAnsi="Times New Roman" w:eastAsia="宋体"/>
                      <w:b w:val="0"/>
                      <w:bCs w:val="0"/>
                      <w:color w:val="000000" w:themeColor="text1"/>
                      <w:spacing w:val="12"/>
                      <w:sz w:val="21"/>
                      <w:szCs w:val="21"/>
                      <w14:textFill>
                        <w14:solidFill>
                          <w14:schemeClr w14:val="tx1"/>
                        </w14:solidFill>
                      </w14:textFill>
                    </w:rPr>
                    <w:t>物的特</w:t>
                  </w:r>
                  <w:r>
                    <w:rPr>
                      <w:rFonts w:ascii="Times New Roman" w:hAnsi="Times New Roman" w:eastAsia="宋体"/>
                      <w:b w:val="0"/>
                      <w:bCs w:val="0"/>
                      <w:color w:val="000000" w:themeColor="text1"/>
                      <w:spacing w:val="6"/>
                      <w:sz w:val="21"/>
                      <w:szCs w:val="21"/>
                      <w14:textFill>
                        <w14:solidFill>
                          <w14:schemeClr w14:val="tx1"/>
                        </w14:solidFill>
                      </w14:textFill>
                    </w:rPr>
                    <w:t>性，加强应急物资储备及应急物资信息化建设，掌握社会应急物资储备动态信息，妥善应对各类突发生态环境事件。加强应急监测装备配置，定期开展应急演</w:t>
                  </w:r>
                  <w:r>
                    <w:rPr>
                      <w:rFonts w:ascii="Times New Roman" w:hAnsi="Times New Roman" w:eastAsia="宋体"/>
                      <w:b w:val="0"/>
                      <w:bCs w:val="0"/>
                      <w:color w:val="000000" w:themeColor="text1"/>
                      <w:spacing w:val="7"/>
                      <w:sz w:val="21"/>
                      <w:szCs w:val="21"/>
                      <w14:textFill>
                        <w14:solidFill>
                          <w14:schemeClr w14:val="tx1"/>
                        </w14:solidFill>
                      </w14:textFill>
                    </w:rPr>
                    <w:t>练，增强实战能力。</w:t>
                  </w:r>
                </w:p>
              </w:tc>
              <w:tc>
                <w:tcPr>
                  <w:tcW w:w="2390" w:type="dxa"/>
                  <w:shd w:val="clear" w:color="auto" w:fill="FFFFFF"/>
                  <w:vAlign w:val="center"/>
                </w:tcPr>
                <w:p w14:paraId="1B88CF7E">
                  <w:pPr>
                    <w:pStyle w:val="227"/>
                    <w:spacing w:before="65" w:line="333"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本次评价要求建设单</w:t>
                  </w:r>
                  <w:r>
                    <w:rPr>
                      <w:rFonts w:ascii="Times New Roman" w:hAnsi="Times New Roman" w:eastAsia="宋体"/>
                      <w:b w:val="0"/>
                      <w:bCs w:val="0"/>
                      <w:color w:val="000000" w:themeColor="text1"/>
                      <w:spacing w:val="16"/>
                      <w:sz w:val="21"/>
                      <w:szCs w:val="21"/>
                      <w14:textFill>
                        <w14:solidFill>
                          <w14:schemeClr w14:val="tx1"/>
                        </w14:solidFill>
                      </w14:textFill>
                    </w:rPr>
                    <w:t>位按照国家相关要求编制突发环境应急预案并</w:t>
                  </w:r>
                  <w:r>
                    <w:rPr>
                      <w:rFonts w:ascii="Times New Roman" w:hAnsi="Times New Roman" w:eastAsia="宋体"/>
                      <w:b w:val="0"/>
                      <w:bCs w:val="0"/>
                      <w:color w:val="000000" w:themeColor="text1"/>
                      <w:spacing w:val="7"/>
                      <w:sz w:val="21"/>
                      <w:szCs w:val="21"/>
                      <w14:textFill>
                        <w14:solidFill>
                          <w14:schemeClr w14:val="tx1"/>
                        </w14:solidFill>
                      </w14:textFill>
                    </w:rPr>
                    <w:t>备案</w:t>
                  </w:r>
                  <w:r>
                    <w:rPr>
                      <w:rFonts w:hint="eastAsia" w:ascii="Times New Roman" w:hAnsi="Times New Roman" w:eastAsia="宋体"/>
                      <w:b w:val="0"/>
                      <w:bCs w:val="0"/>
                      <w:color w:val="000000" w:themeColor="text1"/>
                      <w:spacing w:val="7"/>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0A50ED00">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802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192AC07E">
                  <w:pPr>
                    <w:pStyle w:val="227"/>
                    <w:spacing w:before="109" w:line="311"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3"/>
                      <w:sz w:val="21"/>
                      <w:szCs w:val="21"/>
                      <w14:textFill>
                        <w14:solidFill>
                          <w14:schemeClr w14:val="tx1"/>
                        </w14:solidFill>
                      </w14:textFill>
                    </w:rPr>
                    <w:t>〔</w:t>
                  </w:r>
                  <w:r>
                    <w:rPr>
                      <w:rFonts w:ascii="Times New Roman" w:hAnsi="Times New Roman" w:eastAsia="宋体" w:cs="Times New Roman"/>
                      <w:b w:val="0"/>
                      <w:bCs w:val="0"/>
                      <w:color w:val="000000" w:themeColor="text1"/>
                      <w:spacing w:val="3"/>
                      <w:sz w:val="21"/>
                      <w:szCs w:val="21"/>
                      <w14:textFill>
                        <w14:solidFill>
                          <w14:schemeClr w14:val="tx1"/>
                        </w14:solidFill>
                      </w14:textFill>
                    </w:rPr>
                    <w:t>A3.2-6</w:t>
                  </w:r>
                  <w:r>
                    <w:rPr>
                      <w:rFonts w:ascii="Times New Roman" w:hAnsi="Times New Roman" w:eastAsia="宋体"/>
                      <w:b w:val="0"/>
                      <w:bCs w:val="0"/>
                      <w:color w:val="000000" w:themeColor="text1"/>
                      <w:spacing w:val="3"/>
                      <w:sz w:val="21"/>
                      <w:szCs w:val="21"/>
                      <w14:textFill>
                        <w14:solidFill>
                          <w14:schemeClr w14:val="tx1"/>
                        </w14:solidFill>
                      </w14:textFill>
                    </w:rPr>
                    <w:t>〕强化兵地联防联控联治，落实兵地统一规划、统一政策、统一标准、统一要求、统一推进的</w:t>
                  </w:r>
                  <w:r>
                    <w:rPr>
                      <w:rFonts w:ascii="Times New Roman" w:hAnsi="Times New Roman" w:eastAsia="宋体"/>
                      <w:b w:val="0"/>
                      <w:bCs w:val="0"/>
                      <w:color w:val="000000" w:themeColor="text1"/>
                      <w:spacing w:val="-2"/>
                      <w:sz w:val="21"/>
                      <w:szCs w:val="21"/>
                      <w14:textFill>
                        <w14:solidFill>
                          <w14:schemeClr w14:val="tx1"/>
                        </w14:solidFill>
                      </w14:textFill>
                    </w:rPr>
                    <w:t>防治管理措施，完善重大项目环境影响评价区域会商、</w:t>
                  </w:r>
                  <w:r>
                    <w:rPr>
                      <w:rFonts w:ascii="Times New Roman" w:hAnsi="Times New Roman" w:eastAsia="宋体"/>
                      <w:b w:val="0"/>
                      <w:bCs w:val="0"/>
                      <w:color w:val="000000" w:themeColor="text1"/>
                      <w:spacing w:val="1"/>
                      <w:sz w:val="21"/>
                      <w:szCs w:val="21"/>
                      <w14:textFill>
                        <w14:solidFill>
                          <w14:schemeClr w14:val="tx1"/>
                        </w14:solidFill>
                      </w14:textFill>
                    </w:rPr>
                    <w:t>重污染天气兵地联合应急联动机制。建立兵</w:t>
                  </w:r>
                  <w:r>
                    <w:rPr>
                      <w:rFonts w:ascii="Times New Roman" w:hAnsi="Times New Roman" w:eastAsia="宋体"/>
                      <w:b w:val="0"/>
                      <w:bCs w:val="0"/>
                      <w:color w:val="000000" w:themeColor="text1"/>
                      <w:spacing w:val="-37"/>
                      <w:sz w:val="21"/>
                      <w:szCs w:val="21"/>
                      <w14:textFill>
                        <w14:solidFill>
                          <w14:schemeClr w14:val="tx1"/>
                        </w14:solidFill>
                      </w14:textFill>
                    </w:rPr>
                    <w:t xml:space="preserve"> </w:t>
                  </w:r>
                  <w:r>
                    <w:rPr>
                      <w:rFonts w:ascii="Times New Roman" w:hAnsi="Times New Roman" w:eastAsia="宋体"/>
                      <w:b w:val="0"/>
                      <w:bCs w:val="0"/>
                      <w:color w:val="000000" w:themeColor="text1"/>
                      <w:spacing w:val="1"/>
                      <w:sz w:val="21"/>
                      <w:szCs w:val="21"/>
                      <w14:textFill>
                        <w14:solidFill>
                          <w14:schemeClr w14:val="tx1"/>
                        </w14:solidFill>
                      </w14:textFill>
                    </w:rPr>
                    <w:t>地生态环</w:t>
                  </w:r>
                  <w:r>
                    <w:rPr>
                      <w:rFonts w:ascii="Times New Roman" w:hAnsi="Times New Roman" w:eastAsia="宋体"/>
                      <w:b w:val="0"/>
                      <w:bCs w:val="0"/>
                      <w:color w:val="000000" w:themeColor="text1"/>
                      <w:spacing w:val="2"/>
                      <w:sz w:val="21"/>
                      <w:szCs w:val="21"/>
                      <w14:textFill>
                        <w14:solidFill>
                          <w14:schemeClr w14:val="tx1"/>
                        </w14:solidFill>
                      </w14:textFill>
                    </w:rPr>
                    <w:t>境联合执法和联合监测长效机制。</w:t>
                  </w:r>
                </w:p>
              </w:tc>
              <w:tc>
                <w:tcPr>
                  <w:tcW w:w="2390" w:type="dxa"/>
                  <w:shd w:val="clear" w:color="auto" w:fill="FFFFFF"/>
                  <w:vAlign w:val="center"/>
                </w:tcPr>
                <w:p w14:paraId="2C094884">
                  <w:pPr>
                    <w:spacing w:before="58" w:line="199" w:lineRule="auto"/>
                    <w:ind w:left="0" w:leftChars="0" w:firstLine="0" w:firstLineChars="0"/>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val="0"/>
                      <w:bCs w:val="0"/>
                      <w:color w:val="000000" w:themeColor="text1"/>
                      <w:spacing w:val="2"/>
                      <w:sz w:val="21"/>
                      <w:szCs w:val="21"/>
                      <w14:textFill>
                        <w14:solidFill>
                          <w14:schemeClr w14:val="tx1"/>
                        </w14:solidFill>
                      </w14:textFill>
                    </w:rPr>
                    <w:t>/</w:t>
                  </w:r>
                </w:p>
              </w:tc>
              <w:tc>
                <w:tcPr>
                  <w:tcW w:w="1299" w:type="dxa"/>
                  <w:tcBorders>
                    <w:right w:val="nil"/>
                  </w:tcBorders>
                  <w:shd w:val="clear" w:color="auto" w:fill="FFFFFF"/>
                  <w:vAlign w:val="center"/>
                </w:tcPr>
                <w:p w14:paraId="4F4B5026">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5D3F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41745519">
                  <w:pPr>
                    <w:pStyle w:val="227"/>
                    <w:spacing w:before="110" w:line="279" w:lineRule="auto"/>
                    <w:ind w:left="0" w:leftChars="0" w:right="7"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9"/>
                      <w:sz w:val="21"/>
                      <w:szCs w:val="21"/>
                      <w14:textFill>
                        <w14:solidFill>
                          <w14:schemeClr w14:val="tx1"/>
                        </w14:solidFill>
                      </w14:textFill>
                    </w:rPr>
                    <w:t>〔</w:t>
                  </w:r>
                  <w:r>
                    <w:rPr>
                      <w:rFonts w:ascii="Times New Roman" w:hAnsi="Times New Roman" w:eastAsia="宋体" w:cs="Times New Roman"/>
                      <w:b w:val="0"/>
                      <w:bCs w:val="0"/>
                      <w:color w:val="000000" w:themeColor="text1"/>
                      <w:spacing w:val="9"/>
                      <w:sz w:val="21"/>
                      <w:szCs w:val="21"/>
                      <w14:textFill>
                        <w14:solidFill>
                          <w14:schemeClr w14:val="tx1"/>
                        </w14:solidFill>
                      </w14:textFill>
                    </w:rPr>
                    <w:t>A4.1-1</w:t>
                  </w:r>
                  <w:r>
                    <w:rPr>
                      <w:rFonts w:ascii="Times New Roman" w:hAnsi="Times New Roman" w:eastAsia="宋体"/>
                      <w:b w:val="0"/>
                      <w:bCs w:val="0"/>
                      <w:color w:val="000000" w:themeColor="text1"/>
                      <w:spacing w:val="9"/>
                      <w:sz w:val="21"/>
                      <w:szCs w:val="21"/>
                      <w14:textFill>
                        <w14:solidFill>
                          <w14:schemeClr w14:val="tx1"/>
                        </w14:solidFill>
                      </w14:textFill>
                    </w:rPr>
                    <w:t>〕自治区用水总量</w:t>
                  </w:r>
                  <w:r>
                    <w:rPr>
                      <w:rFonts w:ascii="Times New Roman" w:hAnsi="Times New Roman" w:eastAsia="宋体" w:cs="Times New Roman"/>
                      <w:b w:val="0"/>
                      <w:bCs w:val="0"/>
                      <w:color w:val="000000" w:themeColor="text1"/>
                      <w:spacing w:val="9"/>
                      <w:sz w:val="21"/>
                      <w:szCs w:val="21"/>
                      <w14:textFill>
                        <w14:solidFill>
                          <w14:schemeClr w14:val="tx1"/>
                        </w14:solidFill>
                      </w14:textFill>
                    </w:rPr>
                    <w:t>2025</w:t>
                  </w:r>
                  <w:r>
                    <w:rPr>
                      <w:rFonts w:ascii="Times New Roman" w:hAnsi="Times New Roman" w:eastAsia="宋体"/>
                      <w:b w:val="0"/>
                      <w:bCs w:val="0"/>
                      <w:color w:val="000000" w:themeColor="text1"/>
                      <w:spacing w:val="9"/>
                      <w:sz w:val="21"/>
                      <w:szCs w:val="21"/>
                      <w14:textFill>
                        <w14:solidFill>
                          <w14:schemeClr w14:val="tx1"/>
                        </w14:solidFill>
                      </w14:textFill>
                    </w:rPr>
                    <w:t>年、</w:t>
                  </w:r>
                  <w:r>
                    <w:rPr>
                      <w:rFonts w:ascii="Times New Roman" w:hAnsi="Times New Roman" w:eastAsia="宋体" w:cs="Times New Roman"/>
                      <w:b w:val="0"/>
                      <w:bCs w:val="0"/>
                      <w:color w:val="000000" w:themeColor="text1"/>
                      <w:spacing w:val="9"/>
                      <w:sz w:val="21"/>
                      <w:szCs w:val="21"/>
                      <w14:textFill>
                        <w14:solidFill>
                          <w14:schemeClr w14:val="tx1"/>
                        </w14:solidFill>
                      </w14:textFill>
                    </w:rPr>
                    <w:t>2030</w:t>
                  </w:r>
                  <w:r>
                    <w:rPr>
                      <w:rFonts w:ascii="Times New Roman" w:hAnsi="Times New Roman" w:eastAsia="宋体"/>
                      <w:b w:val="0"/>
                      <w:bCs w:val="0"/>
                      <w:color w:val="000000" w:themeColor="text1"/>
                      <w:spacing w:val="9"/>
                      <w:sz w:val="21"/>
                      <w:szCs w:val="21"/>
                      <w14:textFill>
                        <w14:solidFill>
                          <w14:schemeClr w14:val="tx1"/>
                        </w14:solidFill>
                      </w14:textFill>
                    </w:rPr>
                    <w:t>年控制</w:t>
                  </w:r>
                  <w:r>
                    <w:rPr>
                      <w:rFonts w:ascii="Times New Roman" w:hAnsi="Times New Roman" w:eastAsia="宋体"/>
                      <w:b w:val="0"/>
                      <w:bCs w:val="0"/>
                      <w:color w:val="000000" w:themeColor="text1"/>
                      <w:spacing w:val="10"/>
                      <w:sz w:val="21"/>
                      <w:szCs w:val="21"/>
                      <w14:textFill>
                        <w14:solidFill>
                          <w14:schemeClr w14:val="tx1"/>
                        </w14:solidFill>
                      </w14:textFill>
                    </w:rPr>
                    <w:t>在国家下达的指标内。</w:t>
                  </w:r>
                </w:p>
              </w:tc>
              <w:tc>
                <w:tcPr>
                  <w:tcW w:w="2390" w:type="dxa"/>
                  <w:shd w:val="clear" w:color="auto" w:fill="FFFFFF"/>
                  <w:vAlign w:val="center"/>
                </w:tcPr>
                <w:p w14:paraId="627D1425">
                  <w:pPr>
                    <w:pStyle w:val="227"/>
                    <w:spacing w:before="289"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本项目用水量较小</w:t>
                  </w:r>
                  <w:r>
                    <w:rPr>
                      <w:rFonts w:hint="eastAsia" w:ascii="Times New Roman" w:hAnsi="Times New Roman" w:eastAsia="宋体"/>
                      <w:b w:val="0"/>
                      <w:bCs w:val="0"/>
                      <w:color w:val="000000" w:themeColor="text1"/>
                      <w:spacing w:val="12"/>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47D2A63C">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37C7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565AADB">
                  <w:pPr>
                    <w:pStyle w:val="227"/>
                    <w:spacing w:before="110" w:line="332" w:lineRule="auto"/>
                    <w:ind w:left="0" w:leftChars="0" w:firstLine="0" w:firstLineChars="0"/>
                    <w:jc w:val="center"/>
                    <w:rPr>
                      <w:rFonts w:ascii="Times New Roman" w:hAnsi="Times New Roman" w:eastAsia="宋体"/>
                      <w:b w:val="0"/>
                      <w:bCs w:val="0"/>
                      <w:color w:val="000000" w:themeColor="text1"/>
                      <w:sz w:val="21"/>
                      <w:szCs w:val="21"/>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w:t>
                  </w:r>
                  <w:r>
                    <w:rPr>
                      <w:rFonts w:ascii="Times New Roman" w:hAnsi="Times New Roman" w:eastAsia="宋体" w:cs="Times New Roman"/>
                      <w:b w:val="0"/>
                      <w:bCs w:val="0"/>
                      <w:color w:val="000000" w:themeColor="text1"/>
                      <w:spacing w:val="5"/>
                      <w:sz w:val="21"/>
                      <w:szCs w:val="21"/>
                      <w14:textFill>
                        <w14:solidFill>
                          <w14:schemeClr w14:val="tx1"/>
                        </w14:solidFill>
                      </w14:textFill>
                    </w:rPr>
                    <w:t>A4.1-2</w:t>
                  </w:r>
                  <w:r>
                    <w:rPr>
                      <w:rFonts w:ascii="Times New Roman" w:hAnsi="Times New Roman" w:eastAsia="宋体"/>
                      <w:b w:val="0"/>
                      <w:bCs w:val="0"/>
                      <w:color w:val="000000" w:themeColor="text1"/>
                      <w:spacing w:val="5"/>
                      <w:sz w:val="21"/>
                      <w:szCs w:val="21"/>
                      <w14:textFill>
                        <w14:solidFill>
                          <w14:schemeClr w14:val="tx1"/>
                        </w14:solidFill>
                      </w14:textFill>
                    </w:rPr>
                    <w:t>〕加大城镇污水再生利用工程建设</w:t>
                  </w:r>
                  <w:r>
                    <w:rPr>
                      <w:rFonts w:ascii="Times New Roman" w:hAnsi="Times New Roman" w:eastAsia="宋体"/>
                      <w:b w:val="0"/>
                      <w:bCs w:val="0"/>
                      <w:color w:val="000000" w:themeColor="text1"/>
                      <w:spacing w:val="4"/>
                      <w:sz w:val="21"/>
                      <w:szCs w:val="21"/>
                      <w14:textFill>
                        <w14:solidFill>
                          <w14:schemeClr w14:val="tx1"/>
                        </w14:solidFill>
                      </w14:textFill>
                    </w:rPr>
                    <w:t>力度，推进区域再生水循环利用，到</w:t>
                  </w:r>
                  <w:r>
                    <w:rPr>
                      <w:rFonts w:ascii="Times New Roman" w:hAnsi="Times New Roman" w:eastAsia="宋体" w:cs="Times New Roman"/>
                      <w:b w:val="0"/>
                      <w:bCs w:val="0"/>
                      <w:color w:val="000000" w:themeColor="text1"/>
                      <w:spacing w:val="4"/>
                      <w:sz w:val="21"/>
                      <w:szCs w:val="21"/>
                      <w14:textFill>
                        <w14:solidFill>
                          <w14:schemeClr w14:val="tx1"/>
                        </w14:solidFill>
                      </w14:textFill>
                    </w:rPr>
                    <w:t>2025</w:t>
                  </w:r>
                  <w:r>
                    <w:rPr>
                      <w:rFonts w:ascii="Times New Roman" w:hAnsi="Times New Roman" w:eastAsia="宋体"/>
                      <w:b w:val="0"/>
                      <w:bCs w:val="0"/>
                      <w:color w:val="000000" w:themeColor="text1"/>
                      <w:spacing w:val="4"/>
                      <w:sz w:val="21"/>
                      <w:szCs w:val="21"/>
                      <w14:textFill>
                        <w14:solidFill>
                          <w14:schemeClr w14:val="tx1"/>
                        </w14:solidFill>
                      </w14:textFill>
                    </w:rPr>
                    <w:t>年，城市生活污水</w:t>
                  </w:r>
                  <w:r>
                    <w:rPr>
                      <w:rFonts w:ascii="Times New Roman" w:hAnsi="Times New Roman" w:eastAsia="宋体"/>
                      <w:b w:val="0"/>
                      <w:bCs w:val="0"/>
                      <w:color w:val="000000" w:themeColor="text1"/>
                      <w:spacing w:val="5"/>
                      <w:sz w:val="21"/>
                      <w:szCs w:val="21"/>
                      <w14:textFill>
                        <w14:solidFill>
                          <w14:schemeClr w14:val="tx1"/>
                        </w14:solidFill>
                      </w14:textFill>
                    </w:rPr>
                    <w:t>再生利用率力争达到</w:t>
                  </w:r>
                  <w:r>
                    <w:rPr>
                      <w:rFonts w:ascii="Times New Roman" w:hAnsi="Times New Roman" w:eastAsia="宋体" w:cs="Times New Roman"/>
                      <w:b w:val="0"/>
                      <w:bCs w:val="0"/>
                      <w:color w:val="000000" w:themeColor="text1"/>
                      <w:spacing w:val="5"/>
                      <w:sz w:val="21"/>
                      <w:szCs w:val="21"/>
                      <w14:textFill>
                        <w14:solidFill>
                          <w14:schemeClr w14:val="tx1"/>
                        </w14:solidFill>
                      </w14:textFill>
                    </w:rPr>
                    <w:t>60%</w:t>
                  </w:r>
                  <w:r>
                    <w:rPr>
                      <w:rFonts w:ascii="Times New Roman" w:hAnsi="Times New Roman" w:eastAsia="宋体"/>
                      <w:b w:val="0"/>
                      <w:bCs w:val="0"/>
                      <w:color w:val="000000" w:themeColor="text1"/>
                      <w:spacing w:val="5"/>
                      <w:sz w:val="21"/>
                      <w:szCs w:val="21"/>
                      <w14:textFill>
                        <w14:solidFill>
                          <w14:schemeClr w14:val="tx1"/>
                        </w14:solidFill>
                      </w14:textFill>
                    </w:rPr>
                    <w:t>。</w:t>
                  </w:r>
                </w:p>
                <w:p w14:paraId="5F0616F5">
                  <w:pPr>
                    <w:pStyle w:val="227"/>
                    <w:spacing w:before="2" w:line="296"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w:t>
                  </w:r>
                  <w:r>
                    <w:rPr>
                      <w:rFonts w:ascii="Times New Roman" w:hAnsi="Times New Roman" w:eastAsia="宋体" w:cs="Times New Roman"/>
                      <w:b w:val="0"/>
                      <w:bCs w:val="0"/>
                      <w:color w:val="000000" w:themeColor="text1"/>
                      <w:spacing w:val="5"/>
                      <w:sz w:val="21"/>
                      <w:szCs w:val="21"/>
                      <w14:textFill>
                        <w14:solidFill>
                          <w14:schemeClr w14:val="tx1"/>
                        </w14:solidFill>
                      </w14:textFill>
                    </w:rPr>
                    <w:t>A4.1-3</w:t>
                  </w:r>
                  <w:r>
                    <w:rPr>
                      <w:rFonts w:ascii="Times New Roman" w:hAnsi="Times New Roman" w:eastAsia="宋体"/>
                      <w:b w:val="0"/>
                      <w:bCs w:val="0"/>
                      <w:color w:val="000000" w:themeColor="text1"/>
                      <w:spacing w:val="5"/>
                      <w:sz w:val="21"/>
                      <w:szCs w:val="21"/>
                      <w14:textFill>
                        <w14:solidFill>
                          <w14:schemeClr w14:val="tx1"/>
                        </w14:solidFill>
                      </w14:textFill>
                    </w:rPr>
                    <w:t>〕加强农村水利基础设施建设</w:t>
                  </w:r>
                  <w:r>
                    <w:rPr>
                      <w:rFonts w:ascii="Times New Roman" w:hAnsi="Times New Roman" w:eastAsia="宋体"/>
                      <w:b w:val="0"/>
                      <w:bCs w:val="0"/>
                      <w:color w:val="000000" w:themeColor="text1"/>
                      <w:spacing w:val="4"/>
                      <w:sz w:val="21"/>
                      <w:szCs w:val="21"/>
                      <w14:textFill>
                        <w14:solidFill>
                          <w14:schemeClr w14:val="tx1"/>
                        </w14:solidFill>
                      </w14:textFill>
                    </w:rPr>
                    <w:t>，推进农村</w:t>
                  </w:r>
                  <w:r>
                    <w:rPr>
                      <w:rFonts w:ascii="Times New Roman" w:hAnsi="Times New Roman" w:eastAsia="宋体"/>
                      <w:b w:val="0"/>
                      <w:bCs w:val="0"/>
                      <w:color w:val="000000" w:themeColor="text1"/>
                      <w:sz w:val="21"/>
                      <w:szCs w:val="21"/>
                      <w14:textFill>
                        <w14:solidFill>
                          <w14:schemeClr w14:val="tx1"/>
                        </w14:solidFill>
                      </w14:textFill>
                    </w:rPr>
                    <w:t xml:space="preserve"> </w:t>
                  </w:r>
                  <w:r>
                    <w:rPr>
                      <w:rFonts w:ascii="Times New Roman" w:hAnsi="Times New Roman" w:eastAsia="宋体"/>
                      <w:b w:val="0"/>
                      <w:bCs w:val="0"/>
                      <w:color w:val="000000" w:themeColor="text1"/>
                      <w:spacing w:val="6"/>
                      <w:sz w:val="21"/>
                      <w:szCs w:val="21"/>
                      <w14:textFill>
                        <w14:solidFill>
                          <w14:schemeClr w14:val="tx1"/>
                        </w14:solidFill>
                      </w14:textFill>
                    </w:rPr>
                    <w:t>供水保障工程，农村自来水普及率、集中供水率分别</w:t>
                  </w:r>
                  <w:r>
                    <w:rPr>
                      <w:rFonts w:ascii="Times New Roman" w:hAnsi="Times New Roman" w:eastAsia="宋体"/>
                      <w:b w:val="0"/>
                      <w:bCs w:val="0"/>
                      <w:color w:val="000000" w:themeColor="text1"/>
                      <w:spacing w:val="3"/>
                      <w:sz w:val="21"/>
                      <w:szCs w:val="21"/>
                      <w14:textFill>
                        <w14:solidFill>
                          <w14:schemeClr w14:val="tx1"/>
                        </w14:solidFill>
                      </w14:textFill>
                    </w:rPr>
                    <w:t>达到</w:t>
                  </w:r>
                  <w:r>
                    <w:rPr>
                      <w:rFonts w:ascii="Times New Roman" w:hAnsi="Times New Roman" w:eastAsia="宋体" w:cs="Times New Roman"/>
                      <w:b w:val="0"/>
                      <w:bCs w:val="0"/>
                      <w:color w:val="000000" w:themeColor="text1"/>
                      <w:spacing w:val="3"/>
                      <w:sz w:val="21"/>
                      <w:szCs w:val="21"/>
                      <w14:textFill>
                        <w14:solidFill>
                          <w14:schemeClr w14:val="tx1"/>
                        </w14:solidFill>
                      </w14:textFill>
                    </w:rPr>
                    <w:t>99.3%</w:t>
                  </w:r>
                  <w:r>
                    <w:rPr>
                      <w:rFonts w:ascii="Times New Roman" w:hAnsi="Times New Roman" w:eastAsia="宋体" w:cs="Times New Roman"/>
                      <w:b w:val="0"/>
                      <w:bCs w:val="0"/>
                      <w:color w:val="000000" w:themeColor="text1"/>
                      <w:spacing w:val="-26"/>
                      <w:sz w:val="21"/>
                      <w:szCs w:val="21"/>
                      <w14:textFill>
                        <w14:solidFill>
                          <w14:schemeClr w14:val="tx1"/>
                        </w14:solidFill>
                      </w14:textFill>
                    </w:rPr>
                    <w:t xml:space="preserve"> </w:t>
                  </w:r>
                  <w:r>
                    <w:rPr>
                      <w:rFonts w:ascii="Times New Roman" w:hAnsi="Times New Roman" w:eastAsia="宋体"/>
                      <w:b w:val="0"/>
                      <w:bCs w:val="0"/>
                      <w:color w:val="000000" w:themeColor="text1"/>
                      <w:spacing w:val="3"/>
                      <w:sz w:val="21"/>
                      <w:szCs w:val="21"/>
                      <w14:textFill>
                        <w14:solidFill>
                          <w14:schemeClr w14:val="tx1"/>
                        </w14:solidFill>
                      </w14:textFill>
                    </w:rPr>
                    <w:t>、</w:t>
                  </w:r>
                  <w:r>
                    <w:rPr>
                      <w:rFonts w:ascii="Times New Roman" w:hAnsi="Times New Roman" w:eastAsia="宋体" w:cs="Times New Roman"/>
                      <w:b w:val="0"/>
                      <w:bCs w:val="0"/>
                      <w:color w:val="000000" w:themeColor="text1"/>
                      <w:spacing w:val="3"/>
                      <w:sz w:val="21"/>
                      <w:szCs w:val="21"/>
                      <w14:textFill>
                        <w14:solidFill>
                          <w14:schemeClr w14:val="tx1"/>
                        </w14:solidFill>
                      </w14:textFill>
                    </w:rPr>
                    <w:t>99.7%</w:t>
                  </w:r>
                  <w:r>
                    <w:rPr>
                      <w:rFonts w:ascii="Times New Roman" w:hAnsi="Times New Roman" w:eastAsia="宋体"/>
                      <w:b w:val="0"/>
                      <w:bCs w:val="0"/>
                      <w:color w:val="000000" w:themeColor="text1"/>
                      <w:spacing w:val="3"/>
                      <w:sz w:val="21"/>
                      <w:szCs w:val="21"/>
                      <w14:textFill>
                        <w14:solidFill>
                          <w14:schemeClr w14:val="tx1"/>
                        </w14:solidFill>
                      </w14:textFill>
                    </w:rPr>
                    <w:t>。</w:t>
                  </w:r>
                </w:p>
              </w:tc>
              <w:tc>
                <w:tcPr>
                  <w:tcW w:w="2390" w:type="dxa"/>
                  <w:shd w:val="clear" w:color="auto" w:fill="FFFFFF"/>
                  <w:vAlign w:val="center"/>
                </w:tcPr>
                <w:p w14:paraId="2F82CD65">
                  <w:pPr>
                    <w:pStyle w:val="227"/>
                    <w:spacing w:before="65" w:line="334" w:lineRule="auto"/>
                    <w:ind w:left="0" w:leftChars="0" w:right="1"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7"/>
                      <w:sz w:val="21"/>
                      <w:szCs w:val="21"/>
                      <w14:textFill>
                        <w14:solidFill>
                          <w14:schemeClr w14:val="tx1"/>
                        </w14:solidFill>
                      </w14:textFill>
                    </w:rPr>
                    <w:t>本项目</w:t>
                  </w:r>
                  <w:r>
                    <w:rPr>
                      <w:rFonts w:hint="eastAsia" w:ascii="Times New Roman" w:hAnsi="Times New Roman" w:eastAsia="宋体"/>
                      <w:b w:val="0"/>
                      <w:bCs w:val="0"/>
                      <w:color w:val="000000" w:themeColor="text1"/>
                      <w:spacing w:val="17"/>
                      <w:sz w:val="21"/>
                      <w:szCs w:val="21"/>
                      <w:lang w:val="en-US" w:eastAsia="zh-CN"/>
                      <w14:textFill>
                        <w14:solidFill>
                          <w14:schemeClr w14:val="tx1"/>
                        </w14:solidFill>
                      </w14:textFill>
                    </w:rPr>
                    <w:t>生产废水循环使用不外排，</w:t>
                  </w:r>
                  <w:r>
                    <w:rPr>
                      <w:rFonts w:hint="default" w:ascii="Times New Roman" w:hAnsi="Times New Roman" w:eastAsia="宋体"/>
                      <w:b w:val="0"/>
                      <w:bCs w:val="0"/>
                      <w:color w:val="000000" w:themeColor="text1"/>
                      <w:spacing w:val="17"/>
                      <w:sz w:val="21"/>
                      <w:szCs w:val="21"/>
                      <w14:textFill>
                        <w14:solidFill>
                          <w14:schemeClr w14:val="tx1"/>
                        </w14:solidFill>
                      </w14:textFill>
                    </w:rPr>
                    <w:t>生活污水</w:t>
                  </w:r>
                  <w:r>
                    <w:rPr>
                      <w:rFonts w:hint="default" w:ascii="Times New Roman" w:hAnsi="Times New Roman" w:eastAsia="宋体"/>
                      <w:b w:val="0"/>
                      <w:bCs w:val="0"/>
                      <w:color w:val="000000" w:themeColor="text1"/>
                      <w:spacing w:val="17"/>
                      <w:sz w:val="21"/>
                      <w:szCs w:val="21"/>
                      <w:lang w:eastAsia="zh-CN"/>
                      <w14:textFill>
                        <w14:solidFill>
                          <w14:schemeClr w14:val="tx1"/>
                        </w14:solidFill>
                      </w14:textFill>
                    </w:rPr>
                    <w:t>经</w:t>
                  </w:r>
                  <w:r>
                    <w:rPr>
                      <w:rFonts w:hint="eastAsia" w:ascii="Times New Roman" w:hAnsi="Times New Roman" w:eastAsia="宋体"/>
                      <w:b w:val="0"/>
                      <w:bCs w:val="0"/>
                      <w:color w:val="000000" w:themeColor="text1"/>
                      <w:spacing w:val="17"/>
                      <w:sz w:val="21"/>
                      <w:szCs w:val="21"/>
                      <w:lang w:eastAsia="zh-CN"/>
                      <w14:textFill>
                        <w14:solidFill>
                          <w14:schemeClr w14:val="tx1"/>
                        </w14:solidFill>
                      </w14:textFill>
                    </w:rPr>
                    <w:t>化粪池</w:t>
                  </w:r>
                  <w:r>
                    <w:rPr>
                      <w:rFonts w:hint="eastAsia" w:ascii="Times New Roman" w:hAnsi="Times New Roman" w:eastAsia="宋体"/>
                      <w:b w:val="0"/>
                      <w:bCs w:val="0"/>
                      <w:color w:val="000000" w:themeColor="text1"/>
                      <w:spacing w:val="17"/>
                      <w:sz w:val="21"/>
                      <w:szCs w:val="21"/>
                      <w:lang w:val="en-US" w:eastAsia="zh-CN"/>
                      <w14:textFill>
                        <w14:solidFill>
                          <w14:schemeClr w14:val="tx1"/>
                        </w14:solidFill>
                      </w14:textFill>
                    </w:rPr>
                    <w:t>收集</w:t>
                  </w:r>
                  <w:r>
                    <w:rPr>
                      <w:rFonts w:hint="eastAsia" w:ascii="Times New Roman" w:hAnsi="Times New Roman" w:eastAsia="宋体"/>
                      <w:b w:val="0"/>
                      <w:bCs w:val="0"/>
                      <w:color w:val="000000" w:themeColor="text1"/>
                      <w:spacing w:val="17"/>
                      <w:sz w:val="21"/>
                      <w:szCs w:val="21"/>
                      <w:lang w:eastAsia="zh-CN"/>
                      <w14:textFill>
                        <w14:solidFill>
                          <w14:schemeClr w14:val="tx1"/>
                        </w14:solidFill>
                      </w14:textFill>
                    </w:rPr>
                    <w:t>后由吸污车运往</w:t>
                  </w:r>
                  <w:r>
                    <w:rPr>
                      <w:rFonts w:hint="default" w:ascii="Times New Roman" w:hAnsi="Times New Roman" w:eastAsia="宋体"/>
                      <w:b w:val="0"/>
                      <w:bCs w:val="0"/>
                      <w:color w:val="000000" w:themeColor="text1"/>
                      <w:spacing w:val="17"/>
                      <w:sz w:val="21"/>
                      <w:szCs w:val="21"/>
                      <w:lang w:eastAsia="zh-CN"/>
                      <w14:textFill>
                        <w14:solidFill>
                          <w14:schemeClr w14:val="tx1"/>
                        </w14:solidFill>
                      </w14:textFill>
                    </w:rPr>
                    <w:t>昌吉市第二污水处理厂</w:t>
                  </w:r>
                  <w:r>
                    <w:rPr>
                      <w:rFonts w:hint="eastAsia" w:ascii="Times New Roman" w:hAnsi="Times New Roman" w:eastAsia="宋体"/>
                      <w:b w:val="0"/>
                      <w:bCs w:val="0"/>
                      <w:color w:val="000000" w:themeColor="text1"/>
                      <w:spacing w:val="7"/>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510B36A0">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BE9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7419664D">
                  <w:pPr>
                    <w:pStyle w:val="227"/>
                    <w:spacing w:before="108" w:line="306" w:lineRule="auto"/>
                    <w:ind w:left="0" w:leftChars="0" w:right="4"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3"/>
                      <w:sz w:val="21"/>
                      <w:szCs w:val="21"/>
                      <w14:textFill>
                        <w14:solidFill>
                          <w14:schemeClr w14:val="tx1"/>
                        </w14:solidFill>
                      </w14:textFill>
                    </w:rPr>
                    <w:t>〔</w:t>
                  </w:r>
                  <w:r>
                    <w:rPr>
                      <w:rFonts w:ascii="Times New Roman" w:hAnsi="Times New Roman" w:eastAsia="宋体" w:cs="Times New Roman"/>
                      <w:b w:val="0"/>
                      <w:bCs w:val="0"/>
                      <w:color w:val="000000" w:themeColor="text1"/>
                      <w:spacing w:val="13"/>
                      <w:sz w:val="21"/>
                      <w:szCs w:val="21"/>
                      <w14:textFill>
                        <w14:solidFill>
                          <w14:schemeClr w14:val="tx1"/>
                        </w14:solidFill>
                      </w14:textFill>
                    </w:rPr>
                    <w:t>A4.1-4</w:t>
                  </w:r>
                  <w:r>
                    <w:rPr>
                      <w:rFonts w:ascii="Times New Roman" w:hAnsi="Times New Roman" w:eastAsia="宋体"/>
                      <w:b w:val="0"/>
                      <w:bCs w:val="0"/>
                      <w:color w:val="000000" w:themeColor="text1"/>
                      <w:spacing w:val="13"/>
                      <w:sz w:val="21"/>
                      <w:szCs w:val="21"/>
                      <w14:textFill>
                        <w14:solidFill>
                          <w14:schemeClr w14:val="tx1"/>
                        </w14:solidFill>
                      </w14:textFill>
                    </w:rPr>
                    <w:t>〕地下水资源利用实行总量控制和水位</w:t>
                  </w:r>
                  <w:r>
                    <w:rPr>
                      <w:rFonts w:ascii="Times New Roman" w:hAnsi="Times New Roman" w:eastAsia="宋体"/>
                      <w:b w:val="0"/>
                      <w:bCs w:val="0"/>
                      <w:color w:val="000000" w:themeColor="text1"/>
                      <w:spacing w:val="16"/>
                      <w:sz w:val="21"/>
                      <w:szCs w:val="21"/>
                      <w14:textFill>
                        <w14:solidFill>
                          <w14:schemeClr w14:val="tx1"/>
                        </w14:solidFill>
                      </w14:textFill>
                    </w:rPr>
                    <w:t>控制。取用地下水资源，应当按照国家和自治区有</w:t>
                  </w:r>
                  <w:r>
                    <w:rPr>
                      <w:rFonts w:ascii="Times New Roman" w:hAnsi="Times New Roman" w:eastAsia="宋体"/>
                      <w:b w:val="0"/>
                      <w:bCs w:val="0"/>
                      <w:color w:val="000000" w:themeColor="text1"/>
                      <w:spacing w:val="6"/>
                      <w:sz w:val="21"/>
                      <w:szCs w:val="21"/>
                      <w14:textFill>
                        <w14:solidFill>
                          <w14:schemeClr w14:val="tx1"/>
                        </w14:solidFill>
                      </w14:textFill>
                    </w:rPr>
                    <w:t>关规定申请取水许可。地下水利用应当以浅层地下水</w:t>
                  </w:r>
                  <w:r>
                    <w:rPr>
                      <w:rFonts w:ascii="Times New Roman" w:hAnsi="Times New Roman" w:eastAsia="宋体"/>
                      <w:b w:val="0"/>
                      <w:bCs w:val="0"/>
                      <w:color w:val="000000" w:themeColor="text1"/>
                      <w:spacing w:val="3"/>
                      <w:sz w:val="21"/>
                      <w:szCs w:val="21"/>
                      <w14:textFill>
                        <w14:solidFill>
                          <w14:schemeClr w14:val="tx1"/>
                        </w14:solidFill>
                      </w14:textFill>
                    </w:rPr>
                    <w:t>为主。</w:t>
                  </w:r>
                </w:p>
              </w:tc>
              <w:tc>
                <w:tcPr>
                  <w:tcW w:w="2390" w:type="dxa"/>
                  <w:shd w:val="clear" w:color="auto" w:fill="FFFFFF"/>
                  <w:vAlign w:val="center"/>
                </w:tcPr>
                <w:p w14:paraId="2655657A">
                  <w:pPr>
                    <w:pStyle w:val="227"/>
                    <w:spacing w:before="65"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2"/>
                      <w:sz w:val="21"/>
                      <w:szCs w:val="21"/>
                      <w14:textFill>
                        <w14:solidFill>
                          <w14:schemeClr w14:val="tx1"/>
                        </w14:solidFill>
                      </w14:textFill>
                    </w:rPr>
                    <w:t>本项目不取用地下水</w:t>
                  </w:r>
                </w:p>
              </w:tc>
              <w:tc>
                <w:tcPr>
                  <w:tcW w:w="1299" w:type="dxa"/>
                  <w:tcBorders>
                    <w:right w:val="nil"/>
                  </w:tcBorders>
                  <w:shd w:val="clear" w:color="auto" w:fill="FFFFFF"/>
                  <w:vAlign w:val="center"/>
                </w:tcPr>
                <w:p w14:paraId="4693D0FB">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E40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671AFC89">
                  <w:pPr>
                    <w:pStyle w:val="227"/>
                    <w:spacing w:before="110" w:line="279" w:lineRule="auto"/>
                    <w:ind w:left="0" w:leftChars="0" w:right="7"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4"/>
                      <w:sz w:val="21"/>
                      <w:szCs w:val="21"/>
                      <w14:textFill>
                        <w14:solidFill>
                          <w14:schemeClr w14:val="tx1"/>
                        </w14:solidFill>
                      </w14:textFill>
                    </w:rPr>
                    <w:t>〔</w:t>
                  </w:r>
                  <w:r>
                    <w:rPr>
                      <w:rFonts w:ascii="Times New Roman" w:hAnsi="Times New Roman" w:eastAsia="宋体" w:cs="Times New Roman"/>
                      <w:b w:val="0"/>
                      <w:bCs w:val="0"/>
                      <w:color w:val="000000" w:themeColor="text1"/>
                      <w:spacing w:val="14"/>
                      <w:sz w:val="21"/>
                      <w:szCs w:val="21"/>
                      <w14:textFill>
                        <w14:solidFill>
                          <w14:schemeClr w14:val="tx1"/>
                        </w14:solidFill>
                      </w14:textFill>
                    </w:rPr>
                    <w:t>A4.2-1</w:t>
                  </w:r>
                  <w:r>
                    <w:rPr>
                      <w:rFonts w:ascii="Times New Roman" w:hAnsi="Times New Roman" w:eastAsia="宋体"/>
                      <w:b w:val="0"/>
                      <w:bCs w:val="0"/>
                      <w:color w:val="000000" w:themeColor="text1"/>
                      <w:spacing w:val="14"/>
                      <w:sz w:val="21"/>
                      <w:szCs w:val="21"/>
                      <w14:textFill>
                        <w14:solidFill>
                          <w14:schemeClr w14:val="tx1"/>
                        </w14:solidFill>
                      </w14:textFill>
                    </w:rPr>
                    <w:t>〕土地资源上线指标控制在最终批复的</w:t>
                  </w:r>
                  <w:r>
                    <w:rPr>
                      <w:rFonts w:ascii="Times New Roman" w:hAnsi="Times New Roman" w:eastAsia="宋体"/>
                      <w:b w:val="0"/>
                      <w:bCs w:val="0"/>
                      <w:color w:val="000000" w:themeColor="text1"/>
                      <w:spacing w:val="9"/>
                      <w:sz w:val="21"/>
                      <w:szCs w:val="21"/>
                      <w14:textFill>
                        <w14:solidFill>
                          <w14:schemeClr w14:val="tx1"/>
                        </w14:solidFill>
                      </w14:textFill>
                    </w:rPr>
                    <w:t>国土空间规划控制指标内。</w:t>
                  </w:r>
                </w:p>
              </w:tc>
              <w:tc>
                <w:tcPr>
                  <w:tcW w:w="2390" w:type="dxa"/>
                  <w:shd w:val="clear" w:color="auto" w:fill="FFFFFF"/>
                  <w:vAlign w:val="center"/>
                </w:tcPr>
                <w:p w14:paraId="10E18ED0">
                  <w:pPr>
                    <w:spacing w:before="291" w:line="199" w:lineRule="auto"/>
                    <w:ind w:left="0" w:leftChars="0" w:firstLine="0" w:firstLineChars="0"/>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val="0"/>
                      <w:bCs w:val="0"/>
                      <w:color w:val="000000" w:themeColor="text1"/>
                      <w:spacing w:val="2"/>
                      <w:sz w:val="21"/>
                      <w:szCs w:val="21"/>
                      <w14:textFill>
                        <w14:solidFill>
                          <w14:schemeClr w14:val="tx1"/>
                        </w14:solidFill>
                      </w14:textFill>
                    </w:rPr>
                    <w:t>/</w:t>
                  </w:r>
                </w:p>
              </w:tc>
              <w:tc>
                <w:tcPr>
                  <w:tcW w:w="1299" w:type="dxa"/>
                  <w:tcBorders>
                    <w:right w:val="nil"/>
                  </w:tcBorders>
                  <w:shd w:val="clear" w:color="auto" w:fill="FFFFFF"/>
                  <w:vAlign w:val="center"/>
                </w:tcPr>
                <w:p w14:paraId="6B320C78">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1DE3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25FBB9A5">
                  <w:pPr>
                    <w:pStyle w:val="227"/>
                    <w:spacing w:before="110" w:line="332" w:lineRule="auto"/>
                    <w:ind w:left="0" w:leftChars="0" w:right="7" w:firstLine="0" w:firstLineChars="0"/>
                    <w:jc w:val="center"/>
                    <w:rPr>
                      <w:rFonts w:ascii="Times New Roman" w:hAnsi="Times New Roman" w:eastAsia="宋体"/>
                      <w:b w:val="0"/>
                      <w:bCs w:val="0"/>
                      <w:color w:val="000000" w:themeColor="text1"/>
                      <w:sz w:val="21"/>
                      <w:szCs w:val="21"/>
                      <w14:textFill>
                        <w14:solidFill>
                          <w14:schemeClr w14:val="tx1"/>
                        </w14:solidFill>
                      </w14:textFill>
                    </w:rPr>
                  </w:pPr>
                  <w:r>
                    <w:rPr>
                      <w:rFonts w:ascii="Times New Roman" w:hAnsi="Times New Roman" w:eastAsia="宋体"/>
                      <w:b w:val="0"/>
                      <w:bCs w:val="0"/>
                      <w:color w:val="000000" w:themeColor="text1"/>
                      <w:spacing w:val="14"/>
                      <w:sz w:val="21"/>
                      <w:szCs w:val="21"/>
                      <w14:textFill>
                        <w14:solidFill>
                          <w14:schemeClr w14:val="tx1"/>
                        </w14:solidFill>
                      </w14:textFill>
                    </w:rPr>
                    <w:t>〔</w:t>
                  </w:r>
                  <w:r>
                    <w:rPr>
                      <w:rFonts w:ascii="Times New Roman" w:hAnsi="Times New Roman" w:eastAsia="宋体" w:cs="Times New Roman"/>
                      <w:b w:val="0"/>
                      <w:bCs w:val="0"/>
                      <w:color w:val="000000" w:themeColor="text1"/>
                      <w:spacing w:val="14"/>
                      <w:sz w:val="21"/>
                      <w:szCs w:val="21"/>
                      <w14:textFill>
                        <w14:solidFill>
                          <w14:schemeClr w14:val="tx1"/>
                        </w14:solidFill>
                      </w14:textFill>
                    </w:rPr>
                    <w:t>A4.3-1</w:t>
                  </w:r>
                  <w:r>
                    <w:rPr>
                      <w:rFonts w:ascii="Times New Roman" w:hAnsi="Times New Roman" w:eastAsia="宋体"/>
                      <w:b w:val="0"/>
                      <w:bCs w:val="0"/>
                      <w:color w:val="000000" w:themeColor="text1"/>
                      <w:spacing w:val="14"/>
                      <w:sz w:val="21"/>
                      <w:szCs w:val="21"/>
                      <w14:textFill>
                        <w14:solidFill>
                          <w14:schemeClr w14:val="tx1"/>
                        </w14:solidFill>
                      </w14:textFill>
                    </w:rPr>
                    <w:t>〕单位地区生产总值二氧化碳排放降低</w:t>
                  </w:r>
                  <w:r>
                    <w:rPr>
                      <w:rFonts w:ascii="Times New Roman" w:hAnsi="Times New Roman" w:eastAsia="宋体"/>
                      <w:b w:val="0"/>
                      <w:bCs w:val="0"/>
                      <w:color w:val="000000" w:themeColor="text1"/>
                      <w:spacing w:val="10"/>
                      <w:sz w:val="21"/>
                      <w:szCs w:val="21"/>
                      <w14:textFill>
                        <w14:solidFill>
                          <w14:schemeClr w14:val="tx1"/>
                        </w14:solidFill>
                      </w14:textFill>
                    </w:rPr>
                    <w:t>水平完成国家下达指标。</w:t>
                  </w:r>
                </w:p>
                <w:p w14:paraId="1E48C602">
                  <w:pPr>
                    <w:pStyle w:val="227"/>
                    <w:spacing w:line="332" w:lineRule="auto"/>
                    <w:ind w:left="0" w:leftChars="0" w:right="7" w:firstLine="0" w:firstLineChars="0"/>
                    <w:jc w:val="center"/>
                    <w:rPr>
                      <w:rFonts w:ascii="Times New Roman" w:hAnsi="Times New Roman" w:eastAsia="宋体"/>
                      <w:b w:val="0"/>
                      <w:bCs w:val="0"/>
                      <w:color w:val="000000" w:themeColor="text1"/>
                      <w:sz w:val="21"/>
                      <w:szCs w:val="21"/>
                      <w14:textFill>
                        <w14:solidFill>
                          <w14:schemeClr w14:val="tx1"/>
                        </w14:solidFill>
                      </w14:textFill>
                    </w:rPr>
                  </w:pPr>
                  <w:r>
                    <w:rPr>
                      <w:rFonts w:ascii="Times New Roman" w:hAnsi="Times New Roman" w:eastAsia="宋体"/>
                      <w:b w:val="0"/>
                      <w:bCs w:val="0"/>
                      <w:color w:val="000000" w:themeColor="text1"/>
                      <w:spacing w:val="9"/>
                      <w:sz w:val="21"/>
                      <w:szCs w:val="21"/>
                      <w14:textFill>
                        <w14:solidFill>
                          <w14:schemeClr w14:val="tx1"/>
                        </w14:solidFill>
                      </w14:textFill>
                    </w:rPr>
                    <w:t>〔</w:t>
                  </w:r>
                  <w:r>
                    <w:rPr>
                      <w:rFonts w:ascii="Times New Roman" w:hAnsi="Times New Roman" w:eastAsia="宋体" w:cs="Times New Roman"/>
                      <w:b w:val="0"/>
                      <w:bCs w:val="0"/>
                      <w:color w:val="000000" w:themeColor="text1"/>
                      <w:spacing w:val="9"/>
                      <w:sz w:val="21"/>
                      <w:szCs w:val="21"/>
                      <w14:textFill>
                        <w14:solidFill>
                          <w14:schemeClr w14:val="tx1"/>
                        </w14:solidFill>
                      </w14:textFill>
                    </w:rPr>
                    <w:t>A4.3-2</w:t>
                  </w:r>
                  <w:r>
                    <w:rPr>
                      <w:rFonts w:ascii="Times New Roman" w:hAnsi="Times New Roman" w:eastAsia="宋体"/>
                      <w:b w:val="0"/>
                      <w:bCs w:val="0"/>
                      <w:color w:val="000000" w:themeColor="text1"/>
                      <w:spacing w:val="9"/>
                      <w:sz w:val="21"/>
                      <w:szCs w:val="21"/>
                      <w14:textFill>
                        <w14:solidFill>
                          <w14:schemeClr w14:val="tx1"/>
                        </w14:solidFill>
                      </w14:textFill>
                    </w:rPr>
                    <w:t>〕到</w:t>
                  </w:r>
                  <w:r>
                    <w:rPr>
                      <w:rFonts w:ascii="Times New Roman" w:hAnsi="Times New Roman" w:eastAsia="宋体" w:cs="Times New Roman"/>
                      <w:b w:val="0"/>
                      <w:bCs w:val="0"/>
                      <w:color w:val="000000" w:themeColor="text1"/>
                      <w:spacing w:val="9"/>
                      <w:sz w:val="21"/>
                      <w:szCs w:val="21"/>
                      <w14:textFill>
                        <w14:solidFill>
                          <w14:schemeClr w14:val="tx1"/>
                        </w14:solidFill>
                      </w14:textFill>
                    </w:rPr>
                    <w:t>2025</w:t>
                  </w:r>
                  <w:r>
                    <w:rPr>
                      <w:rFonts w:ascii="Times New Roman" w:hAnsi="Times New Roman" w:eastAsia="宋体"/>
                      <w:b w:val="0"/>
                      <w:bCs w:val="0"/>
                      <w:color w:val="000000" w:themeColor="text1"/>
                      <w:spacing w:val="9"/>
                      <w:sz w:val="21"/>
                      <w:szCs w:val="21"/>
                      <w14:textFill>
                        <w14:solidFill>
                          <w14:schemeClr w14:val="tx1"/>
                        </w14:solidFill>
                      </w14:textFill>
                    </w:rPr>
                    <w:t>年，自治区万元国内生产总值</w:t>
                  </w:r>
                  <w:r>
                    <w:rPr>
                      <w:rFonts w:ascii="Times New Roman" w:hAnsi="Times New Roman" w:eastAsia="宋体"/>
                      <w:b w:val="0"/>
                      <w:bCs w:val="0"/>
                      <w:color w:val="000000" w:themeColor="text1"/>
                      <w:spacing w:val="7"/>
                      <w:sz w:val="21"/>
                      <w:szCs w:val="21"/>
                      <w14:textFill>
                        <w14:solidFill>
                          <w14:schemeClr w14:val="tx1"/>
                        </w14:solidFill>
                      </w14:textFill>
                    </w:rPr>
                    <w:t>能耗比</w:t>
                  </w:r>
                  <w:r>
                    <w:rPr>
                      <w:rFonts w:ascii="Times New Roman" w:hAnsi="Times New Roman" w:eastAsia="宋体" w:cs="Times New Roman"/>
                      <w:b w:val="0"/>
                      <w:bCs w:val="0"/>
                      <w:color w:val="000000" w:themeColor="text1"/>
                      <w:spacing w:val="7"/>
                      <w:sz w:val="21"/>
                      <w:szCs w:val="21"/>
                      <w14:textFill>
                        <w14:solidFill>
                          <w14:schemeClr w14:val="tx1"/>
                        </w14:solidFill>
                      </w14:textFill>
                    </w:rPr>
                    <w:t>2020</w:t>
                  </w:r>
                  <w:r>
                    <w:rPr>
                      <w:rFonts w:ascii="Times New Roman" w:hAnsi="Times New Roman" w:eastAsia="宋体"/>
                      <w:b w:val="0"/>
                      <w:bCs w:val="0"/>
                      <w:color w:val="000000" w:themeColor="text1"/>
                      <w:spacing w:val="7"/>
                      <w:sz w:val="21"/>
                      <w:szCs w:val="21"/>
                      <w14:textFill>
                        <w14:solidFill>
                          <w14:schemeClr w14:val="tx1"/>
                        </w14:solidFill>
                      </w14:textFill>
                    </w:rPr>
                    <w:t>年下降</w:t>
                  </w:r>
                  <w:r>
                    <w:rPr>
                      <w:rFonts w:ascii="Times New Roman" w:hAnsi="Times New Roman" w:eastAsia="宋体" w:cs="Times New Roman"/>
                      <w:b w:val="0"/>
                      <w:bCs w:val="0"/>
                      <w:color w:val="000000" w:themeColor="text1"/>
                      <w:spacing w:val="7"/>
                      <w:sz w:val="21"/>
                      <w:szCs w:val="21"/>
                      <w14:textFill>
                        <w14:solidFill>
                          <w14:schemeClr w14:val="tx1"/>
                        </w14:solidFill>
                      </w14:textFill>
                    </w:rPr>
                    <w:t>14.5%</w:t>
                  </w:r>
                  <w:r>
                    <w:rPr>
                      <w:rFonts w:ascii="Times New Roman" w:hAnsi="Times New Roman" w:eastAsia="宋体"/>
                      <w:b w:val="0"/>
                      <w:bCs w:val="0"/>
                      <w:color w:val="000000" w:themeColor="text1"/>
                      <w:spacing w:val="7"/>
                      <w:sz w:val="21"/>
                      <w:szCs w:val="21"/>
                      <w14:textFill>
                        <w14:solidFill>
                          <w14:schemeClr w14:val="tx1"/>
                        </w14:solidFill>
                      </w14:textFill>
                    </w:rPr>
                    <w:t>。</w:t>
                  </w:r>
                </w:p>
                <w:p w14:paraId="75AB0209">
                  <w:pPr>
                    <w:pStyle w:val="227"/>
                    <w:spacing w:before="1" w:line="278" w:lineRule="auto"/>
                    <w:ind w:left="0" w:leftChars="0" w:right="4"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w:t>
                  </w:r>
                  <w:r>
                    <w:rPr>
                      <w:rFonts w:ascii="Times New Roman" w:hAnsi="Times New Roman" w:eastAsia="宋体" w:cs="Times New Roman"/>
                      <w:b w:val="0"/>
                      <w:bCs w:val="0"/>
                      <w:color w:val="000000" w:themeColor="text1"/>
                      <w:spacing w:val="5"/>
                      <w:sz w:val="21"/>
                      <w:szCs w:val="21"/>
                      <w14:textFill>
                        <w14:solidFill>
                          <w14:schemeClr w14:val="tx1"/>
                        </w14:solidFill>
                      </w14:textFill>
                    </w:rPr>
                    <w:t>A4.3-3</w:t>
                  </w:r>
                  <w:r>
                    <w:rPr>
                      <w:rFonts w:ascii="Times New Roman" w:hAnsi="Times New Roman" w:eastAsia="宋体"/>
                      <w:b w:val="0"/>
                      <w:bCs w:val="0"/>
                      <w:color w:val="000000" w:themeColor="text1"/>
                      <w:spacing w:val="5"/>
                      <w:sz w:val="21"/>
                      <w:szCs w:val="21"/>
                      <w14:textFill>
                        <w14:solidFill>
                          <w14:schemeClr w14:val="tx1"/>
                        </w14:solidFill>
                      </w14:textFill>
                    </w:rPr>
                    <w:t>〕到</w:t>
                  </w:r>
                  <w:r>
                    <w:rPr>
                      <w:rFonts w:ascii="Times New Roman" w:hAnsi="Times New Roman" w:eastAsia="宋体" w:cs="Times New Roman"/>
                      <w:b w:val="0"/>
                      <w:bCs w:val="0"/>
                      <w:color w:val="000000" w:themeColor="text1"/>
                      <w:spacing w:val="5"/>
                      <w:sz w:val="21"/>
                      <w:szCs w:val="21"/>
                      <w14:textFill>
                        <w14:solidFill>
                          <w14:schemeClr w14:val="tx1"/>
                        </w14:solidFill>
                      </w14:textFill>
                    </w:rPr>
                    <w:t>2025</w:t>
                  </w:r>
                  <w:r>
                    <w:rPr>
                      <w:rFonts w:ascii="Times New Roman" w:hAnsi="Times New Roman" w:eastAsia="宋体"/>
                      <w:b w:val="0"/>
                      <w:bCs w:val="0"/>
                      <w:color w:val="000000" w:themeColor="text1"/>
                      <w:spacing w:val="5"/>
                      <w:sz w:val="21"/>
                      <w:szCs w:val="21"/>
                      <w14:textFill>
                        <w14:solidFill>
                          <w14:schemeClr w14:val="tx1"/>
                        </w14:solidFill>
                      </w14:textFill>
                    </w:rPr>
                    <w:t>年，非化石能源占一次能源消费比重达</w:t>
                  </w:r>
                  <w:r>
                    <w:rPr>
                      <w:rFonts w:ascii="Times New Roman" w:hAnsi="Times New Roman" w:eastAsia="宋体" w:cs="Times New Roman"/>
                      <w:b w:val="0"/>
                      <w:bCs w:val="0"/>
                      <w:color w:val="000000" w:themeColor="text1"/>
                      <w:spacing w:val="5"/>
                      <w:sz w:val="21"/>
                      <w:szCs w:val="21"/>
                      <w14:textFill>
                        <w14:solidFill>
                          <w14:schemeClr w14:val="tx1"/>
                        </w14:solidFill>
                      </w14:textFill>
                    </w:rPr>
                    <w:t>18%</w:t>
                  </w:r>
                  <w:r>
                    <w:rPr>
                      <w:rFonts w:ascii="Times New Roman" w:hAnsi="Times New Roman" w:eastAsia="宋体"/>
                      <w:b w:val="0"/>
                      <w:bCs w:val="0"/>
                      <w:color w:val="000000" w:themeColor="text1"/>
                      <w:spacing w:val="5"/>
                      <w:sz w:val="21"/>
                      <w:szCs w:val="21"/>
                      <w14:textFill>
                        <w14:solidFill>
                          <w14:schemeClr w14:val="tx1"/>
                        </w14:solidFill>
                      </w14:textFill>
                    </w:rPr>
                    <w:t>以上。</w:t>
                  </w:r>
                </w:p>
              </w:tc>
              <w:tc>
                <w:tcPr>
                  <w:tcW w:w="2390" w:type="dxa"/>
                  <w:shd w:val="clear" w:color="auto" w:fill="FFFFFF"/>
                  <w:vAlign w:val="center"/>
                </w:tcPr>
                <w:p w14:paraId="7A618254">
                  <w:pPr>
                    <w:spacing w:before="58" w:line="199" w:lineRule="auto"/>
                    <w:jc w:val="cente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b w:val="0"/>
                      <w:bCs w:val="0"/>
                      <w:color w:val="000000" w:themeColor="text1"/>
                      <w:spacing w:val="2"/>
                      <w:sz w:val="21"/>
                      <w:szCs w:val="21"/>
                      <w14:textFill>
                        <w14:solidFill>
                          <w14:schemeClr w14:val="tx1"/>
                        </w14:solidFill>
                      </w14:textFill>
                    </w:rPr>
                    <w:t>/</w:t>
                  </w:r>
                </w:p>
              </w:tc>
              <w:tc>
                <w:tcPr>
                  <w:tcW w:w="1299" w:type="dxa"/>
                  <w:tcBorders>
                    <w:right w:val="nil"/>
                  </w:tcBorders>
                  <w:shd w:val="clear" w:color="auto" w:fill="FFFFFF"/>
                  <w:vAlign w:val="center"/>
                </w:tcPr>
                <w:p w14:paraId="381CB298">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7D50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562C588F">
                  <w:pPr>
                    <w:pStyle w:val="227"/>
                    <w:spacing w:before="112" w:line="278" w:lineRule="auto"/>
                    <w:ind w:left="0" w:leftChars="0" w:right="9"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3"/>
                      <w:sz w:val="21"/>
                      <w:szCs w:val="21"/>
                      <w14:textFill>
                        <w14:solidFill>
                          <w14:schemeClr w14:val="tx1"/>
                        </w14:solidFill>
                      </w14:textFill>
                    </w:rPr>
                    <w:t>〔</w:t>
                  </w:r>
                  <w:r>
                    <w:rPr>
                      <w:rFonts w:ascii="Times New Roman" w:hAnsi="Times New Roman" w:eastAsia="宋体" w:cs="Times New Roman"/>
                      <w:b w:val="0"/>
                      <w:bCs w:val="0"/>
                      <w:color w:val="000000" w:themeColor="text1"/>
                      <w:spacing w:val="13"/>
                      <w:sz w:val="21"/>
                      <w:szCs w:val="21"/>
                      <w14:textFill>
                        <w14:solidFill>
                          <w14:schemeClr w14:val="tx1"/>
                        </w14:solidFill>
                      </w14:textFill>
                    </w:rPr>
                    <w:t>A4.3-4</w:t>
                  </w:r>
                  <w:r>
                    <w:rPr>
                      <w:rFonts w:ascii="Times New Roman" w:hAnsi="Times New Roman" w:eastAsia="宋体"/>
                      <w:b w:val="0"/>
                      <w:bCs w:val="0"/>
                      <w:color w:val="000000" w:themeColor="text1"/>
                      <w:spacing w:val="13"/>
                      <w:sz w:val="21"/>
                      <w:szCs w:val="21"/>
                      <w14:textFill>
                        <w14:solidFill>
                          <w14:schemeClr w14:val="tx1"/>
                        </w14:solidFill>
                      </w14:textFill>
                    </w:rPr>
                    <w:t>〕鼓励使用清洁能源或电厂热力、工业</w:t>
                  </w:r>
                  <w:r>
                    <w:rPr>
                      <w:rFonts w:ascii="Times New Roman" w:hAnsi="Times New Roman" w:eastAsia="宋体"/>
                      <w:b w:val="0"/>
                      <w:bCs w:val="0"/>
                      <w:color w:val="000000" w:themeColor="text1"/>
                      <w:spacing w:val="11"/>
                      <w:sz w:val="21"/>
                      <w:szCs w:val="21"/>
                      <w14:textFill>
                        <w14:solidFill>
                          <w14:schemeClr w14:val="tx1"/>
                        </w14:solidFill>
                      </w14:textFill>
                    </w:rPr>
                    <w:t>余热等替代锅炉、炉窑燃料用煤。</w:t>
                  </w:r>
                </w:p>
              </w:tc>
              <w:tc>
                <w:tcPr>
                  <w:tcW w:w="2390" w:type="dxa"/>
                  <w:shd w:val="clear" w:color="auto" w:fill="FFFFFF"/>
                  <w:vAlign w:val="center"/>
                </w:tcPr>
                <w:p w14:paraId="5DE31571">
                  <w:pPr>
                    <w:pStyle w:val="227"/>
                    <w:spacing w:before="112" w:line="278"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b w:val="0"/>
                      <w:bCs w:val="0"/>
                      <w:color w:val="000000" w:themeColor="text1"/>
                      <w:spacing w:val="15"/>
                      <w:sz w:val="21"/>
                      <w:szCs w:val="21"/>
                      <w14:textFill>
                        <w14:solidFill>
                          <w14:schemeClr w14:val="tx1"/>
                        </w14:solidFill>
                      </w14:textFill>
                    </w:rPr>
                    <w:t>本项目</w:t>
                  </w:r>
                  <w:r>
                    <w:rPr>
                      <w:rFonts w:hint="eastAsia" w:ascii="Times New Roman" w:hAnsi="Times New Roman" w:eastAsia="宋体"/>
                      <w:b w:val="0"/>
                      <w:bCs w:val="0"/>
                      <w:color w:val="000000" w:themeColor="text1"/>
                      <w:spacing w:val="15"/>
                      <w:sz w:val="21"/>
                      <w:szCs w:val="21"/>
                      <w:lang w:val="en-US" w:eastAsia="zh-CN"/>
                      <w14:textFill>
                        <w14:solidFill>
                          <w14:schemeClr w14:val="tx1"/>
                        </w14:solidFill>
                      </w14:textFill>
                    </w:rPr>
                    <w:t>不涉及</w:t>
                  </w:r>
                  <w:r>
                    <w:rPr>
                      <w:rFonts w:hint="eastAsia" w:ascii="Times New Roman" w:hAnsi="Times New Roman" w:eastAsia="宋体"/>
                      <w:b w:val="0"/>
                      <w:bCs w:val="0"/>
                      <w:color w:val="000000" w:themeColor="text1"/>
                      <w:spacing w:val="15"/>
                      <w:sz w:val="21"/>
                      <w:szCs w:val="21"/>
                      <w:lang w:eastAsia="zh-CN"/>
                      <w14:textFill>
                        <w14:solidFill>
                          <w14:schemeClr w14:val="tx1"/>
                        </w14:solidFill>
                      </w14:textFill>
                    </w:rPr>
                    <w:t>。</w:t>
                  </w:r>
                </w:p>
              </w:tc>
              <w:tc>
                <w:tcPr>
                  <w:tcW w:w="1299" w:type="dxa"/>
                  <w:tcBorders>
                    <w:right w:val="nil"/>
                  </w:tcBorders>
                  <w:shd w:val="clear" w:color="auto" w:fill="FFFFFF"/>
                  <w:vAlign w:val="center"/>
                </w:tcPr>
                <w:p w14:paraId="1A90AFA1">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03F5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334216E2">
                  <w:pPr>
                    <w:pStyle w:val="227"/>
                    <w:spacing w:before="112" w:line="305" w:lineRule="auto"/>
                    <w:ind w:left="0" w:leftChars="0" w:right="2"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cs="Times New Roman"/>
                      <w:b w:val="0"/>
                      <w:bCs w:val="0"/>
                      <w:color w:val="000000" w:themeColor="text1"/>
                      <w:spacing w:val="11"/>
                      <w:sz w:val="21"/>
                      <w:szCs w:val="21"/>
                      <w14:textFill>
                        <w14:solidFill>
                          <w14:schemeClr w14:val="tx1"/>
                        </w14:solidFill>
                      </w14:textFill>
                    </w:rPr>
                    <w:t>A4.3-5</w:t>
                  </w:r>
                  <w:r>
                    <w:rPr>
                      <w:rFonts w:ascii="Times New Roman" w:hAnsi="Times New Roman" w:eastAsia="宋体"/>
                      <w:b w:val="0"/>
                      <w:bCs w:val="0"/>
                      <w:color w:val="000000" w:themeColor="text1"/>
                      <w:spacing w:val="11"/>
                      <w:sz w:val="21"/>
                      <w:szCs w:val="21"/>
                      <w14:textFill>
                        <w14:solidFill>
                          <w14:schemeClr w14:val="tx1"/>
                        </w14:solidFill>
                      </w14:textFill>
                    </w:rPr>
                    <w:t>〕以碳达峰碳中和工作为引领，着力提</w:t>
                  </w:r>
                  <w:r>
                    <w:rPr>
                      <w:rFonts w:ascii="Times New Roman" w:hAnsi="Times New Roman" w:eastAsia="宋体"/>
                      <w:b w:val="0"/>
                      <w:bCs w:val="0"/>
                      <w:color w:val="000000" w:themeColor="text1"/>
                      <w:sz w:val="21"/>
                      <w:szCs w:val="21"/>
                      <w14:textFill>
                        <w14:solidFill>
                          <w14:schemeClr w14:val="tx1"/>
                        </w14:solidFill>
                      </w14:textFill>
                    </w:rPr>
                    <w:t xml:space="preserve"> </w:t>
                  </w:r>
                  <w:r>
                    <w:rPr>
                      <w:rFonts w:ascii="Times New Roman" w:hAnsi="Times New Roman" w:eastAsia="宋体"/>
                      <w:b w:val="0"/>
                      <w:bCs w:val="0"/>
                      <w:color w:val="000000" w:themeColor="text1"/>
                      <w:spacing w:val="6"/>
                      <w:sz w:val="21"/>
                      <w:szCs w:val="21"/>
                      <w14:textFill>
                        <w14:solidFill>
                          <w14:schemeClr w14:val="tx1"/>
                        </w14:solidFill>
                      </w14:textFill>
                    </w:rPr>
                    <w:t>高能源资源利用效率。引导重点行业深入实施清洁生产改造，钢铁、建材、石油化工等重点行业以及其他</w:t>
                  </w:r>
                  <w:r>
                    <w:rPr>
                      <w:rFonts w:ascii="Times New Roman" w:hAnsi="Times New Roman" w:eastAsia="宋体"/>
                      <w:b w:val="0"/>
                      <w:bCs w:val="0"/>
                      <w:color w:val="000000" w:themeColor="text1"/>
                      <w:spacing w:val="8"/>
                      <w:sz w:val="21"/>
                      <w:szCs w:val="21"/>
                      <w14:textFill>
                        <w14:solidFill>
                          <w14:schemeClr w14:val="tx1"/>
                        </w14:solidFill>
                      </w14:textFill>
                    </w:rPr>
                    <w:t>行业重点用能单位持续开展节能降耗。</w:t>
                  </w:r>
                </w:p>
              </w:tc>
              <w:tc>
                <w:tcPr>
                  <w:tcW w:w="2390" w:type="dxa"/>
                  <w:shd w:val="clear" w:color="auto" w:fill="FFFFFF"/>
                  <w:vAlign w:val="center"/>
                </w:tcPr>
                <w:p w14:paraId="57BB458D">
                  <w:pPr>
                    <w:pStyle w:val="227"/>
                    <w:spacing w:before="65"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本项目用能较低</w:t>
                  </w:r>
                </w:p>
              </w:tc>
              <w:tc>
                <w:tcPr>
                  <w:tcW w:w="1299" w:type="dxa"/>
                  <w:tcBorders>
                    <w:right w:val="nil"/>
                  </w:tcBorders>
                  <w:shd w:val="clear" w:color="auto" w:fill="FFFFFF"/>
                  <w:vAlign w:val="center"/>
                </w:tcPr>
                <w:p w14:paraId="2CCD3C92">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645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06873580">
                  <w:pPr>
                    <w:pStyle w:val="227"/>
                    <w:spacing w:before="112" w:line="305"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6"/>
                      <w:sz w:val="21"/>
                      <w:szCs w:val="21"/>
                      <w14:textFill>
                        <w14:solidFill>
                          <w14:schemeClr w14:val="tx1"/>
                        </w14:solidFill>
                      </w14:textFill>
                    </w:rPr>
                    <w:t>〔</w:t>
                  </w:r>
                  <w:r>
                    <w:rPr>
                      <w:rFonts w:ascii="Times New Roman" w:hAnsi="Times New Roman" w:eastAsia="宋体" w:cs="Times New Roman"/>
                      <w:b w:val="0"/>
                      <w:bCs w:val="0"/>
                      <w:color w:val="000000" w:themeColor="text1"/>
                      <w:spacing w:val="6"/>
                      <w:sz w:val="21"/>
                      <w:szCs w:val="21"/>
                      <w14:textFill>
                        <w14:solidFill>
                          <w14:schemeClr w14:val="tx1"/>
                        </w14:solidFill>
                      </w14:textFill>
                    </w:rPr>
                    <w:t>A4.3-6</w:t>
                  </w:r>
                  <w:r>
                    <w:rPr>
                      <w:rFonts w:ascii="Times New Roman" w:hAnsi="Times New Roman" w:eastAsia="宋体"/>
                      <w:b w:val="0"/>
                      <w:bCs w:val="0"/>
                      <w:color w:val="000000" w:themeColor="text1"/>
                      <w:spacing w:val="6"/>
                      <w:sz w:val="21"/>
                      <w:szCs w:val="21"/>
                      <w14:textFill>
                        <w14:solidFill>
                          <w14:schemeClr w14:val="tx1"/>
                        </w14:solidFill>
                      </w14:textFill>
                    </w:rPr>
                    <w:t>〕深入推进碳达峰碳中和行动。推</w:t>
                  </w:r>
                  <w:r>
                    <w:rPr>
                      <w:rFonts w:ascii="Times New Roman" w:hAnsi="Times New Roman" w:eastAsia="宋体"/>
                      <w:b w:val="0"/>
                      <w:bCs w:val="0"/>
                      <w:color w:val="000000" w:themeColor="text1"/>
                      <w:spacing w:val="5"/>
                      <w:sz w:val="21"/>
                      <w:szCs w:val="21"/>
                      <w14:textFill>
                        <w14:solidFill>
                          <w14:schemeClr w14:val="tx1"/>
                        </w14:solidFill>
                      </w14:textFill>
                    </w:rPr>
                    <w:t>动能源</w:t>
                  </w:r>
                  <w:r>
                    <w:rPr>
                      <w:rFonts w:ascii="Times New Roman" w:hAnsi="Times New Roman" w:eastAsia="宋体"/>
                      <w:b w:val="0"/>
                      <w:bCs w:val="0"/>
                      <w:color w:val="000000" w:themeColor="text1"/>
                      <w:spacing w:val="7"/>
                      <w:sz w:val="21"/>
                      <w:szCs w:val="21"/>
                      <w14:textFill>
                        <w14:solidFill>
                          <w14:schemeClr w14:val="tx1"/>
                        </w14:solidFill>
                      </w14:textFill>
                    </w:rPr>
                    <w:t>清洁低碳转型，加强能耗</w:t>
                  </w:r>
                  <w:r>
                    <w:rPr>
                      <w:rFonts w:ascii="Times New Roman" w:hAnsi="Times New Roman" w:eastAsia="宋体" w:cs="Times New Roman"/>
                      <w:b w:val="0"/>
                      <w:bCs w:val="0"/>
                      <w:color w:val="000000" w:themeColor="text1"/>
                      <w:spacing w:val="7"/>
                      <w:sz w:val="21"/>
                      <w:szCs w:val="21"/>
                      <w14:textFill>
                        <w14:solidFill>
                          <w14:schemeClr w14:val="tx1"/>
                        </w14:solidFill>
                      </w14:textFill>
                    </w:rPr>
                    <w:t>“</w:t>
                  </w:r>
                  <w:r>
                    <w:rPr>
                      <w:rFonts w:ascii="Times New Roman" w:hAnsi="Times New Roman" w:eastAsia="宋体"/>
                      <w:b w:val="0"/>
                      <w:bCs w:val="0"/>
                      <w:color w:val="000000" w:themeColor="text1"/>
                      <w:spacing w:val="7"/>
                      <w:sz w:val="21"/>
                      <w:szCs w:val="21"/>
                      <w14:textFill>
                        <w14:solidFill>
                          <w14:schemeClr w14:val="tx1"/>
                        </w14:solidFill>
                      </w14:textFill>
                    </w:rPr>
                    <w:t>双控</w:t>
                  </w:r>
                  <w:r>
                    <w:rPr>
                      <w:rFonts w:ascii="Times New Roman" w:hAnsi="Times New Roman" w:eastAsia="宋体" w:cs="Times New Roman"/>
                      <w:b w:val="0"/>
                      <w:bCs w:val="0"/>
                      <w:color w:val="000000" w:themeColor="text1"/>
                      <w:spacing w:val="7"/>
                      <w:sz w:val="21"/>
                      <w:szCs w:val="21"/>
                      <w14:textFill>
                        <w14:solidFill>
                          <w14:schemeClr w14:val="tx1"/>
                        </w14:solidFill>
                      </w14:textFill>
                    </w:rPr>
                    <w:t>”</w:t>
                  </w:r>
                  <w:r>
                    <w:rPr>
                      <w:rFonts w:ascii="Times New Roman" w:hAnsi="Times New Roman" w:eastAsia="宋体"/>
                      <w:b w:val="0"/>
                      <w:bCs w:val="0"/>
                      <w:color w:val="000000" w:themeColor="text1"/>
                      <w:spacing w:val="7"/>
                      <w:sz w:val="21"/>
                      <w:szCs w:val="21"/>
                      <w14:textFill>
                        <w14:solidFill>
                          <w14:schemeClr w14:val="tx1"/>
                        </w14:solidFill>
                      </w14:textFill>
                    </w:rPr>
                    <w:t>管理，优化能源消费</w:t>
                  </w:r>
                  <w:r>
                    <w:rPr>
                      <w:rFonts w:ascii="Times New Roman" w:hAnsi="Times New Roman" w:eastAsia="宋体"/>
                      <w:b w:val="0"/>
                      <w:bCs w:val="0"/>
                      <w:color w:val="000000" w:themeColor="text1"/>
                      <w:spacing w:val="6"/>
                      <w:sz w:val="21"/>
                      <w:szCs w:val="21"/>
                      <w14:textFill>
                        <w14:solidFill>
                          <w14:schemeClr w14:val="tx1"/>
                        </w14:solidFill>
                      </w14:textFill>
                    </w:rPr>
                    <w:t>结构。新增原料用能不纳入能源消费总量控制。持续</w:t>
                  </w:r>
                  <w:r>
                    <w:rPr>
                      <w:rFonts w:ascii="Times New Roman" w:hAnsi="Times New Roman" w:eastAsia="宋体"/>
                      <w:b w:val="0"/>
                      <w:bCs w:val="0"/>
                      <w:color w:val="000000" w:themeColor="text1"/>
                      <w:spacing w:val="5"/>
                      <w:sz w:val="21"/>
                      <w:szCs w:val="21"/>
                      <w14:textFill>
                        <w14:solidFill>
                          <w14:schemeClr w14:val="tx1"/>
                        </w14:solidFill>
                      </w14:textFill>
                    </w:rPr>
                    <w:t>推进散煤整治。</w:t>
                  </w:r>
                </w:p>
              </w:tc>
              <w:tc>
                <w:tcPr>
                  <w:tcW w:w="2390" w:type="dxa"/>
                  <w:shd w:val="clear" w:color="auto" w:fill="FFFFFF"/>
                  <w:vAlign w:val="center"/>
                </w:tcPr>
                <w:p w14:paraId="6747D5C2">
                  <w:pPr>
                    <w:pStyle w:val="227"/>
                    <w:spacing w:before="65"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0"/>
                      <w:sz w:val="21"/>
                      <w:szCs w:val="21"/>
                      <w14:textFill>
                        <w14:solidFill>
                          <w14:schemeClr w14:val="tx1"/>
                        </w14:solidFill>
                      </w14:textFill>
                    </w:rPr>
                    <w:t>本项目不涉及煤炭</w:t>
                  </w:r>
                </w:p>
              </w:tc>
              <w:tc>
                <w:tcPr>
                  <w:tcW w:w="1299" w:type="dxa"/>
                  <w:tcBorders>
                    <w:right w:val="nil"/>
                  </w:tcBorders>
                  <w:shd w:val="clear" w:color="auto" w:fill="FFFFFF"/>
                  <w:vAlign w:val="center"/>
                </w:tcPr>
                <w:p w14:paraId="715742DF">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B7B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3D4216D7">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ascii="Times New Roman" w:hAnsi="Times New Roman" w:eastAsia="宋体"/>
                      <w:b w:val="0"/>
                      <w:bCs w:val="0"/>
                      <w:color w:val="000000" w:themeColor="text1"/>
                      <w:spacing w:val="13"/>
                      <w:sz w:val="21"/>
                      <w:szCs w:val="21"/>
                      <w14:textFill>
                        <w14:solidFill>
                          <w14:schemeClr w14:val="tx1"/>
                        </w14:solidFill>
                      </w14:textFill>
                    </w:rPr>
                    <w:t>〔</w:t>
                  </w:r>
                  <w:r>
                    <w:rPr>
                      <w:rFonts w:ascii="Times New Roman" w:hAnsi="Times New Roman" w:eastAsia="宋体" w:cs="Times New Roman"/>
                      <w:b w:val="0"/>
                      <w:bCs w:val="0"/>
                      <w:color w:val="000000" w:themeColor="text1"/>
                      <w:spacing w:val="13"/>
                      <w:sz w:val="21"/>
                      <w:szCs w:val="21"/>
                      <w14:textFill>
                        <w14:solidFill>
                          <w14:schemeClr w14:val="tx1"/>
                        </w14:solidFill>
                      </w14:textFill>
                    </w:rPr>
                    <w:t>A4.4-1</w:t>
                  </w:r>
                  <w:r>
                    <w:rPr>
                      <w:rFonts w:ascii="Times New Roman" w:hAnsi="Times New Roman" w:eastAsia="宋体"/>
                      <w:b w:val="0"/>
                      <w:bCs w:val="0"/>
                      <w:color w:val="000000" w:themeColor="text1"/>
                      <w:spacing w:val="13"/>
                      <w:sz w:val="21"/>
                      <w:szCs w:val="21"/>
                      <w14:textFill>
                        <w14:solidFill>
                          <w14:schemeClr w14:val="tx1"/>
                        </w14:solidFill>
                      </w14:textFill>
                    </w:rPr>
                    <w:t>〕在禁燃区内，禁止销售、燃用高污染</w:t>
                  </w:r>
                  <w:r>
                    <w:rPr>
                      <w:rFonts w:ascii="Times New Roman" w:hAnsi="Times New Roman" w:eastAsia="宋体"/>
                      <w:b w:val="0"/>
                      <w:bCs w:val="0"/>
                      <w:color w:val="000000" w:themeColor="text1"/>
                      <w:spacing w:val="6"/>
                      <w:sz w:val="21"/>
                      <w:szCs w:val="21"/>
                      <w14:textFill>
                        <w14:solidFill>
                          <w14:schemeClr w14:val="tx1"/>
                        </w14:solidFill>
                      </w14:textFill>
                    </w:rPr>
                    <w:t>燃料；禁止新建、扩建燃用高污染燃料的设施。已建</w:t>
                  </w:r>
                  <w:r>
                    <w:rPr>
                      <w:rFonts w:ascii="Times New Roman" w:hAnsi="Times New Roman" w:eastAsia="宋体"/>
                      <w:b w:val="0"/>
                      <w:bCs w:val="0"/>
                      <w:color w:val="000000" w:themeColor="text1"/>
                      <w:spacing w:val="7"/>
                      <w:sz w:val="21"/>
                      <w:szCs w:val="21"/>
                      <w14:textFill>
                        <w14:solidFill>
                          <w14:schemeClr w14:val="tx1"/>
                        </w14:solidFill>
                      </w14:textFill>
                    </w:rPr>
                    <w:t>成的，应当在规定期限内改用清洁能源。</w:t>
                  </w:r>
                </w:p>
              </w:tc>
              <w:tc>
                <w:tcPr>
                  <w:tcW w:w="2390" w:type="dxa"/>
                  <w:shd w:val="clear" w:color="auto" w:fill="FFFFFF"/>
                  <w:vAlign w:val="center"/>
                </w:tcPr>
                <w:p w14:paraId="6C1060C8">
                  <w:pPr>
                    <w:pStyle w:val="227"/>
                    <w:spacing w:before="113" w:line="279" w:lineRule="auto"/>
                    <w:ind w:left="0" w:leftChars="0" w:right="6" w:righ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5"/>
                      <w:sz w:val="21"/>
                      <w:szCs w:val="21"/>
                      <w14:textFill>
                        <w14:solidFill>
                          <w14:schemeClr w14:val="tx1"/>
                        </w14:solidFill>
                      </w14:textFill>
                    </w:rPr>
                    <w:t>本项目不使用高污染</w:t>
                  </w:r>
                  <w:r>
                    <w:rPr>
                      <w:rFonts w:ascii="Times New Roman" w:hAnsi="Times New Roman" w:eastAsia="宋体"/>
                      <w:b w:val="0"/>
                      <w:bCs w:val="0"/>
                      <w:color w:val="000000" w:themeColor="text1"/>
                      <w:spacing w:val="8"/>
                      <w:sz w:val="21"/>
                      <w:szCs w:val="21"/>
                      <w14:textFill>
                        <w14:solidFill>
                          <w14:schemeClr w14:val="tx1"/>
                        </w14:solidFill>
                      </w14:textFill>
                    </w:rPr>
                    <w:t>燃料</w:t>
                  </w:r>
                </w:p>
              </w:tc>
              <w:tc>
                <w:tcPr>
                  <w:tcW w:w="1299" w:type="dxa"/>
                  <w:tcBorders>
                    <w:right w:val="nil"/>
                  </w:tcBorders>
                  <w:shd w:val="clear" w:color="auto" w:fill="FFFFFF"/>
                  <w:vAlign w:val="center"/>
                </w:tcPr>
                <w:p w14:paraId="02E84001">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4218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6A183BAB">
                  <w:pPr>
                    <w:pStyle w:val="227"/>
                    <w:spacing w:before="107" w:line="323"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cs="Times New Roman"/>
                      <w:b w:val="0"/>
                      <w:bCs w:val="0"/>
                      <w:color w:val="000000" w:themeColor="text1"/>
                      <w:spacing w:val="11"/>
                      <w:sz w:val="21"/>
                      <w:szCs w:val="21"/>
                      <w14:textFill>
                        <w14:solidFill>
                          <w14:schemeClr w14:val="tx1"/>
                        </w14:solidFill>
                      </w14:textFill>
                    </w:rPr>
                    <w:t>A4.5-1</w:t>
                  </w:r>
                  <w:r>
                    <w:rPr>
                      <w:rFonts w:ascii="Times New Roman" w:hAnsi="Times New Roman" w:eastAsia="宋体"/>
                      <w:b w:val="0"/>
                      <w:bCs w:val="0"/>
                      <w:color w:val="000000" w:themeColor="text1"/>
                      <w:spacing w:val="11"/>
                      <w:sz w:val="21"/>
                      <w:szCs w:val="21"/>
                      <w14:textFill>
                        <w14:solidFill>
                          <w14:schemeClr w14:val="tx1"/>
                        </w14:solidFill>
                      </w14:textFill>
                    </w:rPr>
                    <w:t>〕加强固体废物源头减量、资源化</w:t>
                  </w:r>
                  <w:r>
                    <w:rPr>
                      <w:rFonts w:ascii="Times New Roman" w:hAnsi="Times New Roman" w:eastAsia="宋体"/>
                      <w:b w:val="0"/>
                      <w:bCs w:val="0"/>
                      <w:color w:val="000000" w:themeColor="text1"/>
                      <w:spacing w:val="10"/>
                      <w:sz w:val="21"/>
                      <w:szCs w:val="21"/>
                      <w14:textFill>
                        <w14:solidFill>
                          <w14:schemeClr w14:val="tx1"/>
                        </w14:solidFill>
                      </w14:textFill>
                    </w:rPr>
                    <w:t>利用</w:t>
                  </w:r>
                  <w:r>
                    <w:rPr>
                      <w:rFonts w:ascii="Times New Roman" w:hAnsi="Times New Roman" w:eastAsia="宋体"/>
                      <w:b w:val="0"/>
                      <w:bCs w:val="0"/>
                      <w:color w:val="000000" w:themeColor="text1"/>
                      <w:spacing w:val="3"/>
                      <w:sz w:val="21"/>
                      <w:szCs w:val="21"/>
                      <w14:textFill>
                        <w14:solidFill>
                          <w14:schemeClr w14:val="tx1"/>
                        </w14:solidFill>
                      </w14:textFill>
                    </w:rPr>
                    <w:t>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w:t>
                  </w:r>
                  <w:r>
                    <w:rPr>
                      <w:rFonts w:ascii="Times New Roman" w:hAnsi="Times New Roman" w:eastAsia="宋体"/>
                      <w:b w:val="0"/>
                      <w:bCs w:val="0"/>
                      <w:color w:val="000000" w:themeColor="text1"/>
                      <w:spacing w:val="-2"/>
                      <w:sz w:val="21"/>
                      <w:szCs w:val="21"/>
                      <w14:textFill>
                        <w14:solidFill>
                          <w14:schemeClr w14:val="tx1"/>
                        </w14:solidFill>
                      </w14:textFill>
                    </w:rPr>
                    <w:t>企业</w:t>
                  </w:r>
                  <w:r>
                    <w:rPr>
                      <w:rFonts w:ascii="Times New Roman" w:hAnsi="Times New Roman" w:eastAsia="宋体" w:cs="Times New Roman"/>
                      <w:b w:val="0"/>
                      <w:bCs w:val="0"/>
                      <w:color w:val="000000" w:themeColor="text1"/>
                      <w:spacing w:val="-2"/>
                      <w:sz w:val="21"/>
                      <w:szCs w:val="21"/>
                      <w14:textFill>
                        <w14:solidFill>
                          <w14:schemeClr w14:val="tx1"/>
                        </w14:solidFill>
                      </w14:textFill>
                    </w:rPr>
                    <w:t>“</w:t>
                  </w:r>
                  <w:r>
                    <w:rPr>
                      <w:rFonts w:ascii="Times New Roman" w:hAnsi="Times New Roman" w:eastAsia="宋体"/>
                      <w:b w:val="0"/>
                      <w:bCs w:val="0"/>
                      <w:color w:val="000000" w:themeColor="text1"/>
                      <w:spacing w:val="-2"/>
                      <w:sz w:val="21"/>
                      <w:szCs w:val="21"/>
                      <w14:textFill>
                        <w14:solidFill>
                          <w14:schemeClr w14:val="tx1"/>
                        </w14:solidFill>
                      </w14:textFill>
                    </w:rPr>
                    <w:t>逆向回收</w:t>
                  </w:r>
                  <w:r>
                    <w:rPr>
                      <w:rFonts w:ascii="Times New Roman" w:hAnsi="Times New Roman" w:eastAsia="宋体" w:cs="Times New Roman"/>
                      <w:b w:val="0"/>
                      <w:bCs w:val="0"/>
                      <w:color w:val="000000" w:themeColor="text1"/>
                      <w:spacing w:val="-2"/>
                      <w:sz w:val="21"/>
                      <w:szCs w:val="21"/>
                      <w14:textFill>
                        <w14:solidFill>
                          <w14:schemeClr w14:val="tx1"/>
                        </w14:solidFill>
                      </w14:textFill>
                    </w:rPr>
                    <w:t>”</w:t>
                  </w:r>
                  <w:r>
                    <w:rPr>
                      <w:rFonts w:ascii="Times New Roman" w:hAnsi="Times New Roman" w:eastAsia="宋体"/>
                      <w:b w:val="0"/>
                      <w:bCs w:val="0"/>
                      <w:color w:val="000000" w:themeColor="text1"/>
                      <w:spacing w:val="-2"/>
                      <w:sz w:val="21"/>
                      <w:szCs w:val="21"/>
                      <w14:textFill>
                        <w14:solidFill>
                          <w14:schemeClr w14:val="tx1"/>
                        </w14:solidFill>
                      </w14:textFill>
                    </w:rPr>
                    <w:t>等模式。以尾矿和共伴生矿、煤矸石、</w:t>
                  </w:r>
                  <w:r>
                    <w:rPr>
                      <w:rFonts w:ascii="Times New Roman" w:hAnsi="Times New Roman" w:eastAsia="宋体"/>
                      <w:b w:val="0"/>
                      <w:bCs w:val="0"/>
                      <w:color w:val="000000" w:themeColor="text1"/>
                      <w:spacing w:val="3"/>
                      <w:sz w:val="21"/>
                      <w:szCs w:val="21"/>
                      <w14:textFill>
                        <w14:solidFill>
                          <w14:schemeClr w14:val="tx1"/>
                        </w14:solidFill>
                      </w14:textFill>
                    </w:rPr>
                    <w:t>炉渣、粉煤灰、脱硫石膏、冶炼渣、建筑垃圾等为重点，持续推进固体废物综合利用和环境整治，不断提</w:t>
                  </w:r>
                  <w:r>
                    <w:rPr>
                      <w:rFonts w:ascii="Times New Roman" w:hAnsi="Times New Roman" w:eastAsia="宋体"/>
                      <w:b w:val="0"/>
                      <w:bCs w:val="0"/>
                      <w:color w:val="000000" w:themeColor="text1"/>
                      <w:spacing w:val="12"/>
                      <w:sz w:val="21"/>
                      <w:szCs w:val="21"/>
                      <w14:textFill>
                        <w14:solidFill>
                          <w14:schemeClr w14:val="tx1"/>
                        </w14:solidFill>
                      </w14:textFill>
                    </w:rPr>
                    <w:t>高大宗固体废物资源化利用水平。推行生活垃圾分</w:t>
                  </w:r>
                  <w:r>
                    <w:rPr>
                      <w:rFonts w:ascii="Times New Roman" w:hAnsi="Times New Roman" w:eastAsia="宋体"/>
                      <w:b w:val="0"/>
                      <w:bCs w:val="0"/>
                      <w:color w:val="000000" w:themeColor="text1"/>
                      <w:spacing w:val="-2"/>
                      <w:sz w:val="21"/>
                      <w:szCs w:val="21"/>
                      <w14:textFill>
                        <w14:solidFill>
                          <w14:schemeClr w14:val="tx1"/>
                        </w14:solidFill>
                      </w14:textFill>
                    </w:rPr>
                    <w:t>类，加快建设县（市）生活垃圾处理设施，</w:t>
                  </w:r>
                  <w:r>
                    <w:rPr>
                      <w:rFonts w:ascii="Times New Roman" w:hAnsi="Times New Roman" w:eastAsia="宋体"/>
                      <w:b w:val="0"/>
                      <w:bCs w:val="0"/>
                      <w:color w:val="000000" w:themeColor="text1"/>
                      <w:spacing w:val="-3"/>
                      <w:sz w:val="21"/>
                      <w:szCs w:val="21"/>
                      <w14:textFill>
                        <w14:solidFill>
                          <w14:schemeClr w14:val="tx1"/>
                        </w14:solidFill>
                      </w14:textFill>
                    </w:rPr>
                    <w:t>到</w:t>
                  </w:r>
                  <w:r>
                    <w:rPr>
                      <w:rFonts w:ascii="Times New Roman" w:hAnsi="Times New Roman" w:eastAsia="宋体" w:cs="Times New Roman"/>
                      <w:b w:val="0"/>
                      <w:bCs w:val="0"/>
                      <w:color w:val="000000" w:themeColor="text1"/>
                      <w:spacing w:val="-3"/>
                      <w:sz w:val="21"/>
                      <w:szCs w:val="21"/>
                      <w14:textFill>
                        <w14:solidFill>
                          <w14:schemeClr w14:val="tx1"/>
                        </w14:solidFill>
                      </w14:textFill>
                    </w:rPr>
                    <w:t>2025</w:t>
                  </w:r>
                  <w:r>
                    <w:rPr>
                      <w:rFonts w:ascii="Times New Roman" w:hAnsi="Times New Roman" w:eastAsia="宋体"/>
                      <w:b w:val="0"/>
                      <w:bCs w:val="0"/>
                      <w:color w:val="000000" w:themeColor="text1"/>
                      <w:spacing w:val="-3"/>
                      <w:sz w:val="21"/>
                      <w:szCs w:val="21"/>
                      <w14:textFill>
                        <w14:solidFill>
                          <w14:schemeClr w14:val="tx1"/>
                        </w14:solidFill>
                      </w14:textFill>
                    </w:rPr>
                    <w:t>年，</w:t>
                  </w:r>
                  <w:r>
                    <w:rPr>
                      <w:rFonts w:ascii="Times New Roman" w:hAnsi="Times New Roman" w:eastAsia="宋体"/>
                      <w:b w:val="0"/>
                      <w:bCs w:val="0"/>
                      <w:color w:val="000000" w:themeColor="text1"/>
                      <w:spacing w:val="4"/>
                      <w:sz w:val="21"/>
                      <w:szCs w:val="21"/>
                      <w14:textFill>
                        <w14:solidFill>
                          <w14:schemeClr w14:val="tx1"/>
                        </w14:solidFill>
                      </w14:textFill>
                    </w:rPr>
                    <w:t>全疆城市生活垃圾无害化处理率达到</w:t>
                  </w:r>
                  <w:r>
                    <w:rPr>
                      <w:rFonts w:ascii="Times New Roman" w:hAnsi="Times New Roman" w:eastAsia="宋体" w:cs="Times New Roman"/>
                      <w:b w:val="0"/>
                      <w:bCs w:val="0"/>
                      <w:color w:val="000000" w:themeColor="text1"/>
                      <w:spacing w:val="4"/>
                      <w:sz w:val="21"/>
                      <w:szCs w:val="21"/>
                      <w14:textFill>
                        <w14:solidFill>
                          <w14:schemeClr w14:val="tx1"/>
                        </w14:solidFill>
                      </w14:textFill>
                    </w:rPr>
                    <w:t>99%</w:t>
                  </w:r>
                  <w:r>
                    <w:rPr>
                      <w:rFonts w:ascii="Times New Roman" w:hAnsi="Times New Roman" w:eastAsia="宋体"/>
                      <w:b w:val="0"/>
                      <w:bCs w:val="0"/>
                      <w:color w:val="000000" w:themeColor="text1"/>
                      <w:spacing w:val="4"/>
                      <w:sz w:val="21"/>
                      <w:szCs w:val="21"/>
                      <w14:textFill>
                        <w14:solidFill>
                          <w14:schemeClr w14:val="tx1"/>
                        </w14:solidFill>
                      </w14:textFill>
                    </w:rPr>
                    <w:t>以上。</w:t>
                  </w:r>
                </w:p>
              </w:tc>
              <w:tc>
                <w:tcPr>
                  <w:tcW w:w="2390" w:type="dxa"/>
                  <w:shd w:val="clear" w:color="auto" w:fill="FFFFFF"/>
                  <w:vAlign w:val="center"/>
                </w:tcPr>
                <w:p w14:paraId="57DA7A65">
                  <w:pPr>
                    <w:pStyle w:val="227"/>
                    <w:spacing w:before="65" w:line="336"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本项目固废均得到合</w:t>
                  </w:r>
                  <w:r>
                    <w:rPr>
                      <w:rFonts w:ascii="Times New Roman" w:hAnsi="Times New Roman" w:eastAsia="宋体"/>
                      <w:b w:val="0"/>
                      <w:bCs w:val="0"/>
                      <w:color w:val="000000" w:themeColor="text1"/>
                      <w:spacing w:val="5"/>
                      <w:sz w:val="21"/>
                      <w:szCs w:val="21"/>
                      <w14:textFill>
                        <w14:solidFill>
                          <w14:schemeClr w14:val="tx1"/>
                        </w14:solidFill>
                      </w14:textFill>
                    </w:rPr>
                    <w:t>理处置</w:t>
                  </w:r>
                </w:p>
              </w:tc>
              <w:tc>
                <w:tcPr>
                  <w:tcW w:w="1299" w:type="dxa"/>
                  <w:tcBorders>
                    <w:right w:val="nil"/>
                  </w:tcBorders>
                  <w:shd w:val="clear" w:color="auto" w:fill="FFFFFF"/>
                  <w:vAlign w:val="center"/>
                </w:tcPr>
                <w:p w14:paraId="4F18F0E5">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3070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0914F9B2">
                  <w:pPr>
                    <w:pStyle w:val="227"/>
                    <w:spacing w:before="113" w:line="318"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1"/>
                      <w:sz w:val="21"/>
                      <w:szCs w:val="21"/>
                      <w14:textFill>
                        <w14:solidFill>
                          <w14:schemeClr w14:val="tx1"/>
                        </w14:solidFill>
                      </w14:textFill>
                    </w:rPr>
                    <w:t>〔</w:t>
                  </w:r>
                  <w:r>
                    <w:rPr>
                      <w:rFonts w:ascii="Times New Roman" w:hAnsi="Times New Roman" w:eastAsia="宋体" w:cs="Times New Roman"/>
                      <w:b w:val="0"/>
                      <w:bCs w:val="0"/>
                      <w:color w:val="000000" w:themeColor="text1"/>
                      <w:spacing w:val="11"/>
                      <w:sz w:val="21"/>
                      <w:szCs w:val="21"/>
                      <w14:textFill>
                        <w14:solidFill>
                          <w14:schemeClr w14:val="tx1"/>
                        </w14:solidFill>
                      </w14:textFill>
                    </w:rPr>
                    <w:t>A4.5-2</w:t>
                  </w:r>
                  <w:r>
                    <w:rPr>
                      <w:rFonts w:ascii="Times New Roman" w:hAnsi="Times New Roman" w:eastAsia="宋体"/>
                      <w:b w:val="0"/>
                      <w:bCs w:val="0"/>
                      <w:color w:val="000000" w:themeColor="text1"/>
                      <w:spacing w:val="11"/>
                      <w:sz w:val="21"/>
                      <w:szCs w:val="21"/>
                      <w14:textFill>
                        <w14:solidFill>
                          <w14:schemeClr w14:val="tx1"/>
                        </w14:solidFill>
                      </w14:textFill>
                    </w:rPr>
                    <w:t>〕推动工业固废按元素价值综合开发利</w:t>
                  </w:r>
                  <w:r>
                    <w:rPr>
                      <w:rFonts w:ascii="Times New Roman" w:hAnsi="Times New Roman" w:eastAsia="宋体"/>
                      <w:b w:val="0"/>
                      <w:bCs w:val="0"/>
                      <w:color w:val="000000" w:themeColor="text1"/>
                      <w:spacing w:val="6"/>
                      <w:sz w:val="21"/>
                      <w:szCs w:val="21"/>
                      <w14:textFill>
                        <w14:solidFill>
                          <w14:schemeClr w14:val="tx1"/>
                        </w14:solidFill>
                      </w14:textFill>
                    </w:rPr>
                    <w:t>用，加快推进尾矿（共伴生矿）、粉煤灰、煤矸石、</w:t>
                  </w:r>
                  <w:r>
                    <w:rPr>
                      <w:rFonts w:ascii="Times New Roman" w:hAnsi="Times New Roman" w:eastAsia="宋体"/>
                      <w:b w:val="0"/>
                      <w:bCs w:val="0"/>
                      <w:color w:val="000000" w:themeColor="text1"/>
                      <w:spacing w:val="3"/>
                      <w:sz w:val="21"/>
                      <w:szCs w:val="21"/>
                      <w14:textFill>
                        <w14:solidFill>
                          <w14:schemeClr w14:val="tx1"/>
                        </w14:solidFill>
                      </w14:textFill>
                    </w:rPr>
                    <w:t>冶炼渣、工业副产石膏、赤泥、化工废渣等工业固废</w:t>
                  </w:r>
                  <w:r>
                    <w:rPr>
                      <w:rFonts w:ascii="Times New Roman" w:hAnsi="Times New Roman" w:eastAsia="宋体"/>
                      <w:b w:val="0"/>
                      <w:bCs w:val="0"/>
                      <w:color w:val="000000" w:themeColor="text1"/>
                      <w:spacing w:val="7"/>
                      <w:sz w:val="21"/>
                      <w:szCs w:val="21"/>
                      <w14:textFill>
                        <w14:solidFill>
                          <w14:schemeClr w14:val="tx1"/>
                        </w14:solidFill>
                      </w14:textFill>
                    </w:rPr>
                    <w:t>在有价组分提取、建材生产、市政设施建设、井下</w:t>
                  </w:r>
                  <w:r>
                    <w:rPr>
                      <w:rFonts w:ascii="Times New Roman" w:hAnsi="Times New Roman" w:eastAsia="宋体"/>
                      <w:b w:val="0"/>
                      <w:bCs w:val="0"/>
                      <w:color w:val="000000" w:themeColor="text1"/>
                      <w:spacing w:val="3"/>
                      <w:sz w:val="21"/>
                      <w:szCs w:val="21"/>
                      <w14:textFill>
                        <w14:solidFill>
                          <w14:schemeClr w14:val="tx1"/>
                        </w14:solidFill>
                      </w14:textFill>
                    </w:rPr>
                    <w:t>充填、生态修复、土壤治理等领域的规模化利用。着力提升工业固废在生产纤维材料、微晶玻璃、超细化填料、低碳水泥、固废基高性能混凝土、预制件、节</w:t>
                  </w:r>
                  <w:r>
                    <w:rPr>
                      <w:rFonts w:ascii="Times New Roman" w:hAnsi="Times New Roman" w:eastAsia="宋体"/>
                      <w:b w:val="0"/>
                      <w:bCs w:val="0"/>
                      <w:color w:val="000000" w:themeColor="text1"/>
                      <w:spacing w:val="4"/>
                      <w:sz w:val="21"/>
                      <w:szCs w:val="21"/>
                      <w14:textFill>
                        <w14:solidFill>
                          <w14:schemeClr w14:val="tx1"/>
                        </w14:solidFill>
                      </w14:textFill>
                    </w:rPr>
                    <w:t>能型建筑材料等领域的高值化利用水平。</w:t>
                  </w:r>
                </w:p>
              </w:tc>
              <w:tc>
                <w:tcPr>
                  <w:tcW w:w="2390" w:type="dxa"/>
                  <w:shd w:val="clear" w:color="auto" w:fill="FFFFFF"/>
                  <w:vAlign w:val="center"/>
                </w:tcPr>
                <w:p w14:paraId="65EB7A42">
                  <w:pPr>
                    <w:pStyle w:val="227"/>
                    <w:spacing w:before="65" w:line="336"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本项目固废均得到合</w:t>
                  </w:r>
                  <w:r>
                    <w:rPr>
                      <w:rFonts w:ascii="Times New Roman" w:hAnsi="Times New Roman" w:eastAsia="宋体"/>
                      <w:b w:val="0"/>
                      <w:bCs w:val="0"/>
                      <w:color w:val="000000" w:themeColor="text1"/>
                      <w:spacing w:val="5"/>
                      <w:sz w:val="21"/>
                      <w:szCs w:val="21"/>
                      <w14:textFill>
                        <w14:solidFill>
                          <w14:schemeClr w14:val="tx1"/>
                        </w14:solidFill>
                      </w14:textFill>
                    </w:rPr>
                    <w:t>理处置</w:t>
                  </w:r>
                </w:p>
              </w:tc>
              <w:tc>
                <w:tcPr>
                  <w:tcW w:w="1299" w:type="dxa"/>
                  <w:tcBorders>
                    <w:right w:val="nil"/>
                  </w:tcBorders>
                  <w:shd w:val="clear" w:color="auto" w:fill="FFFFFF"/>
                  <w:vAlign w:val="center"/>
                </w:tcPr>
                <w:p w14:paraId="3A517558">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6A93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tcBorders>
                  <w:shd w:val="clear" w:color="auto" w:fill="FFFFFF"/>
                  <w:vAlign w:val="center"/>
                </w:tcPr>
                <w:p w14:paraId="17F9DFC3">
                  <w:pPr>
                    <w:pStyle w:val="227"/>
                    <w:spacing w:before="121" w:line="315"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2"/>
                      <w:sz w:val="21"/>
                      <w:szCs w:val="21"/>
                      <w14:textFill>
                        <w14:solidFill>
                          <w14:schemeClr w14:val="tx1"/>
                        </w14:solidFill>
                      </w14:textFill>
                    </w:rPr>
                    <w:t>〔</w:t>
                  </w:r>
                  <w:r>
                    <w:rPr>
                      <w:rFonts w:ascii="Times New Roman" w:hAnsi="Times New Roman" w:eastAsia="宋体" w:cs="Times New Roman"/>
                      <w:b w:val="0"/>
                      <w:bCs w:val="0"/>
                      <w:color w:val="000000" w:themeColor="text1"/>
                      <w:spacing w:val="2"/>
                      <w:sz w:val="21"/>
                      <w:szCs w:val="21"/>
                      <w14:textFill>
                        <w14:solidFill>
                          <w14:schemeClr w14:val="tx1"/>
                        </w14:solidFill>
                      </w14:textFill>
                    </w:rPr>
                    <w:t>A4.5-3</w:t>
                  </w:r>
                  <w:r>
                    <w:rPr>
                      <w:rFonts w:ascii="Times New Roman" w:hAnsi="Times New Roman" w:eastAsia="宋体"/>
                      <w:b w:val="0"/>
                      <w:bCs w:val="0"/>
                      <w:color w:val="000000" w:themeColor="text1"/>
                      <w:spacing w:val="2"/>
                      <w:sz w:val="21"/>
                      <w:szCs w:val="21"/>
                      <w14:textFill>
                        <w14:solidFill>
                          <w14:schemeClr w14:val="tx1"/>
                        </w14:solidFill>
                      </w14:textFill>
                    </w:rPr>
                    <w:t>〕结合工业领域减污降碳要求，加快</w:t>
                  </w:r>
                  <w:r>
                    <w:rPr>
                      <w:rFonts w:ascii="Times New Roman" w:hAnsi="Times New Roman" w:eastAsia="宋体"/>
                      <w:b w:val="0"/>
                      <w:bCs w:val="0"/>
                      <w:color w:val="000000" w:themeColor="text1"/>
                      <w:spacing w:val="1"/>
                      <w:sz w:val="21"/>
                      <w:szCs w:val="21"/>
                      <w14:textFill>
                        <w14:solidFill>
                          <w14:schemeClr w14:val="tx1"/>
                        </w14:solidFill>
                      </w14:textFill>
                    </w:rPr>
                    <w:t>探索</w:t>
                  </w:r>
                  <w:r>
                    <w:rPr>
                      <w:rFonts w:ascii="Times New Roman" w:hAnsi="Times New Roman" w:eastAsia="宋体"/>
                      <w:b w:val="0"/>
                      <w:bCs w:val="0"/>
                      <w:color w:val="000000" w:themeColor="text1"/>
                      <w:spacing w:val="4"/>
                      <w:sz w:val="21"/>
                      <w:szCs w:val="21"/>
                      <w14:textFill>
                        <w14:solidFill>
                          <w14:schemeClr w14:val="tx1"/>
                        </w14:solidFill>
                      </w14:textFill>
                    </w:rPr>
                    <w:t>钢铁、有色、化工、建材等重点行业工业固体废</w:t>
                  </w:r>
                  <w:r>
                    <w:rPr>
                      <w:rFonts w:ascii="Times New Roman" w:hAnsi="Times New Roman" w:eastAsia="宋体"/>
                      <w:b w:val="0"/>
                      <w:bCs w:val="0"/>
                      <w:color w:val="000000" w:themeColor="text1"/>
                      <w:spacing w:val="3"/>
                      <w:sz w:val="21"/>
                      <w:szCs w:val="21"/>
                      <w14:textFill>
                        <w14:solidFill>
                          <w14:schemeClr w14:val="tx1"/>
                        </w14:solidFill>
                      </w14:textFill>
                    </w:rPr>
                    <w:t>物减</w:t>
                  </w:r>
                  <w:r>
                    <w:rPr>
                      <w:rFonts w:ascii="Times New Roman" w:hAnsi="Times New Roman" w:eastAsia="宋体"/>
                      <w:b w:val="0"/>
                      <w:bCs w:val="0"/>
                      <w:color w:val="000000" w:themeColor="text1"/>
                      <w:spacing w:val="7"/>
                      <w:sz w:val="21"/>
                      <w:szCs w:val="21"/>
                      <w14:textFill>
                        <w14:solidFill>
                          <w14:schemeClr w14:val="tx1"/>
                        </w14:solidFill>
                      </w14:textFill>
                    </w:rPr>
                    <w:t>量化路径，全面推行清洁生产。全面推进绿色矿</w:t>
                  </w:r>
                  <w:r>
                    <w:rPr>
                      <w:rFonts w:ascii="Times New Roman" w:hAnsi="Times New Roman" w:eastAsia="宋体"/>
                      <w:b w:val="0"/>
                      <w:bCs w:val="0"/>
                      <w:color w:val="000000" w:themeColor="text1"/>
                      <w:spacing w:val="6"/>
                      <w:sz w:val="21"/>
                      <w:szCs w:val="21"/>
                      <w14:textFill>
                        <w14:solidFill>
                          <w14:schemeClr w14:val="tx1"/>
                        </w14:solidFill>
                      </w14:textFill>
                    </w:rPr>
                    <w:t>山、</w:t>
                  </w:r>
                  <w:r>
                    <w:rPr>
                      <w:rFonts w:ascii="Times New Roman" w:hAnsi="Times New Roman" w:eastAsia="宋体" w:cs="Times New Roman"/>
                      <w:b w:val="0"/>
                      <w:bCs w:val="0"/>
                      <w:color w:val="000000" w:themeColor="text1"/>
                      <w:spacing w:val="4"/>
                      <w:sz w:val="21"/>
                      <w:szCs w:val="21"/>
                      <w14:textFill>
                        <w14:solidFill>
                          <w14:schemeClr w14:val="tx1"/>
                        </w14:solidFill>
                      </w14:textFill>
                    </w:rPr>
                    <w:t>“</w:t>
                  </w:r>
                  <w:r>
                    <w:rPr>
                      <w:rFonts w:ascii="Times New Roman" w:hAnsi="Times New Roman" w:eastAsia="宋体"/>
                      <w:b w:val="0"/>
                      <w:bCs w:val="0"/>
                      <w:color w:val="000000" w:themeColor="text1"/>
                      <w:spacing w:val="4"/>
                      <w:sz w:val="21"/>
                      <w:szCs w:val="21"/>
                      <w14:textFill>
                        <w14:solidFill>
                          <w14:schemeClr w14:val="tx1"/>
                        </w14:solidFill>
                      </w14:textFill>
                    </w:rPr>
                    <w:t>无废</w:t>
                  </w:r>
                  <w:r>
                    <w:rPr>
                      <w:rFonts w:ascii="Times New Roman" w:hAnsi="Times New Roman" w:eastAsia="宋体" w:cs="Times New Roman"/>
                      <w:b w:val="0"/>
                      <w:bCs w:val="0"/>
                      <w:color w:val="000000" w:themeColor="text1"/>
                      <w:spacing w:val="4"/>
                      <w:sz w:val="21"/>
                      <w:szCs w:val="21"/>
                      <w14:textFill>
                        <w14:solidFill>
                          <w14:schemeClr w14:val="tx1"/>
                        </w14:solidFill>
                      </w14:textFill>
                    </w:rPr>
                    <w:t>”</w:t>
                  </w:r>
                  <w:r>
                    <w:rPr>
                      <w:rFonts w:ascii="Times New Roman" w:hAnsi="Times New Roman" w:eastAsia="宋体"/>
                      <w:b w:val="0"/>
                      <w:bCs w:val="0"/>
                      <w:color w:val="000000" w:themeColor="text1"/>
                      <w:spacing w:val="4"/>
                      <w:sz w:val="21"/>
                      <w:szCs w:val="21"/>
                      <w14:textFill>
                        <w14:solidFill>
                          <w14:schemeClr w14:val="tx1"/>
                        </w14:solidFill>
                      </w14:textFill>
                    </w:rPr>
                    <w:t>矿区建设，推广尾矿等大宗工业固体废物环境</w:t>
                  </w:r>
                  <w:r>
                    <w:rPr>
                      <w:rFonts w:ascii="Times New Roman" w:hAnsi="Times New Roman" w:eastAsia="宋体"/>
                      <w:b w:val="0"/>
                      <w:bCs w:val="0"/>
                      <w:color w:val="000000" w:themeColor="text1"/>
                      <w:spacing w:val="14"/>
                      <w:sz w:val="21"/>
                      <w:szCs w:val="21"/>
                      <w14:textFill>
                        <w14:solidFill>
                          <w14:schemeClr w14:val="tx1"/>
                        </w14:solidFill>
                      </w14:textFill>
                    </w:rPr>
                    <w:t xml:space="preserve"> </w:t>
                  </w:r>
                  <w:r>
                    <w:rPr>
                      <w:rFonts w:ascii="Times New Roman" w:hAnsi="Times New Roman" w:eastAsia="宋体"/>
                      <w:b w:val="0"/>
                      <w:bCs w:val="0"/>
                      <w:color w:val="000000" w:themeColor="text1"/>
                      <w:spacing w:val="13"/>
                      <w:sz w:val="21"/>
                      <w:szCs w:val="21"/>
                      <w14:textFill>
                        <w14:solidFill>
                          <w14:schemeClr w14:val="tx1"/>
                        </w14:solidFill>
                      </w14:textFill>
                    </w:rPr>
                    <w:t>友好型井下充填回填，减少尾矿库贮存量。推动大</w:t>
                  </w:r>
                  <w:r>
                    <w:rPr>
                      <w:rFonts w:ascii="Times New Roman" w:hAnsi="Times New Roman" w:eastAsia="宋体"/>
                      <w:b w:val="0"/>
                      <w:bCs w:val="0"/>
                      <w:color w:val="000000" w:themeColor="text1"/>
                      <w:spacing w:val="7"/>
                      <w:sz w:val="21"/>
                      <w:szCs w:val="21"/>
                      <w14:textFill>
                        <w14:solidFill>
                          <w14:schemeClr w14:val="tx1"/>
                        </w14:solidFill>
                      </w14:textFill>
                    </w:rPr>
                    <w:t>宗工业固体废物在提取有价组分、生产建材、筑</w:t>
                  </w:r>
                  <w:r>
                    <w:rPr>
                      <w:rFonts w:ascii="Times New Roman" w:hAnsi="Times New Roman" w:eastAsia="宋体"/>
                      <w:b w:val="0"/>
                      <w:bCs w:val="0"/>
                      <w:color w:val="000000" w:themeColor="text1"/>
                      <w:spacing w:val="6"/>
                      <w:sz w:val="21"/>
                      <w:szCs w:val="21"/>
                      <w14:textFill>
                        <w14:solidFill>
                          <w14:schemeClr w14:val="tx1"/>
                        </w14:solidFill>
                      </w14:textFill>
                    </w:rPr>
                    <w:t>路、</w:t>
                  </w:r>
                  <w:r>
                    <w:rPr>
                      <w:rFonts w:ascii="Times New Roman" w:hAnsi="Times New Roman" w:eastAsia="宋体"/>
                      <w:b w:val="0"/>
                      <w:bCs w:val="0"/>
                      <w:color w:val="000000" w:themeColor="text1"/>
                      <w:spacing w:val="10"/>
                      <w:sz w:val="21"/>
                      <w:szCs w:val="21"/>
                      <w14:textFill>
                        <w14:solidFill>
                          <w14:schemeClr w14:val="tx1"/>
                        </w14:solidFill>
                      </w14:textFill>
                    </w:rPr>
                    <w:t>生态修复、土壤治理等领域的规模化利用。</w:t>
                  </w:r>
                </w:p>
              </w:tc>
              <w:tc>
                <w:tcPr>
                  <w:tcW w:w="2390" w:type="dxa"/>
                  <w:shd w:val="clear" w:color="auto" w:fill="FFFFFF"/>
                  <w:vAlign w:val="center"/>
                </w:tcPr>
                <w:p w14:paraId="71963C01">
                  <w:pPr>
                    <w:pStyle w:val="227"/>
                    <w:spacing w:before="65" w:line="336"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16"/>
                      <w:sz w:val="21"/>
                      <w:szCs w:val="21"/>
                      <w14:textFill>
                        <w14:solidFill>
                          <w14:schemeClr w14:val="tx1"/>
                        </w14:solidFill>
                      </w14:textFill>
                    </w:rPr>
                    <w:t>本项目固废均得到合</w:t>
                  </w:r>
                  <w:r>
                    <w:rPr>
                      <w:rFonts w:ascii="Times New Roman" w:hAnsi="Times New Roman" w:eastAsia="宋体"/>
                      <w:b w:val="0"/>
                      <w:bCs w:val="0"/>
                      <w:color w:val="000000" w:themeColor="text1"/>
                      <w:spacing w:val="5"/>
                      <w:sz w:val="21"/>
                      <w:szCs w:val="21"/>
                      <w14:textFill>
                        <w14:solidFill>
                          <w14:schemeClr w14:val="tx1"/>
                        </w14:solidFill>
                      </w14:textFill>
                    </w:rPr>
                    <w:t>理处置</w:t>
                  </w:r>
                </w:p>
              </w:tc>
              <w:tc>
                <w:tcPr>
                  <w:tcW w:w="1299" w:type="dxa"/>
                  <w:tcBorders>
                    <w:right w:val="nil"/>
                  </w:tcBorders>
                  <w:shd w:val="clear" w:color="auto" w:fill="FFFFFF"/>
                  <w:vAlign w:val="center"/>
                </w:tcPr>
                <w:p w14:paraId="37A4B34A">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r w14:paraId="1A75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8" w:type="dxa"/>
                  <w:tcBorders>
                    <w:left w:val="nil"/>
                    <w:bottom w:val="single" w:color="000000" w:sz="12" w:space="0"/>
                  </w:tcBorders>
                  <w:shd w:val="clear" w:color="auto" w:fill="FFFFFF"/>
                  <w:vAlign w:val="center"/>
                </w:tcPr>
                <w:p w14:paraId="074B11DE">
                  <w:pPr>
                    <w:pStyle w:val="227"/>
                    <w:spacing w:before="129" w:line="311"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5"/>
                      <w:sz w:val="21"/>
                      <w:szCs w:val="21"/>
                      <w14:textFill>
                        <w14:solidFill>
                          <w14:schemeClr w14:val="tx1"/>
                        </w14:solidFill>
                      </w14:textFill>
                    </w:rPr>
                    <w:t>〔</w:t>
                  </w:r>
                  <w:r>
                    <w:rPr>
                      <w:rFonts w:ascii="Times New Roman" w:hAnsi="Times New Roman" w:eastAsia="宋体" w:cs="Times New Roman"/>
                      <w:b w:val="0"/>
                      <w:bCs w:val="0"/>
                      <w:color w:val="000000" w:themeColor="text1"/>
                      <w:spacing w:val="5"/>
                      <w:sz w:val="21"/>
                      <w:szCs w:val="21"/>
                      <w14:textFill>
                        <w14:solidFill>
                          <w14:schemeClr w14:val="tx1"/>
                        </w14:solidFill>
                      </w14:textFill>
                    </w:rPr>
                    <w:t>A4.5-4</w:t>
                  </w:r>
                  <w:r>
                    <w:rPr>
                      <w:rFonts w:ascii="Times New Roman" w:hAnsi="Times New Roman" w:eastAsia="宋体"/>
                      <w:b w:val="0"/>
                      <w:bCs w:val="0"/>
                      <w:color w:val="000000" w:themeColor="text1"/>
                      <w:spacing w:val="5"/>
                      <w:sz w:val="21"/>
                      <w:szCs w:val="21"/>
                      <w14:textFill>
                        <w14:solidFill>
                          <w14:schemeClr w14:val="tx1"/>
                        </w14:solidFill>
                      </w14:textFill>
                    </w:rPr>
                    <w:t>〕发展生态种植、生态养殖，建立农业循</w:t>
                  </w:r>
                  <w:r>
                    <w:rPr>
                      <w:rFonts w:ascii="Times New Roman" w:hAnsi="Times New Roman" w:eastAsia="宋体"/>
                      <w:b w:val="0"/>
                      <w:bCs w:val="0"/>
                      <w:color w:val="000000" w:themeColor="text1"/>
                      <w:spacing w:val="6"/>
                      <w:sz w:val="21"/>
                      <w:szCs w:val="21"/>
                      <w14:textFill>
                        <w14:solidFill>
                          <w14:schemeClr w14:val="tx1"/>
                        </w14:solidFill>
                      </w14:textFill>
                    </w:rPr>
                    <w:t>环经济发展模式，促进农业固体废物综合利用。鼓励和引导农民采用增施有机肥秸秆还田、种植绿肥等技术，持续减少化肥农药使用比例。加大畜禽粪污和秸秆资源化利用先进技术和新型市场模式的集成推广，</w:t>
                  </w:r>
                  <w:r>
                    <w:rPr>
                      <w:rFonts w:ascii="Times New Roman" w:hAnsi="Times New Roman" w:eastAsia="宋体"/>
                      <w:b w:val="0"/>
                      <w:bCs w:val="0"/>
                      <w:color w:val="000000" w:themeColor="text1"/>
                      <w:spacing w:val="5"/>
                      <w:sz w:val="21"/>
                      <w:szCs w:val="21"/>
                      <w14:textFill>
                        <w14:solidFill>
                          <w14:schemeClr w14:val="tx1"/>
                        </w14:solidFill>
                      </w14:textFill>
                    </w:rPr>
                    <w:t>推动形成长效运行机制。</w:t>
                  </w:r>
                </w:p>
              </w:tc>
              <w:tc>
                <w:tcPr>
                  <w:tcW w:w="2390" w:type="dxa"/>
                  <w:tcBorders>
                    <w:bottom w:val="single" w:color="000000" w:sz="12" w:space="0"/>
                  </w:tcBorders>
                  <w:shd w:val="clear" w:color="auto" w:fill="FFFFFF"/>
                  <w:vAlign w:val="center"/>
                </w:tcPr>
                <w:p w14:paraId="14778E24">
                  <w:pPr>
                    <w:pStyle w:val="227"/>
                    <w:spacing w:before="65" w:line="227" w:lineRule="auto"/>
                    <w:ind w:left="0" w:leftChars="0" w:firstLine="0" w:firstLineChars="0"/>
                    <w:jc w:val="center"/>
                    <w:rPr>
                      <w:rFonts w:hint="eastAsia" w:ascii="Times New Roman" w:hAnsi="Times New Roman" w:eastAsia="宋体" w:cs="仿宋"/>
                      <w:b w:val="0"/>
                      <w:bCs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val="0"/>
                      <w:color w:val="000000" w:themeColor="text1"/>
                      <w:spacing w:val="8"/>
                      <w:sz w:val="21"/>
                      <w:szCs w:val="21"/>
                      <w14:textFill>
                        <w14:solidFill>
                          <w14:schemeClr w14:val="tx1"/>
                        </w14:solidFill>
                      </w14:textFill>
                    </w:rPr>
                    <w:t>本项目不涉及</w:t>
                  </w:r>
                </w:p>
              </w:tc>
              <w:tc>
                <w:tcPr>
                  <w:tcW w:w="1299" w:type="dxa"/>
                  <w:tcBorders>
                    <w:bottom w:val="single" w:color="000000" w:sz="12" w:space="0"/>
                    <w:right w:val="nil"/>
                  </w:tcBorders>
                  <w:shd w:val="clear" w:color="auto" w:fill="FFFFFF"/>
                  <w:vAlign w:val="center"/>
                </w:tcPr>
                <w:p w14:paraId="2AF0383D">
                  <w:pPr>
                    <w:keepNext w:val="0"/>
                    <w:keepLines w:val="0"/>
                    <w:widowControl/>
                    <w:suppressLineNumbers w:val="0"/>
                    <w:ind w:left="0" w:leftChars="0" w:firstLine="0" w:firstLineChars="0"/>
                    <w:jc w:val="cente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7"/>
                      <w:sz w:val="21"/>
                      <w:szCs w:val="21"/>
                      <w:vertAlign w:val="baseline"/>
                      <w:lang w:val="en-US" w:eastAsia="zh-CN"/>
                      <w14:textFill>
                        <w14:solidFill>
                          <w14:schemeClr w14:val="tx1"/>
                        </w14:solidFill>
                      </w14:textFill>
                    </w:rPr>
                    <w:t>符合</w:t>
                  </w:r>
                </w:p>
              </w:tc>
            </w:tr>
          </w:tbl>
          <w:p w14:paraId="28A2663A">
            <w:pPr>
              <w:keepNext w:val="0"/>
              <w:keepLines w:val="0"/>
              <w:pageBreakBefore w:val="0"/>
              <w:widowControl/>
              <w:suppressLineNumbers w:val="0"/>
              <w:kinsoku/>
              <w:wordWrap/>
              <w:overflowPunct/>
              <w:topLinePunct w:val="0"/>
              <w:autoSpaceDE/>
              <w:autoSpaceDN/>
              <w:bidi w:val="0"/>
              <w:adjustRightInd/>
              <w:snapToGrid/>
              <w:ind w:left="0" w:leftChars="0" w:firstLine="468" w:firstLineChars="200"/>
              <w:jc w:val="both"/>
              <w:textAlignment w:val="auto"/>
              <w:rPr>
                <w:rFonts w:hint="eastAsia"/>
                <w:b/>
                <w:bCs/>
                <w:color w:val="000000" w:themeColor="text1"/>
                <w:spacing w:val="7"/>
                <w:sz w:val="20"/>
                <w:szCs w:val="20"/>
                <w:lang w:val="en-US" w:eastAsia="zh-CN"/>
                <w14:textFill>
                  <w14:solidFill>
                    <w14:schemeClr w14:val="tx1"/>
                  </w14:solidFill>
                </w14:textFill>
              </w:rPr>
            </w:pPr>
            <w:r>
              <w:rPr>
                <w:color w:val="000000" w:themeColor="text1"/>
                <w:spacing w:val="-3"/>
                <w14:textFill>
                  <w14:solidFill>
                    <w14:schemeClr w14:val="tx1"/>
                  </w14:solidFill>
                </w14:textFill>
              </w:rPr>
              <w:t>因此，本项目符合《新疆维吾尔自治区生态环境分区管控动</w:t>
            </w:r>
            <w:r>
              <w:rPr>
                <w:color w:val="000000" w:themeColor="text1"/>
                <w:spacing w:val="-4"/>
                <w14:textFill>
                  <w14:solidFill>
                    <w14:schemeClr w14:val="tx1"/>
                  </w14:solidFill>
                </w14:textFill>
              </w:rPr>
              <w:t>态更新成</w:t>
            </w:r>
            <w:r>
              <w:rPr>
                <w:color w:val="000000" w:themeColor="text1"/>
                <w:spacing w:val="-3"/>
                <w14:textFill>
                  <w14:solidFill>
                    <w14:schemeClr w14:val="tx1"/>
                  </w14:solidFill>
                </w14:textFill>
              </w:rPr>
              <w:t>果》相关要求。</w:t>
            </w:r>
          </w:p>
          <w:p w14:paraId="36F6F7A5">
            <w:pPr>
              <w:keepNext w:val="0"/>
              <w:keepLines w:val="0"/>
              <w:widowControl/>
              <w:suppressLineNumbers w:val="0"/>
              <w:jc w:val="left"/>
              <w:rPr>
                <w:rFonts w:hint="eastAsia"/>
                <w:b/>
                <w:bCs/>
                <w:color w:val="000000" w:themeColor="text1"/>
                <w:kern w:val="2"/>
                <w:sz w:val="24"/>
                <w:szCs w:val="24"/>
                <w:lang w:val="en-US" w:eastAsia="zh-CN"/>
                <w14:textFill>
                  <w14:solidFill>
                    <w14:schemeClr w14:val="tx1"/>
                  </w14:solidFill>
                </w14:textFill>
              </w:rPr>
            </w:pPr>
            <w:r>
              <w:rPr>
                <w:rFonts w:hint="eastAsia"/>
                <w:b/>
                <w:bCs/>
                <w:color w:val="000000" w:themeColor="text1"/>
                <w:kern w:val="2"/>
                <w:sz w:val="24"/>
                <w:szCs w:val="24"/>
                <w:lang w:val="en-US" w:eastAsia="zh-CN"/>
                <w14:textFill>
                  <w14:solidFill>
                    <w14:schemeClr w14:val="tx1"/>
                  </w14:solidFill>
                </w14:textFill>
              </w:rPr>
              <w:t>2）与《新疆维吾尔自治区七大片区“三线一单”生态环境分区管控要求（2021 版）》符合性分析</w:t>
            </w:r>
          </w:p>
          <w:p w14:paraId="454E1419">
            <w:pPr>
              <w:keepNext w:val="0"/>
              <w:keepLines w:val="0"/>
              <w:pageBreakBefore w:val="0"/>
              <w:widowControl/>
              <w:suppressLineNumbers w:val="0"/>
              <w:kinsoku/>
              <w:wordWrap/>
              <w:overflowPunct/>
              <w:topLinePunct w:val="0"/>
              <w:autoSpaceDE/>
              <w:autoSpaceDN/>
              <w:bidi w:val="0"/>
              <w:adjustRightInd/>
              <w:snapToGrid/>
              <w:ind w:left="0" w:leftChars="0" w:firstLine="456" w:firstLineChars="200"/>
              <w:jc w:val="both"/>
              <w:textAlignment w:val="auto"/>
              <w:rPr>
                <w:color w:val="000000" w:themeColor="text1"/>
                <w:spacing w:val="-6"/>
                <w:sz w:val="24"/>
                <w14:textFill>
                  <w14:solidFill>
                    <w14:schemeClr w14:val="tx1"/>
                  </w14:solidFill>
                </w14:textFill>
              </w:rPr>
            </w:pPr>
            <w:r>
              <w:rPr>
                <w:color w:val="000000" w:themeColor="text1"/>
                <w:spacing w:val="-6"/>
                <w:sz w:val="24"/>
                <w14:textFill>
                  <w14:solidFill>
                    <w14:schemeClr w14:val="tx1"/>
                  </w14:solidFill>
                </w14:textFill>
              </w:rPr>
              <w:t>根据《关于印发〈新疆维吾尔自治区七大片区“三线一单”生态环境分区管控要求〉（2021年版）的通知》（新环环评发〔2021〕162号）新疆维吾尔自治区七大片区划分表，本项目所在区域属于乌昌石片区。</w:t>
            </w:r>
          </w:p>
          <w:p w14:paraId="73B9F33F">
            <w:pPr>
              <w:keepNext w:val="0"/>
              <w:keepLines w:val="0"/>
              <w:pageBreakBefore w:val="0"/>
              <w:widowControl/>
              <w:suppressLineNumbers w:val="0"/>
              <w:kinsoku/>
              <w:wordWrap/>
              <w:overflowPunct/>
              <w:topLinePunct w:val="0"/>
              <w:autoSpaceDE/>
              <w:autoSpaceDN/>
              <w:bidi w:val="0"/>
              <w:adjustRightInd/>
              <w:snapToGrid/>
              <w:ind w:left="0" w:leftChars="0" w:firstLine="456" w:firstLineChars="200"/>
              <w:jc w:val="both"/>
              <w:textAlignment w:val="auto"/>
              <w:rPr>
                <w:color w:val="000000" w:themeColor="text1"/>
                <w:spacing w:val="-6"/>
                <w:sz w:val="24"/>
                <w14:textFill>
                  <w14:solidFill>
                    <w14:schemeClr w14:val="tx1"/>
                  </w14:solidFill>
                </w14:textFill>
              </w:rPr>
            </w:pPr>
            <w:r>
              <w:rPr>
                <w:color w:val="000000" w:themeColor="text1"/>
                <w:spacing w:val="-6"/>
                <w:sz w:val="24"/>
                <w14:textFill>
                  <w14:solidFill>
                    <w14:schemeClr w14:val="tx1"/>
                  </w14:solidFill>
                </w14:textFill>
              </w:rPr>
              <w:t>本项目乌昌石片区管控要求符合性分析见下表。</w:t>
            </w:r>
          </w:p>
          <w:p w14:paraId="5DAAF1C8">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center"/>
              <w:textAlignment w:val="auto"/>
              <w:rPr>
                <w:color w:val="000000" w:themeColor="text1"/>
                <w:sz w:val="21"/>
                <w:szCs w:val="21"/>
                <w14:textFill>
                  <w14:solidFill>
                    <w14:schemeClr w14:val="tx1"/>
                  </w14:solidFill>
                </w14:textFill>
              </w:rPr>
            </w:pPr>
            <w:r>
              <w:rPr>
                <w:b/>
                <w:bCs/>
                <w:color w:val="000000" w:themeColor="text1"/>
                <w:spacing w:val="7"/>
                <w:sz w:val="21"/>
                <w:szCs w:val="21"/>
                <w14:textFill>
                  <w14:solidFill>
                    <w14:schemeClr w14:val="tx1"/>
                  </w14:solidFill>
                </w14:textFill>
              </w:rPr>
              <w:t>表</w:t>
            </w:r>
            <w:r>
              <w:rPr>
                <w:rFonts w:ascii="Times New Roman" w:hAnsi="Times New Roman" w:eastAsia="Times New Roman" w:cs="Times New Roman"/>
                <w:b/>
                <w:bCs/>
                <w:color w:val="000000" w:themeColor="text1"/>
                <w:spacing w:val="7"/>
                <w:sz w:val="21"/>
                <w:szCs w:val="21"/>
                <w14:textFill>
                  <w14:solidFill>
                    <w14:schemeClr w14:val="tx1"/>
                  </w14:solidFill>
                </w14:textFill>
              </w:rPr>
              <w:t>1-</w:t>
            </w:r>
            <w:r>
              <w:rPr>
                <w:rFonts w:hint="eastAsia" w:ascii="Times New Roman" w:hAnsi="Times New Roman" w:eastAsia="宋体" w:cs="Times New Roman"/>
                <w:b/>
                <w:bCs/>
                <w:color w:val="000000" w:themeColor="text1"/>
                <w:spacing w:val="7"/>
                <w:sz w:val="21"/>
                <w:szCs w:val="21"/>
                <w:lang w:val="en-US" w:eastAsia="zh-CN"/>
                <w14:textFill>
                  <w14:solidFill>
                    <w14:schemeClr w14:val="tx1"/>
                  </w14:solidFill>
                </w14:textFill>
              </w:rPr>
              <w:t>3</w:t>
            </w:r>
            <w:r>
              <w:rPr>
                <w:rFonts w:ascii="Times New Roman" w:hAnsi="Times New Roman" w:eastAsia="Times New Roman" w:cs="Times New Roman"/>
                <w:b/>
                <w:bCs/>
                <w:color w:val="000000" w:themeColor="text1"/>
                <w:spacing w:val="7"/>
                <w:sz w:val="21"/>
                <w:szCs w:val="21"/>
                <w14:textFill>
                  <w14:solidFill>
                    <w14:schemeClr w14:val="tx1"/>
                  </w14:solidFill>
                </w14:textFill>
              </w:rPr>
              <w:t xml:space="preserve">  </w:t>
            </w:r>
            <w:r>
              <w:rPr>
                <w:b/>
                <w:bCs/>
                <w:color w:val="000000" w:themeColor="text1"/>
                <w:spacing w:val="7"/>
                <w:sz w:val="21"/>
                <w:szCs w:val="21"/>
                <w14:textFill>
                  <w14:solidFill>
                    <w14:schemeClr w14:val="tx1"/>
                  </w14:solidFill>
                </w14:textFill>
              </w:rPr>
              <w:t>本项目与《新疆维吾尔自治区七大片区“三线一单</w:t>
            </w:r>
            <w:r>
              <w:rPr>
                <w:b/>
                <w:bCs/>
                <w:color w:val="000000" w:themeColor="text1"/>
                <w:spacing w:val="6"/>
                <w:sz w:val="21"/>
                <w:szCs w:val="21"/>
                <w14:textFill>
                  <w14:solidFill>
                    <w14:schemeClr w14:val="tx1"/>
                  </w14:solidFill>
                </w14:textFill>
              </w:rPr>
              <w:t>”生态环境分区管控要求</w:t>
            </w:r>
          </w:p>
          <w:p w14:paraId="032A1149">
            <w:pPr>
              <w:keepNext w:val="0"/>
              <w:keepLines w:val="0"/>
              <w:widowControl/>
              <w:suppressLineNumbers w:val="0"/>
              <w:ind w:left="0" w:leftChars="0" w:firstLine="0" w:firstLineChars="0"/>
              <w:jc w:val="center"/>
              <w:rPr>
                <w:rFonts w:hint="eastAsia"/>
                <w:b/>
                <w:bCs/>
                <w:color w:val="000000" w:themeColor="text1"/>
                <w:kern w:val="2"/>
                <w:sz w:val="21"/>
                <w:szCs w:val="21"/>
                <w:lang w:val="en-US" w:eastAsia="zh-CN"/>
                <w14:textFill>
                  <w14:solidFill>
                    <w14:schemeClr w14:val="tx1"/>
                  </w14:solidFill>
                </w14:textFill>
              </w:rPr>
            </w:pPr>
            <w:r>
              <w:rPr>
                <w:b/>
                <w:bCs/>
                <w:color w:val="000000" w:themeColor="text1"/>
                <w:spacing w:val="5"/>
                <w:sz w:val="21"/>
                <w:szCs w:val="21"/>
                <w14:textFill>
                  <w14:solidFill>
                    <w14:schemeClr w14:val="tx1"/>
                  </w14:solidFill>
                </w14:textFill>
              </w:rPr>
              <w:t>（</w:t>
            </w:r>
            <w:r>
              <w:rPr>
                <w:rFonts w:ascii="Times New Roman" w:hAnsi="Times New Roman" w:eastAsia="Times New Roman" w:cs="Times New Roman"/>
                <w:b/>
                <w:bCs/>
                <w:color w:val="000000" w:themeColor="text1"/>
                <w:spacing w:val="5"/>
                <w:sz w:val="21"/>
                <w:szCs w:val="21"/>
                <w14:textFill>
                  <w14:solidFill>
                    <w14:schemeClr w14:val="tx1"/>
                  </w14:solidFill>
                </w14:textFill>
              </w:rPr>
              <w:t xml:space="preserve">2021 </w:t>
            </w:r>
            <w:r>
              <w:rPr>
                <w:b/>
                <w:bCs/>
                <w:color w:val="000000" w:themeColor="text1"/>
                <w:spacing w:val="5"/>
                <w:sz w:val="21"/>
                <w:szCs w:val="21"/>
                <w14:textFill>
                  <w14:solidFill>
                    <w14:schemeClr w14:val="tx1"/>
                  </w14:solidFill>
                </w14:textFill>
              </w:rPr>
              <w:t>版）》符合性分析</w:t>
            </w:r>
          </w:p>
          <w:tbl>
            <w:tblPr>
              <w:tblStyle w:val="43"/>
              <w:tblW w:w="832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0"/>
              <w:gridCol w:w="2695"/>
              <w:gridCol w:w="1432"/>
            </w:tblGrid>
            <w:tr w14:paraId="5FDA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tcBorders>
                    <w:top w:val="single" w:color="000000" w:sz="12" w:space="0"/>
                    <w:left w:val="nil"/>
                    <w:tl2br w:val="nil"/>
                  </w:tcBorders>
                  <w:shd w:val="clear" w:color="auto" w:fill="FFFFFF"/>
                  <w:vAlign w:val="center"/>
                </w:tcPr>
                <w:p w14:paraId="5FEECB06">
                  <w:pPr>
                    <w:pStyle w:val="227"/>
                    <w:spacing w:before="197" w:line="228"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color w:val="000000" w:themeColor="text1"/>
                      <w:spacing w:val="7"/>
                      <w:sz w:val="21"/>
                      <w:szCs w:val="21"/>
                      <w14:textFill>
                        <w14:solidFill>
                          <w14:schemeClr w14:val="tx1"/>
                        </w14:solidFill>
                      </w14:textFill>
                    </w:rPr>
                    <w:t>乌昌石片区管控要求</w:t>
                  </w:r>
                </w:p>
              </w:tc>
              <w:tc>
                <w:tcPr>
                  <w:tcW w:w="2695" w:type="dxa"/>
                  <w:tcBorders>
                    <w:top w:val="single" w:color="000000" w:sz="12" w:space="0"/>
                  </w:tcBorders>
                  <w:shd w:val="clear" w:color="auto" w:fill="FFFFFF"/>
                  <w:vAlign w:val="center"/>
                </w:tcPr>
                <w:p w14:paraId="0ABF29B2">
                  <w:pPr>
                    <w:pStyle w:val="227"/>
                    <w:spacing w:before="197" w:line="227"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color w:val="000000" w:themeColor="text1"/>
                      <w:spacing w:val="6"/>
                      <w:sz w:val="21"/>
                      <w:szCs w:val="21"/>
                      <w14:textFill>
                        <w14:solidFill>
                          <w14:schemeClr w14:val="tx1"/>
                        </w14:solidFill>
                      </w14:textFill>
                    </w:rPr>
                    <w:t>本项目情况</w:t>
                  </w:r>
                </w:p>
              </w:tc>
              <w:tc>
                <w:tcPr>
                  <w:tcW w:w="1432" w:type="dxa"/>
                  <w:tcBorders>
                    <w:top w:val="single" w:color="000000" w:sz="12" w:space="0"/>
                    <w:right w:val="nil"/>
                  </w:tcBorders>
                  <w:shd w:val="clear" w:color="auto" w:fill="FFFFFF"/>
                  <w:vAlign w:val="center"/>
                </w:tcPr>
                <w:p w14:paraId="73D17EEA">
                  <w:pPr>
                    <w:pStyle w:val="227"/>
                    <w:spacing w:before="197" w:line="228"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bCs/>
                      <w:color w:val="000000" w:themeColor="text1"/>
                      <w:spacing w:val="5"/>
                      <w:sz w:val="21"/>
                      <w:szCs w:val="21"/>
                      <w14:textFill>
                        <w14:solidFill>
                          <w14:schemeClr w14:val="tx1"/>
                        </w14:solidFill>
                      </w14:textFill>
                    </w:rPr>
                    <w:t>符合性</w:t>
                  </w:r>
                </w:p>
              </w:tc>
            </w:tr>
            <w:tr w14:paraId="6E25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tcBorders>
                    <w:left w:val="nil"/>
                  </w:tcBorders>
                  <w:shd w:val="clear" w:color="auto" w:fill="FFFFFF"/>
                  <w:vAlign w:val="center"/>
                </w:tcPr>
                <w:p w14:paraId="515D159B">
                  <w:pPr>
                    <w:pStyle w:val="227"/>
                    <w:spacing w:before="113" w:line="316"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3"/>
                      <w:sz w:val="21"/>
                      <w:szCs w:val="21"/>
                      <w14:textFill>
                        <w14:solidFill>
                          <w14:schemeClr w14:val="tx1"/>
                        </w14:solidFill>
                      </w14:textFill>
                    </w:rPr>
                    <w:t>乌昌石片区包括乌鲁木齐市、昌吉回族自治州和沙湾市。除国家规划项目外，乌鲁木齐市七区一县、昌吉市、阜康市、玛纳斯县、呼图壁县、沙湾市建成区及周边敏感区域内不再布局建设煤化工、电解铝、燃</w:t>
                  </w:r>
                  <w:r>
                    <w:rPr>
                      <w:rFonts w:ascii="Times New Roman" w:hAnsi="Times New Roman" w:eastAsia="宋体"/>
                      <w:b w:val="0"/>
                      <w:color w:val="000000" w:themeColor="text1"/>
                      <w:spacing w:val="-11"/>
                      <w:sz w:val="21"/>
                      <w:szCs w:val="21"/>
                      <w14:textFill>
                        <w14:solidFill>
                          <w14:schemeClr w14:val="tx1"/>
                        </w14:solidFill>
                      </w14:textFill>
                    </w:rPr>
                    <w:t>煤纯发电机组、金属硅、碳化硅、聚氯乙烯（电石法）、</w:t>
                  </w:r>
                  <w:r>
                    <w:rPr>
                      <w:rFonts w:ascii="Times New Roman" w:hAnsi="Times New Roman" w:eastAsia="宋体"/>
                      <w:b w:val="0"/>
                      <w:color w:val="000000" w:themeColor="text1"/>
                      <w:spacing w:val="3"/>
                      <w:sz w:val="21"/>
                      <w:szCs w:val="21"/>
                      <w14:textFill>
                        <w14:solidFill>
                          <w14:schemeClr w14:val="tx1"/>
                        </w14:solidFill>
                      </w14:textFill>
                    </w:rPr>
                    <w:t>焦炭（含半焦）等新增产能项目，具备风光电清洁供</w:t>
                  </w:r>
                  <w:r>
                    <w:rPr>
                      <w:rFonts w:ascii="Times New Roman" w:hAnsi="Times New Roman" w:eastAsia="宋体"/>
                      <w:b w:val="0"/>
                      <w:color w:val="000000" w:themeColor="text1"/>
                      <w:spacing w:val="2"/>
                      <w:sz w:val="21"/>
                      <w:szCs w:val="21"/>
                      <w14:textFill>
                        <w14:solidFill>
                          <w14:schemeClr w14:val="tx1"/>
                        </w14:solidFill>
                      </w14:textFill>
                    </w:rPr>
                    <w:t xml:space="preserve"> </w:t>
                  </w:r>
                  <w:r>
                    <w:rPr>
                      <w:rFonts w:ascii="Times New Roman" w:hAnsi="Times New Roman" w:eastAsia="宋体"/>
                      <w:b w:val="0"/>
                      <w:color w:val="000000" w:themeColor="text1"/>
                      <w:spacing w:val="5"/>
                      <w:sz w:val="21"/>
                      <w:szCs w:val="21"/>
                      <w14:textFill>
                        <w14:solidFill>
                          <w14:schemeClr w14:val="tx1"/>
                        </w14:solidFill>
                      </w14:textFill>
                    </w:rPr>
                    <w:t>暖建设条件的区域原则上不新批热电联产项目。</w:t>
                  </w:r>
                </w:p>
              </w:tc>
              <w:tc>
                <w:tcPr>
                  <w:tcW w:w="2695" w:type="dxa"/>
                  <w:shd w:val="clear" w:color="auto" w:fill="FFFFFF"/>
                  <w:vAlign w:val="center"/>
                </w:tcPr>
                <w:p w14:paraId="7724E141">
                  <w:pPr>
                    <w:pStyle w:val="227"/>
                    <w:spacing w:before="113" w:line="316"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34"/>
                      <w:sz w:val="21"/>
                      <w:szCs w:val="21"/>
                      <w14:textFill>
                        <w14:solidFill>
                          <w14:schemeClr w14:val="tx1"/>
                        </w14:solidFill>
                      </w14:textFill>
                    </w:rPr>
                    <w:t>本项目不属于煤化</w:t>
                  </w:r>
                  <w:r>
                    <w:rPr>
                      <w:rFonts w:ascii="Times New Roman" w:hAnsi="Times New Roman" w:eastAsia="宋体"/>
                      <w:b w:val="0"/>
                      <w:color w:val="000000" w:themeColor="text1"/>
                      <w:spacing w:val="4"/>
                      <w:sz w:val="21"/>
                      <w:szCs w:val="21"/>
                      <w14:textFill>
                        <w14:solidFill>
                          <w14:schemeClr w14:val="tx1"/>
                        </w14:solidFill>
                      </w14:textFill>
                    </w:rPr>
                    <w:t>工、电解铝、燃煤纯发</w:t>
                  </w:r>
                  <w:r>
                    <w:rPr>
                      <w:rFonts w:ascii="Times New Roman" w:hAnsi="Times New Roman" w:eastAsia="宋体"/>
                      <w:b w:val="0"/>
                      <w:color w:val="000000" w:themeColor="text1"/>
                      <w:spacing w:val="8"/>
                      <w:sz w:val="21"/>
                      <w:szCs w:val="21"/>
                      <w14:textFill>
                        <w14:solidFill>
                          <w14:schemeClr w14:val="tx1"/>
                        </w14:solidFill>
                      </w14:textFill>
                    </w:rPr>
                    <w:t>电机组、金属硅、碳化</w:t>
                  </w:r>
                  <w:r>
                    <w:rPr>
                      <w:rFonts w:ascii="Times New Roman" w:hAnsi="Times New Roman" w:eastAsia="宋体"/>
                      <w:b w:val="0"/>
                      <w:color w:val="000000" w:themeColor="text1"/>
                      <w:spacing w:val="-21"/>
                      <w:sz w:val="21"/>
                      <w:szCs w:val="21"/>
                      <w14:textFill>
                        <w14:solidFill>
                          <w14:schemeClr w14:val="tx1"/>
                        </w14:solidFill>
                      </w14:textFill>
                    </w:rPr>
                    <w:t>硅、聚氯乙烯（电石法）、</w:t>
                  </w:r>
                  <w:r>
                    <w:rPr>
                      <w:rFonts w:ascii="Times New Roman" w:hAnsi="Times New Roman" w:eastAsia="宋体"/>
                      <w:b w:val="0"/>
                      <w:color w:val="000000" w:themeColor="text1"/>
                      <w:spacing w:val="8"/>
                      <w:sz w:val="21"/>
                      <w:szCs w:val="21"/>
                      <w14:textFill>
                        <w14:solidFill>
                          <w14:schemeClr w14:val="tx1"/>
                        </w14:solidFill>
                      </w14:textFill>
                    </w:rPr>
                    <w:t>焦炭（含半焦）等新增</w:t>
                  </w:r>
                  <w:r>
                    <w:rPr>
                      <w:rFonts w:ascii="Times New Roman" w:hAnsi="Times New Roman" w:eastAsia="宋体"/>
                      <w:b w:val="0"/>
                      <w:color w:val="000000" w:themeColor="text1"/>
                      <w:spacing w:val="9"/>
                      <w:sz w:val="21"/>
                      <w:szCs w:val="21"/>
                      <w14:textFill>
                        <w14:solidFill>
                          <w14:schemeClr w14:val="tx1"/>
                        </w14:solidFill>
                      </w14:textFill>
                    </w:rPr>
                    <w:t>产能项目，也不属于热</w:t>
                  </w:r>
                  <w:r>
                    <w:rPr>
                      <w:rFonts w:ascii="Times New Roman" w:hAnsi="Times New Roman" w:eastAsia="宋体"/>
                      <w:b w:val="0"/>
                      <w:color w:val="000000" w:themeColor="text1"/>
                      <w:sz w:val="21"/>
                      <w:szCs w:val="21"/>
                      <w14:textFill>
                        <w14:solidFill>
                          <w14:schemeClr w14:val="tx1"/>
                        </w14:solidFill>
                      </w14:textFill>
                    </w:rPr>
                    <w:t>电联产项目</w:t>
                  </w:r>
                </w:p>
              </w:tc>
              <w:tc>
                <w:tcPr>
                  <w:tcW w:w="1432" w:type="dxa"/>
                  <w:tcBorders>
                    <w:right w:val="nil"/>
                  </w:tcBorders>
                  <w:shd w:val="clear" w:color="auto" w:fill="FFFFFF"/>
                  <w:vAlign w:val="center"/>
                </w:tcPr>
                <w:p w14:paraId="2B6E6631">
                  <w:pPr>
                    <w:pStyle w:val="227"/>
                    <w:spacing w:before="65" w:line="228"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符合</w:t>
                  </w:r>
                </w:p>
              </w:tc>
            </w:tr>
            <w:tr w14:paraId="2A2A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tcBorders>
                    <w:left w:val="nil"/>
                  </w:tcBorders>
                  <w:shd w:val="clear" w:color="auto" w:fill="FFFFFF"/>
                  <w:vAlign w:val="center"/>
                </w:tcPr>
                <w:p w14:paraId="654EEBAD">
                  <w:pPr>
                    <w:pStyle w:val="227"/>
                    <w:spacing w:before="122" w:line="320"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3"/>
                      <w:sz w:val="21"/>
                      <w:szCs w:val="21"/>
                      <w14:textFill>
                        <w14:solidFill>
                          <w14:schemeClr w14:val="tx1"/>
                        </w14:solidFill>
                      </w14:textFill>
                    </w:rPr>
                    <w:t>坚持属地负责与区域大气污染联防联控相结合，以</w:t>
                  </w:r>
                  <w:r>
                    <w:rPr>
                      <w:rFonts w:ascii="Times New Roman" w:hAnsi="Times New Roman" w:eastAsia="宋体"/>
                      <w:b w:val="0"/>
                      <w:color w:val="000000" w:themeColor="text1"/>
                      <w:spacing w:val="2"/>
                      <w:sz w:val="21"/>
                      <w:szCs w:val="21"/>
                      <w14:textFill>
                        <w14:solidFill>
                          <w14:schemeClr w14:val="tx1"/>
                        </w14:solidFill>
                      </w14:textFill>
                    </w:rPr>
                    <w:t>明显降低细颗粒物浓度为重点，协同推进“乌</w:t>
                  </w:r>
                  <w:r>
                    <w:rPr>
                      <w:rFonts w:ascii="Times New Roman" w:hAnsi="Times New Roman" w:eastAsia="宋体" w:cs="Times New Roman"/>
                      <w:b w:val="0"/>
                      <w:color w:val="000000" w:themeColor="text1"/>
                      <w:spacing w:val="1"/>
                      <w:sz w:val="21"/>
                      <w:szCs w:val="21"/>
                      <w14:textFill>
                        <w14:solidFill>
                          <w14:schemeClr w14:val="tx1"/>
                        </w14:solidFill>
                      </w14:textFill>
                    </w:rPr>
                    <w:t>-</w:t>
                  </w:r>
                  <w:r>
                    <w:rPr>
                      <w:rFonts w:ascii="Times New Roman" w:hAnsi="Times New Roman" w:eastAsia="宋体"/>
                      <w:b w:val="0"/>
                      <w:color w:val="000000" w:themeColor="text1"/>
                      <w:spacing w:val="1"/>
                      <w:sz w:val="21"/>
                      <w:szCs w:val="21"/>
                      <w14:textFill>
                        <w14:solidFill>
                          <w14:schemeClr w14:val="tx1"/>
                        </w14:solidFill>
                      </w14:textFill>
                    </w:rPr>
                    <w:t>昌石”</w:t>
                  </w:r>
                  <w:r>
                    <w:rPr>
                      <w:rFonts w:ascii="Times New Roman" w:hAnsi="Times New Roman" w:eastAsia="宋体"/>
                      <w:b w:val="0"/>
                      <w:color w:val="000000" w:themeColor="text1"/>
                      <w:spacing w:val="-3"/>
                      <w:sz w:val="21"/>
                      <w:szCs w:val="21"/>
                      <w14:textFill>
                        <w14:solidFill>
                          <w14:schemeClr w14:val="tx1"/>
                        </w14:solidFill>
                      </w14:textFill>
                    </w:rPr>
                    <w:t>区域大气环境治理，强化与生产建设兵团第六师、第八师、第十一师、第十二师的同防同治，确保区域环境空气质量持续改善。所有新建、改建、扩建工业项目执行最严格的大气污染物排放标准。强化氮氧化物深度治理。强化挥发性有机物污染防治措施。推广使用低挥发性有机物原辅料，推动有条件的园区（工业</w:t>
                  </w:r>
                  <w:r>
                    <w:rPr>
                      <w:rFonts w:ascii="Times New Roman" w:hAnsi="Times New Roman" w:eastAsia="宋体"/>
                      <w:b w:val="0"/>
                      <w:color w:val="000000" w:themeColor="text1"/>
                      <w:spacing w:val="-6"/>
                      <w:sz w:val="21"/>
                      <w:szCs w:val="21"/>
                      <w14:textFill>
                        <w14:solidFill>
                          <w14:schemeClr w14:val="tx1"/>
                        </w14:solidFill>
                      </w14:textFill>
                    </w:rPr>
                    <w:t>集聚区）建设集中喷涂工程中心，配备高效治污设施，</w:t>
                  </w:r>
                  <w:r>
                    <w:rPr>
                      <w:rFonts w:ascii="Times New Roman" w:hAnsi="Times New Roman" w:eastAsia="宋体"/>
                      <w:b w:val="0"/>
                      <w:color w:val="000000" w:themeColor="text1"/>
                      <w:spacing w:val="-1"/>
                      <w:sz w:val="21"/>
                      <w:szCs w:val="21"/>
                      <w14:textFill>
                        <w14:solidFill>
                          <w14:schemeClr w14:val="tx1"/>
                        </w14:solidFill>
                      </w14:textFill>
                    </w:rPr>
                    <w:t>替代企业独立喷涂工序。</w:t>
                  </w:r>
                </w:p>
              </w:tc>
              <w:tc>
                <w:tcPr>
                  <w:tcW w:w="2695" w:type="dxa"/>
                  <w:shd w:val="clear" w:color="auto" w:fill="FFFFFF"/>
                  <w:vAlign w:val="center"/>
                </w:tcPr>
                <w:p w14:paraId="7011C733">
                  <w:pPr>
                    <w:pStyle w:val="227"/>
                    <w:spacing w:before="65" w:line="333"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16"/>
                      <w:sz w:val="21"/>
                      <w:szCs w:val="21"/>
                      <w14:textFill>
                        <w14:solidFill>
                          <w14:schemeClr w14:val="tx1"/>
                        </w14:solidFill>
                      </w14:textFill>
                    </w:rPr>
                    <w:t>本项目采取严格的大</w:t>
                  </w:r>
                  <w:r>
                    <w:rPr>
                      <w:rFonts w:ascii="Times New Roman" w:hAnsi="Times New Roman" w:eastAsia="宋体"/>
                      <w:b w:val="0"/>
                      <w:color w:val="000000" w:themeColor="text1"/>
                      <w:spacing w:val="15"/>
                      <w:sz w:val="21"/>
                      <w:szCs w:val="21"/>
                      <w14:textFill>
                        <w14:solidFill>
                          <w14:schemeClr w14:val="tx1"/>
                        </w14:solidFill>
                      </w14:textFill>
                    </w:rPr>
                    <w:t>气污染防治措施，确保</w:t>
                  </w:r>
                  <w:r>
                    <w:rPr>
                      <w:rFonts w:ascii="Times New Roman" w:hAnsi="Times New Roman" w:eastAsia="宋体"/>
                      <w:b w:val="0"/>
                      <w:color w:val="000000" w:themeColor="text1"/>
                      <w:spacing w:val="7"/>
                      <w:sz w:val="21"/>
                      <w:szCs w:val="21"/>
                      <w14:textFill>
                        <w14:solidFill>
                          <w14:schemeClr w14:val="tx1"/>
                        </w14:solidFill>
                      </w14:textFill>
                    </w:rPr>
                    <w:t>大气污染物达标排放</w:t>
                  </w:r>
                </w:p>
              </w:tc>
              <w:tc>
                <w:tcPr>
                  <w:tcW w:w="1432" w:type="dxa"/>
                  <w:tcBorders>
                    <w:right w:val="nil"/>
                  </w:tcBorders>
                  <w:shd w:val="clear" w:color="auto" w:fill="FFFFFF"/>
                  <w:vAlign w:val="center"/>
                </w:tcPr>
                <w:p w14:paraId="256C9E1B">
                  <w:pPr>
                    <w:pStyle w:val="227"/>
                    <w:spacing w:before="65" w:line="228"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符合</w:t>
                  </w:r>
                </w:p>
              </w:tc>
            </w:tr>
            <w:tr w14:paraId="52FF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tcBorders>
                    <w:left w:val="nil"/>
                  </w:tcBorders>
                  <w:shd w:val="clear" w:color="auto" w:fill="FFFFFF"/>
                  <w:vAlign w:val="center"/>
                </w:tcPr>
                <w:p w14:paraId="0ECB6B06">
                  <w:pPr>
                    <w:pStyle w:val="227"/>
                    <w:spacing w:before="127" w:line="301"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5"/>
                      <w:sz w:val="21"/>
                      <w:szCs w:val="21"/>
                      <w14:textFill>
                        <w14:solidFill>
                          <w14:schemeClr w14:val="tx1"/>
                        </w14:solidFill>
                      </w14:textFill>
                    </w:rPr>
                    <w:t>强化企业清洁生产改造，推进节水型企业、节水型</w:t>
                  </w:r>
                  <w:r>
                    <w:rPr>
                      <w:rFonts w:ascii="Times New Roman" w:hAnsi="Times New Roman" w:eastAsia="宋体"/>
                      <w:b w:val="0"/>
                      <w:color w:val="000000" w:themeColor="text1"/>
                      <w:spacing w:val="6"/>
                      <w:sz w:val="21"/>
                      <w:szCs w:val="21"/>
                      <w14:textFill>
                        <w14:solidFill>
                          <w14:schemeClr w14:val="tx1"/>
                        </w14:solidFill>
                      </w14:textFill>
                    </w:rPr>
                    <w:t>工业园区建设，提高资源集约节约利用水平。积极推进地下水超采治理，逐步压减地下水超采量，实现地下水采补平衡。</w:t>
                  </w:r>
                </w:p>
              </w:tc>
              <w:tc>
                <w:tcPr>
                  <w:tcW w:w="2695" w:type="dxa"/>
                  <w:shd w:val="clear" w:color="auto" w:fill="FFFFFF"/>
                  <w:vAlign w:val="center"/>
                </w:tcPr>
                <w:p w14:paraId="481C08DA">
                  <w:pPr>
                    <w:pStyle w:val="227"/>
                    <w:spacing w:before="65" w:line="333" w:lineRule="auto"/>
                    <w:ind w:left="0" w:leftChars="0" w:right="45" w:righ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10"/>
                      <w:sz w:val="21"/>
                      <w:szCs w:val="21"/>
                      <w14:textFill>
                        <w14:solidFill>
                          <w14:schemeClr w14:val="tx1"/>
                        </w14:solidFill>
                      </w14:textFill>
                    </w:rPr>
                    <w:t>本项目用水量较小，不开采地下水</w:t>
                  </w:r>
                </w:p>
              </w:tc>
              <w:tc>
                <w:tcPr>
                  <w:tcW w:w="1432" w:type="dxa"/>
                  <w:tcBorders>
                    <w:right w:val="nil"/>
                  </w:tcBorders>
                  <w:shd w:val="clear" w:color="auto" w:fill="FFFFFF"/>
                  <w:vAlign w:val="center"/>
                </w:tcPr>
                <w:p w14:paraId="78059209">
                  <w:pPr>
                    <w:pStyle w:val="227"/>
                    <w:spacing w:before="65" w:line="228"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符合</w:t>
                  </w:r>
                </w:p>
              </w:tc>
            </w:tr>
            <w:tr w14:paraId="2EED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tcBorders>
                    <w:left w:val="nil"/>
                  </w:tcBorders>
                  <w:shd w:val="clear" w:color="auto" w:fill="FFFFFF"/>
                  <w:vAlign w:val="center"/>
                </w:tcPr>
                <w:p w14:paraId="4C399C1D">
                  <w:pPr>
                    <w:pStyle w:val="227"/>
                    <w:spacing w:before="65" w:line="334"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5"/>
                      <w:sz w:val="21"/>
                      <w:szCs w:val="21"/>
                      <w14:textFill>
                        <w14:solidFill>
                          <w14:schemeClr w14:val="tx1"/>
                        </w14:solidFill>
                      </w14:textFill>
                    </w:rPr>
                    <w:t>强化油（气）资源开发区土壤环境污染综合整治。</w:t>
                  </w:r>
                  <w:r>
                    <w:rPr>
                      <w:rFonts w:ascii="Times New Roman" w:hAnsi="Times New Roman" w:eastAsia="宋体"/>
                      <w:b w:val="0"/>
                      <w:color w:val="000000" w:themeColor="text1"/>
                      <w:spacing w:val="7"/>
                      <w:sz w:val="21"/>
                      <w:szCs w:val="21"/>
                      <w14:textFill>
                        <w14:solidFill>
                          <w14:schemeClr w14:val="tx1"/>
                        </w14:solidFill>
                      </w14:textFill>
                    </w:rPr>
                    <w:t>加强涉重金属行业污染防控与工业废物处理处置。</w:t>
                  </w:r>
                </w:p>
              </w:tc>
              <w:tc>
                <w:tcPr>
                  <w:tcW w:w="2695" w:type="dxa"/>
                  <w:shd w:val="clear" w:color="auto" w:fill="FFFFFF"/>
                  <w:vAlign w:val="center"/>
                </w:tcPr>
                <w:p w14:paraId="2240D0E2">
                  <w:pPr>
                    <w:pStyle w:val="227"/>
                    <w:spacing w:before="131" w:line="300"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本项目不位于油（气）</w:t>
                  </w:r>
                  <w:r>
                    <w:rPr>
                      <w:rFonts w:ascii="Times New Roman" w:hAnsi="Times New Roman" w:eastAsia="宋体"/>
                      <w:b w:val="0"/>
                      <w:color w:val="000000" w:themeColor="text1"/>
                      <w:spacing w:val="7"/>
                      <w:sz w:val="21"/>
                      <w:szCs w:val="21"/>
                      <w14:textFill>
                        <w14:solidFill>
                          <w14:schemeClr w14:val="tx1"/>
                        </w14:solidFill>
                      </w14:textFill>
                    </w:rPr>
                    <w:t>资源开发区，不属于涉重金属行业污染防控与</w:t>
                  </w:r>
                  <w:r>
                    <w:rPr>
                      <w:rFonts w:ascii="Times New Roman" w:hAnsi="Times New Roman" w:eastAsia="宋体"/>
                      <w:b w:val="0"/>
                      <w:color w:val="000000" w:themeColor="text1"/>
                      <w:spacing w:val="-1"/>
                      <w:sz w:val="21"/>
                      <w:szCs w:val="21"/>
                      <w14:textFill>
                        <w14:solidFill>
                          <w14:schemeClr w14:val="tx1"/>
                        </w14:solidFill>
                      </w14:textFill>
                    </w:rPr>
                    <w:t>工业废物处理处置项目</w:t>
                  </w:r>
                </w:p>
              </w:tc>
              <w:tc>
                <w:tcPr>
                  <w:tcW w:w="1432" w:type="dxa"/>
                  <w:tcBorders>
                    <w:right w:val="nil"/>
                  </w:tcBorders>
                  <w:shd w:val="clear" w:color="auto" w:fill="FFFFFF"/>
                  <w:vAlign w:val="center"/>
                </w:tcPr>
                <w:p w14:paraId="0DD9EDAD">
                  <w:pPr>
                    <w:pStyle w:val="227"/>
                    <w:spacing w:before="65" w:line="228"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符合</w:t>
                  </w:r>
                </w:p>
              </w:tc>
            </w:tr>
            <w:tr w14:paraId="3F28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tcBorders>
                    <w:left w:val="nil"/>
                    <w:bottom w:val="single" w:color="000000" w:sz="12" w:space="0"/>
                  </w:tcBorders>
                  <w:shd w:val="clear" w:color="auto" w:fill="FFFFFF"/>
                  <w:vAlign w:val="center"/>
                </w:tcPr>
                <w:p w14:paraId="69CC52C8">
                  <w:pPr>
                    <w:keepNext w:val="0"/>
                    <w:keepLines w:val="0"/>
                    <w:widowControl/>
                    <w:suppressLineNumbers w:val="0"/>
                    <w:ind w:left="0" w:leftChars="0" w:firstLine="0" w:firstLineChars="0"/>
                    <w:jc w:val="center"/>
                    <w:rPr>
                      <w:rFonts w:hint="eastAsia" w:ascii="Times New Roman" w:hAnsi="Times New Roman" w:eastAsia="宋体"/>
                      <w:b w:val="0"/>
                      <w:bCs/>
                      <w:color w:val="000000" w:themeColor="text1"/>
                      <w:kern w:val="2"/>
                      <w:sz w:val="21"/>
                      <w:szCs w:val="21"/>
                      <w:vertAlign w:val="baseline"/>
                      <w:lang w:val="en-US" w:eastAsia="zh-CN"/>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煤炭、石油、天然气开发单位应当制定生态保护和恢复治理方案，并予以实施。生态保护和恢复治理方</w:t>
                  </w:r>
                  <w:r>
                    <w:rPr>
                      <w:rFonts w:ascii="Times New Roman" w:hAnsi="Times New Roman" w:eastAsia="宋体"/>
                      <w:b w:val="0"/>
                      <w:color w:val="000000" w:themeColor="text1"/>
                      <w:spacing w:val="8"/>
                      <w:sz w:val="21"/>
                      <w:szCs w:val="21"/>
                      <w14:textFill>
                        <w14:solidFill>
                          <w14:schemeClr w14:val="tx1"/>
                        </w14:solidFill>
                      </w14:textFill>
                    </w:rPr>
                    <w:t>案内容应当向社会公布，接受社会监督。</w:t>
                  </w:r>
                </w:p>
              </w:tc>
              <w:tc>
                <w:tcPr>
                  <w:tcW w:w="2695" w:type="dxa"/>
                  <w:tcBorders>
                    <w:bottom w:val="single" w:color="000000" w:sz="12" w:space="0"/>
                  </w:tcBorders>
                  <w:shd w:val="clear" w:color="auto" w:fill="FFFFFF"/>
                  <w:vAlign w:val="center"/>
                </w:tcPr>
                <w:p w14:paraId="36244993">
                  <w:pPr>
                    <w:keepNext w:val="0"/>
                    <w:keepLines w:val="0"/>
                    <w:widowControl/>
                    <w:suppressLineNumbers w:val="0"/>
                    <w:ind w:left="0" w:leftChars="0" w:firstLine="0" w:firstLineChars="0"/>
                    <w:jc w:val="center"/>
                    <w:rPr>
                      <w:rFonts w:hint="eastAsia" w:ascii="Times New Roman" w:hAnsi="Times New Roman" w:eastAsia="宋体"/>
                      <w:b w:val="0"/>
                      <w:bCs/>
                      <w:color w:val="000000" w:themeColor="text1"/>
                      <w:kern w:val="2"/>
                      <w:sz w:val="21"/>
                      <w:szCs w:val="21"/>
                      <w:vertAlign w:val="baseline"/>
                      <w:lang w:val="en-US" w:eastAsia="zh-CN"/>
                      <w14:textFill>
                        <w14:solidFill>
                          <w14:schemeClr w14:val="tx1"/>
                        </w14:solidFill>
                      </w14:textFill>
                    </w:rPr>
                  </w:pPr>
                  <w:r>
                    <w:rPr>
                      <w:rFonts w:ascii="Times New Roman" w:hAnsi="Times New Roman" w:eastAsia="宋体"/>
                      <w:b w:val="0"/>
                      <w:color w:val="000000" w:themeColor="text1"/>
                      <w:spacing w:val="13"/>
                      <w:sz w:val="21"/>
                      <w:szCs w:val="21"/>
                      <w14:textFill>
                        <w14:solidFill>
                          <w14:schemeClr w14:val="tx1"/>
                        </w14:solidFill>
                      </w14:textFill>
                    </w:rPr>
                    <w:t>本项目不属于煤炭、</w:t>
                  </w:r>
                  <w:r>
                    <w:rPr>
                      <w:rFonts w:ascii="Times New Roman" w:hAnsi="Times New Roman" w:eastAsia="宋体"/>
                      <w:b w:val="0"/>
                      <w:color w:val="000000" w:themeColor="text1"/>
                      <w:spacing w:val="8"/>
                      <w:sz w:val="21"/>
                      <w:szCs w:val="21"/>
                      <w14:textFill>
                        <w14:solidFill>
                          <w14:schemeClr w14:val="tx1"/>
                        </w14:solidFill>
                      </w14:textFill>
                    </w:rPr>
                    <w:t>石油、天然气开发项目</w:t>
                  </w:r>
                  <w:r>
                    <w:rPr>
                      <w:rFonts w:hint="eastAsia" w:ascii="Times New Roman" w:hAnsi="Times New Roman" w:eastAsia="宋体"/>
                      <w:b w:val="0"/>
                      <w:color w:val="000000" w:themeColor="text1"/>
                      <w:spacing w:val="8"/>
                      <w:sz w:val="21"/>
                      <w:szCs w:val="21"/>
                      <w:lang w:eastAsia="zh-CN"/>
                      <w14:textFill>
                        <w14:solidFill>
                          <w14:schemeClr w14:val="tx1"/>
                        </w14:solidFill>
                      </w14:textFill>
                    </w:rPr>
                    <w:t>。</w:t>
                  </w:r>
                </w:p>
              </w:tc>
              <w:tc>
                <w:tcPr>
                  <w:tcW w:w="1432" w:type="dxa"/>
                  <w:tcBorders>
                    <w:bottom w:val="single" w:color="000000" w:sz="12" w:space="0"/>
                    <w:right w:val="nil"/>
                  </w:tcBorders>
                  <w:shd w:val="clear" w:color="auto" w:fill="FFFFFF"/>
                  <w:vAlign w:val="center"/>
                </w:tcPr>
                <w:p w14:paraId="62462746">
                  <w:pPr>
                    <w:pStyle w:val="227"/>
                    <w:spacing w:before="65" w:line="228"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符合</w:t>
                  </w:r>
                </w:p>
              </w:tc>
            </w:tr>
          </w:tbl>
          <w:p w14:paraId="0C6ABAB5">
            <w:pPr>
              <w:keepNext w:val="0"/>
              <w:keepLines w:val="0"/>
              <w:pageBreakBefore w:val="0"/>
              <w:widowControl/>
              <w:suppressLineNumbers w:val="0"/>
              <w:kinsoku/>
              <w:wordWrap/>
              <w:overflowPunct/>
              <w:topLinePunct w:val="0"/>
              <w:autoSpaceDE/>
              <w:autoSpaceDN/>
              <w:bidi w:val="0"/>
              <w:adjustRightInd/>
              <w:snapToGrid/>
              <w:ind w:left="0" w:leftChars="0" w:firstLine="468" w:firstLineChars="200"/>
              <w:jc w:val="left"/>
              <w:textAlignment w:val="auto"/>
              <w:rPr>
                <w:rFonts w:hint="eastAsia"/>
                <w:b/>
                <w:bCs/>
                <w:color w:val="000000" w:themeColor="text1"/>
                <w:kern w:val="2"/>
                <w:sz w:val="24"/>
                <w:szCs w:val="24"/>
                <w:lang w:val="en-US" w:eastAsia="zh-CN"/>
                <w14:textFill>
                  <w14:solidFill>
                    <w14:schemeClr w14:val="tx1"/>
                  </w14:solidFill>
                </w14:textFill>
              </w:rPr>
            </w:pPr>
            <w:r>
              <w:rPr>
                <w:color w:val="000000" w:themeColor="text1"/>
                <w:spacing w:val="-3"/>
                <w14:textFill>
                  <w14:solidFill>
                    <w14:schemeClr w14:val="tx1"/>
                  </w14:solidFill>
                </w14:textFill>
              </w:rPr>
              <w:t>综上所述，本项目符合《关于印发〈新疆维吾尔自治区七大片区“三</w:t>
            </w:r>
            <w:r>
              <w:rPr>
                <w:color w:val="000000" w:themeColor="text1"/>
                <w:spacing w:val="-2"/>
                <w14:textFill>
                  <w14:solidFill>
                    <w14:schemeClr w14:val="tx1"/>
                  </w14:solidFill>
                </w14:textFill>
              </w:rPr>
              <w:t>线一单”生态环境分区管控要求〉（</w:t>
            </w:r>
            <w:r>
              <w:rPr>
                <w:rFonts w:ascii="Times New Roman" w:hAnsi="Times New Roman" w:eastAsia="Times New Roman" w:cs="Times New Roman"/>
                <w:color w:val="000000" w:themeColor="text1"/>
                <w:spacing w:val="-2"/>
                <w14:textFill>
                  <w14:solidFill>
                    <w14:schemeClr w14:val="tx1"/>
                  </w14:solidFill>
                </w14:textFill>
              </w:rPr>
              <w:t>2021</w:t>
            </w:r>
            <w:r>
              <w:rPr>
                <w:color w:val="000000" w:themeColor="text1"/>
                <w:spacing w:val="-2"/>
                <w14:textFill>
                  <w14:solidFill>
                    <w14:schemeClr w14:val="tx1"/>
                  </w14:solidFill>
                </w14:textFill>
              </w:rPr>
              <w:t>年版）的通知》相关要求。</w:t>
            </w:r>
          </w:p>
          <w:p w14:paraId="6F34BE1C">
            <w:pPr>
              <w:keepNext w:val="0"/>
              <w:keepLines w:val="0"/>
              <w:widowControl/>
              <w:suppressLineNumbers w:val="0"/>
              <w:jc w:val="left"/>
              <w:rPr>
                <w:rFonts w:hint="eastAsia"/>
                <w:b/>
                <w:bCs/>
                <w:color w:val="000000" w:themeColor="text1"/>
                <w:kern w:val="2"/>
                <w:sz w:val="24"/>
                <w:szCs w:val="24"/>
                <w:lang w:val="en-US" w:eastAsia="zh-CN"/>
                <w14:textFill>
                  <w14:solidFill>
                    <w14:schemeClr w14:val="tx1"/>
                  </w14:solidFill>
                </w14:textFill>
              </w:rPr>
            </w:pPr>
            <w:r>
              <w:rPr>
                <w:rFonts w:hint="eastAsia"/>
                <w:b/>
                <w:bCs/>
                <w:color w:val="000000" w:themeColor="text1"/>
                <w:kern w:val="2"/>
                <w:sz w:val="24"/>
                <w:szCs w:val="24"/>
                <w:lang w:val="en-US" w:eastAsia="zh-CN"/>
                <w14:textFill>
                  <w14:solidFill>
                    <w14:schemeClr w14:val="tx1"/>
                  </w14:solidFill>
                </w14:textFill>
              </w:rPr>
              <w:t>3）与</w:t>
            </w:r>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《关于发布昌吉回族自治州生态环境分区管控动态更新</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成果的公告》</w:t>
            </w:r>
            <w:r>
              <w:rPr>
                <w:rFonts w:hint="eastAsia"/>
                <w:b/>
                <w:bCs/>
                <w:color w:val="000000" w:themeColor="text1"/>
                <w:kern w:val="2"/>
                <w:sz w:val="24"/>
                <w:szCs w:val="24"/>
                <w:lang w:val="en-US" w:eastAsia="zh-CN"/>
                <w14:textFill>
                  <w14:solidFill>
                    <w14:schemeClr w14:val="tx1"/>
                  </w14:solidFill>
                </w14:textFill>
              </w:rPr>
              <w:t>符合性分析</w:t>
            </w:r>
          </w:p>
          <w:p w14:paraId="41F9B2D3">
            <w:pPr>
              <w:keepNext w:val="0"/>
              <w:keepLines w:val="0"/>
              <w:pageBreakBefore w:val="0"/>
              <w:widowControl/>
              <w:suppressLineNumbers w:val="0"/>
              <w:kinsoku/>
              <w:wordWrap/>
              <w:overflowPunct/>
              <w:topLinePunct w:val="0"/>
              <w:autoSpaceDE/>
              <w:autoSpaceDN/>
              <w:bidi w:val="0"/>
              <w:adjustRightInd/>
              <w:snapToGrid/>
              <w:ind w:left="0" w:leftChars="0" w:firstLine="468" w:firstLineChars="200"/>
              <w:jc w:val="left"/>
              <w:textAlignment w:val="auto"/>
              <w:rPr>
                <w:color w:val="000000" w:themeColor="text1"/>
                <w:spacing w:val="-3"/>
                <w:lang w:val="en-US" w:eastAsia="zh-CN"/>
                <w14:textFill>
                  <w14:solidFill>
                    <w14:schemeClr w14:val="tx1"/>
                  </w14:solidFill>
                </w14:textFill>
              </w:rPr>
            </w:pPr>
            <w:r>
              <w:rPr>
                <w:color w:val="000000" w:themeColor="text1"/>
                <w:spacing w:val="-3"/>
                <w:lang w:val="en-US" w:eastAsia="zh-CN"/>
                <w14:textFill>
                  <w14:solidFill>
                    <w14:schemeClr w14:val="tx1"/>
                  </w14:solidFill>
                </w14:textFill>
              </w:rPr>
              <w:t>①环境管控单元</w:t>
            </w:r>
          </w:p>
          <w:p w14:paraId="23EF50B4">
            <w:pPr>
              <w:keepNext w:val="0"/>
              <w:keepLines w:val="0"/>
              <w:pageBreakBefore w:val="0"/>
              <w:widowControl/>
              <w:suppressLineNumbers w:val="0"/>
              <w:kinsoku/>
              <w:wordWrap/>
              <w:overflowPunct/>
              <w:topLinePunct w:val="0"/>
              <w:autoSpaceDE/>
              <w:autoSpaceDN/>
              <w:bidi w:val="0"/>
              <w:adjustRightInd/>
              <w:snapToGrid/>
              <w:ind w:left="0" w:leftChars="0" w:firstLine="468" w:firstLineChars="200"/>
              <w:jc w:val="left"/>
              <w:textAlignment w:val="auto"/>
              <w:rPr>
                <w:color w:val="000000" w:themeColor="text1"/>
                <w:spacing w:val="-3"/>
                <w:lang w:val="en-US" w:eastAsia="zh-CN"/>
                <w14:textFill>
                  <w14:solidFill>
                    <w14:schemeClr w14:val="tx1"/>
                  </w14:solidFill>
                </w14:textFill>
              </w:rPr>
            </w:pPr>
            <w:r>
              <w:rPr>
                <w:color w:val="000000" w:themeColor="text1"/>
                <w:spacing w:val="-3"/>
                <w:lang w:val="en-US" w:eastAsia="zh-CN"/>
                <w14:textFill>
                  <w14:solidFill>
                    <w14:schemeClr w14:val="tx1"/>
                  </w14:solidFill>
                </w14:textFill>
              </w:rPr>
              <w:t>根据</w:t>
            </w:r>
            <w:r>
              <w:rPr>
                <w:rFonts w:hint="eastAsia" w:ascii="Times New Roman" w:hAnsi="Times New Roman" w:eastAsia="宋体" w:cs="Times New Roman"/>
                <w:color w:val="000000" w:themeColor="text1"/>
                <w:spacing w:val="-3"/>
                <w:lang w:val="en-US" w:eastAsia="zh-CN"/>
                <w14:textFill>
                  <w14:solidFill>
                    <w14:schemeClr w14:val="tx1"/>
                  </w14:solidFill>
                </w14:textFill>
              </w:rPr>
              <w:t>《关于发布昌吉回族自治州生态环境分区管控动态更新成果的公告》</w:t>
            </w:r>
            <w:r>
              <w:rPr>
                <w:color w:val="000000" w:themeColor="text1"/>
                <w:spacing w:val="-3"/>
                <w:lang w:val="en-US" w:eastAsia="zh-CN"/>
                <w14:textFill>
                  <w14:solidFill>
                    <w14:schemeClr w14:val="tx1"/>
                  </w14:solidFill>
                </w14:textFill>
              </w:rPr>
              <w:t>可知，本项目位于</w:t>
            </w:r>
            <w:r>
              <w:rPr>
                <w:rFonts w:hint="eastAsia" w:cs="Times New Roman"/>
                <w:color w:val="000000" w:themeColor="text1"/>
                <w14:textFill>
                  <w14:solidFill>
                    <w14:schemeClr w14:val="tx1"/>
                  </w14:solidFill>
                </w14:textFill>
              </w:rPr>
              <w:t>“昌吉市环境管控单元”中的重点管控单元</w:t>
            </w:r>
            <w:r>
              <w:rPr>
                <w:color w:val="000000" w:themeColor="text1"/>
                <w:spacing w:val="-3"/>
                <w:lang w:val="en-US" w:eastAsia="zh-CN"/>
                <w14:textFill>
                  <w14:solidFill>
                    <w14:schemeClr w14:val="tx1"/>
                  </w14:solidFill>
                </w14:textFill>
              </w:rPr>
              <w:t>，</w:t>
            </w:r>
            <w:r>
              <w:rPr>
                <w:rFonts w:hint="eastAsia"/>
                <w:color w:val="000000" w:themeColor="text1"/>
                <w:spacing w:val="-3"/>
                <w:lang w:val="en-US" w:eastAsia="zh-CN"/>
                <w14:textFill>
                  <w14:solidFill>
                    <w14:schemeClr w14:val="tx1"/>
                  </w14:solidFill>
                </w14:textFill>
              </w:rPr>
              <w:t>单元名称：昌吉州西部限采区，</w:t>
            </w:r>
            <w:r>
              <w:rPr>
                <w:color w:val="000000" w:themeColor="text1"/>
                <w:spacing w:val="-3"/>
                <w:lang w:val="en-US" w:eastAsia="zh-CN"/>
                <w14:textFill>
                  <w14:solidFill>
                    <w14:schemeClr w14:val="tx1"/>
                  </w14:solidFill>
                </w14:textFill>
              </w:rPr>
              <w:t>管控单元编号</w:t>
            </w:r>
            <w:r>
              <w:rPr>
                <w:rFonts w:hint="eastAsia"/>
                <w:color w:val="000000" w:themeColor="text1"/>
                <w:spacing w:val="-3"/>
                <w:lang w:val="en-US" w:eastAsia="zh-CN"/>
                <w14:textFill>
                  <w14:solidFill>
                    <w14:schemeClr w14:val="tx1"/>
                  </w14:solidFill>
                </w14:textFill>
              </w:rPr>
              <w:t>：ZH65230120008。</w:t>
            </w:r>
          </w:p>
          <w:p w14:paraId="4459058C">
            <w:pPr>
              <w:keepNext w:val="0"/>
              <w:keepLines w:val="0"/>
              <w:pageBreakBefore w:val="0"/>
              <w:widowControl/>
              <w:suppressLineNumbers w:val="0"/>
              <w:kinsoku/>
              <w:wordWrap/>
              <w:overflowPunct/>
              <w:topLinePunct w:val="0"/>
              <w:autoSpaceDE/>
              <w:autoSpaceDN/>
              <w:bidi w:val="0"/>
              <w:adjustRightInd/>
              <w:snapToGrid/>
              <w:ind w:left="0" w:leftChars="0" w:firstLine="468" w:firstLineChars="200"/>
              <w:jc w:val="left"/>
              <w:textAlignment w:val="auto"/>
              <w:rPr>
                <w:color w:val="000000" w:themeColor="text1"/>
                <w:spacing w:val="-3"/>
                <w:lang w:val="en-US" w:eastAsia="zh-CN"/>
                <w14:textFill>
                  <w14:solidFill>
                    <w14:schemeClr w14:val="tx1"/>
                  </w14:solidFill>
                </w14:textFill>
              </w:rPr>
            </w:pPr>
            <w:r>
              <w:rPr>
                <w:color w:val="000000" w:themeColor="text1"/>
                <w:spacing w:val="-3"/>
                <w:lang w:val="en-US" w:eastAsia="zh-CN"/>
                <w14:textFill>
                  <w14:solidFill>
                    <w14:schemeClr w14:val="tx1"/>
                  </w14:solidFill>
                </w14:textFill>
              </w:rPr>
              <w:t>②生态环境准入清单符合性分析</w:t>
            </w:r>
          </w:p>
          <w:p w14:paraId="22C2B86D">
            <w:pPr>
              <w:keepNext w:val="0"/>
              <w:keepLines w:val="0"/>
              <w:pageBreakBefore w:val="0"/>
              <w:widowControl/>
              <w:suppressLineNumbers w:val="0"/>
              <w:kinsoku/>
              <w:wordWrap/>
              <w:overflowPunct/>
              <w:topLinePunct w:val="0"/>
              <w:autoSpaceDE/>
              <w:autoSpaceDN/>
              <w:bidi w:val="0"/>
              <w:adjustRightInd/>
              <w:snapToGrid/>
              <w:ind w:left="0" w:leftChars="0" w:firstLine="468" w:firstLineChars="200"/>
              <w:jc w:val="left"/>
              <w:textAlignment w:val="auto"/>
              <w:rPr>
                <w:color w:val="000000" w:themeColor="text1"/>
                <w:spacing w:val="-3"/>
                <w:lang w:val="en-US" w:eastAsia="zh-CN"/>
                <w14:textFill>
                  <w14:solidFill>
                    <w14:schemeClr w14:val="tx1"/>
                  </w14:solidFill>
                </w14:textFill>
              </w:rPr>
            </w:pPr>
            <w:r>
              <w:rPr>
                <w:rFonts w:ascii="Times New Roman" w:hAnsi="Times New Roman" w:eastAsia="宋体" w:cs="Times New Roman"/>
                <w:color w:val="000000" w:themeColor="text1"/>
                <w:spacing w:val="-3"/>
                <w:lang w:val="en-US" w:eastAsia="zh-CN"/>
                <w14:textFill>
                  <w14:solidFill>
                    <w14:schemeClr w14:val="tx1"/>
                  </w14:solidFill>
                </w14:textFill>
              </w:rPr>
              <w:t>项目与</w:t>
            </w:r>
            <w:r>
              <w:rPr>
                <w:rFonts w:hint="eastAsia"/>
                <w:color w:val="000000" w:themeColor="text1"/>
                <w:spacing w:val="-3"/>
                <w:lang w:val="en-US" w:eastAsia="zh-CN"/>
                <w14:textFill>
                  <w14:solidFill>
                    <w14:schemeClr w14:val="tx1"/>
                  </w14:solidFill>
                </w14:textFill>
              </w:rPr>
              <w:t>昌吉州西部限采区</w:t>
            </w:r>
            <w:r>
              <w:rPr>
                <w:color w:val="000000" w:themeColor="text1"/>
                <w:spacing w:val="-3"/>
                <w:lang w:val="en-US" w:eastAsia="zh-CN"/>
                <w14:textFill>
                  <w14:solidFill>
                    <w14:schemeClr w14:val="tx1"/>
                  </w14:solidFill>
                </w14:textFill>
              </w:rPr>
              <w:t>单元级管控要求分析见下表。</w:t>
            </w:r>
          </w:p>
          <w:p w14:paraId="1F0985B6">
            <w:pPr>
              <w:keepNext w:val="0"/>
              <w:keepLines w:val="0"/>
              <w:widowControl/>
              <w:suppressLineNumbers w:val="0"/>
              <w:ind w:left="0" w:leftChars="0" w:firstLine="0" w:firstLineChars="0"/>
              <w:jc w:val="center"/>
              <w:rPr>
                <w:rFonts w:hint="eastAsia"/>
                <w:b/>
                <w:bCs/>
                <w:color w:val="000000" w:themeColor="text1"/>
                <w:kern w:val="2"/>
                <w:sz w:val="21"/>
                <w:szCs w:val="21"/>
                <w:lang w:val="en-US" w:eastAsia="zh-CN"/>
                <w14:textFill>
                  <w14:solidFill>
                    <w14:schemeClr w14:val="tx1"/>
                  </w14:solidFill>
                </w14:textFill>
              </w:rPr>
            </w:pPr>
            <w:r>
              <w:rPr>
                <w:b/>
                <w:bCs/>
                <w:color w:val="000000" w:themeColor="text1"/>
                <w:spacing w:val="6"/>
                <w:sz w:val="21"/>
                <w:szCs w:val="21"/>
                <w14:textFill>
                  <w14:solidFill>
                    <w14:schemeClr w14:val="tx1"/>
                  </w14:solidFill>
                </w14:textFill>
              </w:rPr>
              <w:t>表</w:t>
            </w:r>
            <w:r>
              <w:rPr>
                <w:rFonts w:ascii="Times New Roman" w:hAnsi="Times New Roman" w:eastAsia="Times New Roman" w:cs="Times New Roman"/>
                <w:b/>
                <w:bCs/>
                <w:color w:val="000000" w:themeColor="text1"/>
                <w:spacing w:val="6"/>
                <w:sz w:val="21"/>
                <w:szCs w:val="21"/>
                <w14:textFill>
                  <w14:solidFill>
                    <w14:schemeClr w14:val="tx1"/>
                  </w14:solidFill>
                </w14:textFill>
              </w:rPr>
              <w:t>1-</w:t>
            </w:r>
            <w:r>
              <w:rPr>
                <w:rFonts w:hint="eastAsia" w:ascii="Times New Roman" w:hAnsi="Times New Roman" w:eastAsia="宋体" w:cs="Times New Roman"/>
                <w:b/>
                <w:bCs/>
                <w:color w:val="000000" w:themeColor="text1"/>
                <w:spacing w:val="6"/>
                <w:sz w:val="21"/>
                <w:szCs w:val="21"/>
                <w:lang w:val="en-US" w:eastAsia="zh-CN"/>
                <w14:textFill>
                  <w14:solidFill>
                    <w14:schemeClr w14:val="tx1"/>
                  </w14:solidFill>
                </w14:textFill>
              </w:rPr>
              <w:t>4</w:t>
            </w:r>
            <w:r>
              <w:rPr>
                <w:rFonts w:ascii="Times New Roman" w:hAnsi="Times New Roman" w:eastAsia="Times New Roman" w:cs="Times New Roman"/>
                <w:b/>
                <w:bCs/>
                <w:color w:val="000000" w:themeColor="text1"/>
                <w:spacing w:val="6"/>
                <w:sz w:val="21"/>
                <w:szCs w:val="21"/>
                <w14:textFill>
                  <w14:solidFill>
                    <w14:schemeClr w14:val="tx1"/>
                  </w14:solidFill>
                </w14:textFill>
              </w:rPr>
              <w:t xml:space="preserve">  </w:t>
            </w:r>
            <w:r>
              <w:rPr>
                <w:b/>
                <w:bCs/>
                <w:color w:val="000000" w:themeColor="text1"/>
                <w:spacing w:val="6"/>
                <w:sz w:val="21"/>
                <w:szCs w:val="21"/>
                <w14:textFill>
                  <w14:solidFill>
                    <w14:schemeClr w14:val="tx1"/>
                  </w14:solidFill>
                </w14:textFill>
              </w:rPr>
              <w:t>本项目与单元级管控要求符合性分析</w:t>
            </w:r>
          </w:p>
          <w:tbl>
            <w:tblPr>
              <w:tblStyle w:val="43"/>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57"/>
              <w:gridCol w:w="424"/>
              <w:gridCol w:w="4601"/>
              <w:gridCol w:w="1976"/>
              <w:gridCol w:w="590"/>
            </w:tblGrid>
            <w:tr w14:paraId="1652A59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454" w:type="pct"/>
                  <w:tcBorders>
                    <w:top w:val="single" w:color="000000" w:sz="12" w:space="0"/>
                    <w:tl2br w:val="nil"/>
                    <w:tr2bl w:val="nil"/>
                  </w:tcBorders>
                  <w:shd w:val="clear" w:color="auto" w:fill="FFFFFF"/>
                  <w:vAlign w:val="center"/>
                </w:tcPr>
                <w:p w14:paraId="46B7CE50">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hint="default" w:ascii="Times New Roman" w:hAnsi="Times New Roman" w:eastAsia="宋体"/>
                      <w:b w:val="0"/>
                      <w:bCs/>
                      <w:color w:val="000000" w:themeColor="text1"/>
                      <w:sz w:val="21"/>
                      <w:szCs w:val="21"/>
                      <w:lang w:val="en-US" w:eastAsia="zh-CN"/>
                      <w14:textFill>
                        <w14:solidFill>
                          <w14:schemeClr w14:val="tx1"/>
                        </w14:solidFill>
                      </w14:textFill>
                    </w:rPr>
                  </w:pPr>
                  <w:r>
                    <w:rPr>
                      <w:rFonts w:ascii="Times New Roman" w:hAnsi="Times New Roman" w:eastAsia="宋体"/>
                      <w:b w:val="0"/>
                      <w:bCs/>
                      <w:color w:val="000000" w:themeColor="text1"/>
                      <w:sz w:val="21"/>
                      <w:szCs w:val="21"/>
                      <w14:textFill>
                        <w14:solidFill>
                          <w14:schemeClr w14:val="tx1"/>
                        </w14:solidFill>
                      </w14:textFill>
                    </w:rPr>
                    <w:t>环境管控单元名称</w:t>
                  </w:r>
                </w:p>
              </w:tc>
              <w:tc>
                <w:tcPr>
                  <w:tcW w:w="3009" w:type="pct"/>
                  <w:gridSpan w:val="2"/>
                  <w:tcBorders>
                    <w:top w:val="single" w:color="000000" w:sz="12" w:space="0"/>
                    <w:tl2br w:val="nil"/>
                    <w:tr2bl w:val="nil"/>
                  </w:tcBorders>
                  <w:shd w:val="clear" w:color="auto" w:fill="FFFFFF"/>
                  <w:vAlign w:val="center"/>
                </w:tcPr>
                <w:p w14:paraId="1472B3DF">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bCs/>
                      <w:color w:val="000000" w:themeColor="text1"/>
                      <w:sz w:val="21"/>
                      <w:szCs w:val="21"/>
                      <w14:textFill>
                        <w14:solidFill>
                          <w14:schemeClr w14:val="tx1"/>
                        </w14:solidFill>
                      </w14:textFill>
                    </w:rPr>
                  </w:pPr>
                  <w:r>
                    <w:rPr>
                      <w:rFonts w:ascii="Times New Roman" w:hAnsi="Times New Roman" w:eastAsia="宋体"/>
                      <w:b w:val="0"/>
                      <w:bCs/>
                      <w:color w:val="000000" w:themeColor="text1"/>
                      <w:sz w:val="21"/>
                      <w:szCs w:val="21"/>
                      <w14:textFill>
                        <w14:solidFill>
                          <w14:schemeClr w14:val="tx1"/>
                        </w14:solidFill>
                      </w14:textFill>
                    </w:rPr>
                    <w:t>管控要求</w:t>
                  </w:r>
                </w:p>
              </w:tc>
              <w:tc>
                <w:tcPr>
                  <w:tcW w:w="1183" w:type="pct"/>
                  <w:tcBorders>
                    <w:top w:val="single" w:color="000000" w:sz="12" w:space="0"/>
                    <w:tl2br w:val="nil"/>
                    <w:tr2bl w:val="nil"/>
                  </w:tcBorders>
                  <w:shd w:val="clear" w:color="auto" w:fill="FFFFFF"/>
                  <w:vAlign w:val="center"/>
                </w:tcPr>
                <w:p w14:paraId="0F6B3F91">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bCs/>
                      <w:color w:val="000000" w:themeColor="text1"/>
                      <w:sz w:val="21"/>
                      <w:szCs w:val="21"/>
                      <w14:textFill>
                        <w14:solidFill>
                          <w14:schemeClr w14:val="tx1"/>
                        </w14:solidFill>
                      </w14:textFill>
                    </w:rPr>
                  </w:pPr>
                  <w:r>
                    <w:rPr>
                      <w:rFonts w:ascii="Times New Roman" w:hAnsi="Times New Roman" w:eastAsia="宋体"/>
                      <w:b w:val="0"/>
                      <w:bCs/>
                      <w:color w:val="000000" w:themeColor="text1"/>
                      <w:sz w:val="21"/>
                      <w:szCs w:val="21"/>
                      <w14:textFill>
                        <w14:solidFill>
                          <w14:schemeClr w14:val="tx1"/>
                        </w14:solidFill>
                      </w14:textFill>
                    </w:rPr>
                    <w:t>本项目</w:t>
                  </w:r>
                </w:p>
                <w:p w14:paraId="20725114">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bCs/>
                      <w:color w:val="000000" w:themeColor="text1"/>
                      <w:sz w:val="21"/>
                      <w:szCs w:val="21"/>
                      <w14:textFill>
                        <w14:solidFill>
                          <w14:schemeClr w14:val="tx1"/>
                        </w14:solidFill>
                      </w14:textFill>
                    </w:rPr>
                  </w:pPr>
                  <w:r>
                    <w:rPr>
                      <w:rFonts w:ascii="Times New Roman" w:hAnsi="Times New Roman" w:eastAsia="宋体"/>
                      <w:b w:val="0"/>
                      <w:bCs/>
                      <w:color w:val="000000" w:themeColor="text1"/>
                      <w:sz w:val="21"/>
                      <w:szCs w:val="21"/>
                      <w14:textFill>
                        <w14:solidFill>
                          <w14:schemeClr w14:val="tx1"/>
                        </w14:solidFill>
                      </w14:textFill>
                    </w:rPr>
                    <w:t>情况</w:t>
                  </w:r>
                </w:p>
              </w:tc>
              <w:tc>
                <w:tcPr>
                  <w:tcW w:w="353" w:type="pct"/>
                  <w:tcBorders>
                    <w:top w:val="single" w:color="000000" w:sz="12" w:space="0"/>
                    <w:tl2br w:val="nil"/>
                    <w:tr2bl w:val="nil"/>
                  </w:tcBorders>
                  <w:shd w:val="clear" w:color="auto" w:fill="FFFFFF"/>
                  <w:vAlign w:val="center"/>
                </w:tcPr>
                <w:p w14:paraId="5C9D36F8">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bCs/>
                      <w:color w:val="000000" w:themeColor="text1"/>
                      <w:sz w:val="21"/>
                      <w:szCs w:val="21"/>
                      <w14:textFill>
                        <w14:solidFill>
                          <w14:schemeClr w14:val="tx1"/>
                        </w14:solidFill>
                      </w14:textFill>
                    </w:rPr>
                  </w:pPr>
                  <w:r>
                    <w:rPr>
                      <w:rFonts w:ascii="Times New Roman" w:hAnsi="Times New Roman" w:eastAsia="宋体"/>
                      <w:b w:val="0"/>
                      <w:bCs/>
                      <w:color w:val="000000" w:themeColor="text1"/>
                      <w:sz w:val="21"/>
                      <w:szCs w:val="21"/>
                      <w14:textFill>
                        <w14:solidFill>
                          <w14:schemeClr w14:val="tx1"/>
                        </w14:solidFill>
                      </w14:textFill>
                    </w:rPr>
                    <w:t>符合性</w:t>
                  </w:r>
                </w:p>
              </w:tc>
            </w:tr>
            <w:tr w14:paraId="642F24D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4" w:type="pct"/>
                  <w:vMerge w:val="restart"/>
                  <w:tcBorders>
                    <w:tl2br w:val="nil"/>
                    <w:tr2bl w:val="nil"/>
                  </w:tcBorders>
                  <w:shd w:val="clear" w:color="auto" w:fill="FFFFFF"/>
                  <w:vAlign w:val="center"/>
                </w:tcPr>
                <w:p w14:paraId="7BA7F928">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760E692A">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21E5775B">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7B20A4B6">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4BBE3F3D">
                  <w:pPr>
                    <w:pStyle w:val="52"/>
                    <w:rPr>
                      <w:rFonts w:ascii="Times New Roman" w:hAnsi="Times New Roman" w:eastAsia="宋体"/>
                      <w:b w:val="0"/>
                      <w:color w:val="000000" w:themeColor="text1"/>
                      <w:sz w:val="21"/>
                      <w:szCs w:val="21"/>
                      <w14:textFill>
                        <w14:solidFill>
                          <w14:schemeClr w14:val="tx1"/>
                        </w14:solidFill>
                      </w14:textFill>
                    </w:rPr>
                  </w:pPr>
                </w:p>
                <w:p w14:paraId="58195EEA">
                  <w:pPr>
                    <w:pStyle w:val="52"/>
                    <w:rPr>
                      <w:rFonts w:ascii="Times New Roman" w:hAnsi="Times New Roman" w:eastAsia="宋体"/>
                      <w:b w:val="0"/>
                      <w:color w:val="000000" w:themeColor="text1"/>
                      <w:sz w:val="21"/>
                      <w:szCs w:val="21"/>
                      <w14:textFill>
                        <w14:solidFill>
                          <w14:schemeClr w14:val="tx1"/>
                        </w14:solidFill>
                      </w14:textFill>
                    </w:rPr>
                  </w:pPr>
                </w:p>
                <w:p w14:paraId="348D224F">
                  <w:pPr>
                    <w:pStyle w:val="52"/>
                    <w:rPr>
                      <w:rFonts w:ascii="Times New Roman" w:hAnsi="Times New Roman" w:eastAsia="宋体"/>
                      <w:b w:val="0"/>
                      <w:color w:val="000000" w:themeColor="text1"/>
                      <w:sz w:val="21"/>
                      <w:szCs w:val="21"/>
                      <w14:textFill>
                        <w14:solidFill>
                          <w14:schemeClr w14:val="tx1"/>
                        </w14:solidFill>
                      </w14:textFill>
                    </w:rPr>
                  </w:pPr>
                </w:p>
                <w:p w14:paraId="7494BED0">
                  <w:pPr>
                    <w:pStyle w:val="52"/>
                    <w:rPr>
                      <w:rFonts w:ascii="Times New Roman" w:hAnsi="Times New Roman" w:eastAsia="宋体"/>
                      <w:b w:val="0"/>
                      <w:color w:val="000000" w:themeColor="text1"/>
                      <w:sz w:val="21"/>
                      <w:szCs w:val="21"/>
                      <w14:textFill>
                        <w14:solidFill>
                          <w14:schemeClr w14:val="tx1"/>
                        </w14:solidFill>
                      </w14:textFill>
                    </w:rPr>
                  </w:pPr>
                </w:p>
                <w:p w14:paraId="455F6561">
                  <w:pPr>
                    <w:pStyle w:val="52"/>
                    <w:rPr>
                      <w:rFonts w:ascii="Times New Roman" w:hAnsi="Times New Roman" w:eastAsia="宋体"/>
                      <w:b w:val="0"/>
                      <w:color w:val="000000" w:themeColor="text1"/>
                      <w:sz w:val="21"/>
                      <w:szCs w:val="21"/>
                      <w14:textFill>
                        <w14:solidFill>
                          <w14:schemeClr w14:val="tx1"/>
                        </w14:solidFill>
                      </w14:textFill>
                    </w:rPr>
                  </w:pPr>
                </w:p>
                <w:p w14:paraId="319282EC">
                  <w:pPr>
                    <w:pStyle w:val="52"/>
                    <w:rPr>
                      <w:rFonts w:ascii="Times New Roman" w:hAnsi="Times New Roman" w:eastAsia="宋体"/>
                      <w:b w:val="0"/>
                      <w:color w:val="000000" w:themeColor="text1"/>
                      <w:sz w:val="21"/>
                      <w:szCs w:val="21"/>
                      <w14:textFill>
                        <w14:solidFill>
                          <w14:schemeClr w14:val="tx1"/>
                        </w14:solidFill>
                      </w14:textFill>
                    </w:rPr>
                  </w:pPr>
                </w:p>
                <w:p w14:paraId="749714E1">
                  <w:pPr>
                    <w:pStyle w:val="52"/>
                    <w:rPr>
                      <w:rFonts w:ascii="Times New Roman" w:hAnsi="Times New Roman" w:eastAsia="宋体"/>
                      <w:b w:val="0"/>
                      <w:color w:val="000000" w:themeColor="text1"/>
                      <w:sz w:val="21"/>
                      <w:szCs w:val="21"/>
                      <w14:textFill>
                        <w14:solidFill>
                          <w14:schemeClr w14:val="tx1"/>
                        </w14:solidFill>
                      </w14:textFill>
                    </w:rPr>
                  </w:pPr>
                </w:p>
                <w:p w14:paraId="43C64AD6">
                  <w:pPr>
                    <w:pStyle w:val="52"/>
                    <w:rPr>
                      <w:rFonts w:ascii="Times New Roman" w:hAnsi="Times New Roman" w:eastAsia="宋体"/>
                      <w:b w:val="0"/>
                      <w:color w:val="000000" w:themeColor="text1"/>
                      <w:sz w:val="21"/>
                      <w:szCs w:val="21"/>
                      <w14:textFill>
                        <w14:solidFill>
                          <w14:schemeClr w14:val="tx1"/>
                        </w14:solidFill>
                      </w14:textFill>
                    </w:rPr>
                  </w:pPr>
                </w:p>
                <w:p w14:paraId="5AD89D96">
                  <w:pPr>
                    <w:pStyle w:val="52"/>
                    <w:rPr>
                      <w:rFonts w:ascii="Times New Roman" w:hAnsi="Times New Roman" w:eastAsia="宋体"/>
                      <w:b w:val="0"/>
                      <w:color w:val="000000" w:themeColor="text1"/>
                      <w:sz w:val="21"/>
                      <w:szCs w:val="21"/>
                      <w14:textFill>
                        <w14:solidFill>
                          <w14:schemeClr w14:val="tx1"/>
                        </w14:solidFill>
                      </w14:textFill>
                    </w:rPr>
                  </w:pPr>
                </w:p>
                <w:p w14:paraId="7C511BD6">
                  <w:pPr>
                    <w:pStyle w:val="52"/>
                    <w:rPr>
                      <w:rFonts w:ascii="Times New Roman" w:hAnsi="Times New Roman" w:eastAsia="宋体"/>
                      <w:b w:val="0"/>
                      <w:color w:val="000000" w:themeColor="text1"/>
                      <w:sz w:val="21"/>
                      <w:szCs w:val="21"/>
                      <w14:textFill>
                        <w14:solidFill>
                          <w14:schemeClr w14:val="tx1"/>
                        </w14:solidFill>
                      </w14:textFill>
                    </w:rPr>
                  </w:pPr>
                </w:p>
                <w:p w14:paraId="59F0C4F7">
                  <w:pPr>
                    <w:pStyle w:val="52"/>
                    <w:rPr>
                      <w:rFonts w:ascii="Times New Roman" w:hAnsi="Times New Roman" w:eastAsia="宋体"/>
                      <w:b w:val="0"/>
                      <w:color w:val="000000" w:themeColor="text1"/>
                      <w:sz w:val="21"/>
                      <w:szCs w:val="21"/>
                      <w14:textFill>
                        <w14:solidFill>
                          <w14:schemeClr w14:val="tx1"/>
                        </w14:solidFill>
                      </w14:textFill>
                    </w:rPr>
                  </w:pPr>
                </w:p>
                <w:p w14:paraId="44B4613C">
                  <w:pPr>
                    <w:spacing w:line="240"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hint="eastAsia" w:ascii="Times New Roman" w:hAnsi="Times New Roman" w:eastAsia="宋体"/>
                      <w:b w:val="0"/>
                      <w:color w:val="000000" w:themeColor="text1"/>
                      <w:spacing w:val="-3"/>
                      <w:sz w:val="21"/>
                      <w:szCs w:val="21"/>
                      <w:lang w:val="en-US" w:eastAsia="zh-CN"/>
                      <w14:textFill>
                        <w14:solidFill>
                          <w14:schemeClr w14:val="tx1"/>
                        </w14:solidFill>
                      </w14:textFill>
                    </w:rPr>
                    <w:t>昌吉州西部限采区</w:t>
                  </w:r>
                </w:p>
                <w:p w14:paraId="1679DA9A">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BC40EED">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0B7D70CB">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665CD54A">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126F64E8">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67ED6C5">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B023023">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7DFD901E">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038ED433">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196F6167">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60F85AB9">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32BD4ECA">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23845E39">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281F6515">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775AF31">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8CEDF77">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135FAAF4">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82E1A7F">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7BBB5B64">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DAE02B0">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77AA0169">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005136D">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6DC72738">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tc>
              <w:tc>
                <w:tcPr>
                  <w:tcW w:w="254" w:type="pct"/>
                  <w:tcBorders>
                    <w:tl2br w:val="nil"/>
                    <w:tr2bl w:val="nil"/>
                  </w:tcBorders>
                  <w:shd w:val="clear" w:color="auto" w:fill="FFFFFF"/>
                  <w:vAlign w:val="center"/>
                </w:tcPr>
                <w:p w14:paraId="5AC2FE3E">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7080E3C5">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429B10B0">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2C1AE636">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F561FF6">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11C2CA8B">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568D945">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CFE90CB">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F0DA180">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09F1F488">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27BA3D51">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26BF0584">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47C13DAC">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6F0EB52E">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0601D549">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520EDD79">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73DC63E2">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3C5D7880">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6F935707">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p w14:paraId="0C387B65">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b w:val="0"/>
                      <w:color w:val="000000" w:themeColor="text1"/>
                      <w:sz w:val="21"/>
                      <w:szCs w:val="21"/>
                      <w14:textFill>
                        <w14:solidFill>
                          <w14:schemeClr w14:val="tx1"/>
                        </w14:solidFill>
                      </w14:textFill>
                    </w:rPr>
                    <w:t>空间布局约束</w:t>
                  </w:r>
                </w:p>
              </w:tc>
              <w:tc>
                <w:tcPr>
                  <w:tcW w:w="2755" w:type="pct"/>
                  <w:tcBorders>
                    <w:tl2br w:val="nil"/>
                    <w:tr2bl w:val="nil"/>
                  </w:tcBorders>
                  <w:shd w:val="clear" w:color="auto" w:fill="FFFFFF"/>
                  <w:vAlign w:val="center"/>
                </w:tcPr>
                <w:p w14:paraId="00A577B3">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〔A1.1-1〕禁止新建、扩建《产业结构调整指导目录（2024年本）》中淘汰类项目。禁止引入《市场准入负面清单（2022年版）》禁止准入类事项。</w:t>
                  </w:r>
                </w:p>
                <w:p w14:paraId="393105B0">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〔A1.1-2〕禁止建设不符合国家和自治区环境保护标准的项目。</w:t>
                  </w:r>
                </w:p>
                <w:p w14:paraId="78BA90AC">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〔A1.1-3〕禁止在饮用水水源保护区、风景名胜区、自然保护区的核心区和缓冲区、城镇居民区、文化教育科学研究区等人口集中区域以及法律、法规规定的其他禁止养殖区域建设畜禽养殖场、养殖小区。</w:t>
                  </w:r>
                </w:p>
                <w:p w14:paraId="76F87271">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〔A1.1-4〕禁止在水源涵养区、地下水源、饮用水源、自然保护区、风景名胜区、森林公园、重要湿地及人群密集区等生态敏感区域内进行煤炭、石油、天然气开发。</w:t>
                  </w:r>
                </w:p>
                <w:p w14:paraId="1AC27A96">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〔A1.1-5〕禁止下列破坏湿地及其生态功能的行为：</w:t>
                  </w:r>
                </w:p>
                <w:p w14:paraId="225456FE">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（一）开（围）垦、排干自然湿地，永久性截断自然湿地水源；</w:t>
                  </w:r>
                </w:p>
                <w:p w14:paraId="732C6984">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（二）擅自填埋自然湿地，擅自采砂、采矿、取土；</w:t>
                  </w:r>
                </w:p>
                <w:p w14:paraId="0D10A072">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（三）排放不符合水污染物排放标准的工业废水、生活污水及其他污染湿地的废水、污水，倾倒、堆放、丢弃、遗撒固体废物；</w:t>
                  </w:r>
                </w:p>
                <w:p w14:paraId="7E12719E">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（四）过度放牧或者滥采野生植物，过度捕捞或者灭绝式捕捞，过度施肥、投药、投放饵料等污染湿地的种植养殖行为；</w:t>
                  </w:r>
                </w:p>
                <w:p w14:paraId="4FA8338B">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（五）其他破坏湿地及其生态功能的行为。</w:t>
                  </w:r>
                </w:p>
                <w:p w14:paraId="62C5F0C3">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-6〕禁止在自治区行政区域内引进能（水）耗不符合相关国家标准中准入值要求且污染物排放和环境风险防控不符合国家（地方）标准及有关产业准入条件的高污染（排放）、高能（水）耗、高环境风险的工业项目。</w:t>
                  </w:r>
                </w:p>
                <w:p w14:paraId="771502C7">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-7〕①坚决遏制高耗能高排放低水平项目盲目发展。严把高耗能高排放低水平项目准入关口，严格落实污染物排放区域削减要求，对不符合规定的项目坚决停批停建。依法依规淘汰落后产能和化解过剩产能。②重点行业企业纳入重污染天气绩效分级，制定“一厂一策”应急减排清单，实现应纳尽纳；引导重点企业在秋冬季安排停产检修计划，减少冬季和采暖期排放。推进重点行业深度治理，实施全工况脱硫脱硝提标改造，加大无组织排放治理力度，深度开展工业炉窑综合整治，全面提升电解铝、活性炭、硅冶炼、纯碱、电石、聚氯乙烯、石化等行业污染治理水平。</w:t>
                  </w:r>
                </w:p>
                <w:p w14:paraId="76CA6A1E">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〔A1.1-8〕严格执行危险化学品“禁限控”目录，新建危险化学品生产项目必须进入一般或较低安全风险的化工园区（与其他行业生产装置配套建设的项目除外），引导其他石化化工项目在化工园区发展。</w:t>
                  </w:r>
                </w:p>
                <w:p w14:paraId="7E53785C">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〔A1.1-9〕严禁新建自治区《禁止、控制和限制危险化学品目录》中淘汰类、禁止类危险化学品化工项目。严格执行生态保护红线、永久基本农田管控要求，禁止新 （改、扩） 建化工项目违规占用生态保护红线和永久基本农田。在塔里木河、伊犁河、额尔齐斯河干流及主要支流岸线 1公里范围内，除提升安全、环保、节能、智能化、产品质量水平的技术改造项目外，严格禁止新建、扩建化工项目，不得布局新的化工园区（含化工集中区）。</w:t>
                  </w:r>
                </w:p>
                <w:p w14:paraId="3739E8E8">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-10〕推动涉重金属产业集中优化发展，禁止新建用汞的电石法（聚）氯乙烯生产工艺，新建、扩建的重有色金属冶炼、电镀、制革企业优先选择布设在依法合规设立并依法开展规划环境影响评价的产业园区。</w:t>
                  </w:r>
                </w:p>
                <w:p w14:paraId="67E7A5E0">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1.1-11〕国务院有关部门和青藏高原县级以上地方人民政府应当建立健全青藏高原雪山冰川冻土保护制度，加强对雪山冰川冻土的监测预警和系统保护。青藏高原省级人民政府应当将大型冰帽冰川、小规模冰川群等划入生态保护红线，对重要雪山冰川实施封禁保护，采取有效措施，严格控制人为扰动。青藏高原省级人民政府应当划定冻土区保护范围，加强对多年冻土区和中深季节冻土区的保护，严格控制多年冻土区资源开发，严格审批多年冻土区城镇规划和交通、管线、输变电等重大工程项目。青藏高原省级人民政府应当开展雪山冰川冻土与周边生态系统的协同保护，维持有利于雪山冰川冻土保护的自然生态环境。</w:t>
                  </w:r>
                </w:p>
                <w:p w14:paraId="585390D7">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〔A1.2-1〕严格控制缺水地区、水污染严重区域和敏感区域高耗水、高污染行业发展。</w:t>
                  </w:r>
                </w:p>
                <w:p w14:paraId="49239A4B">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p w14:paraId="6EEC8A58">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〔A1.2-3〕以用途变更为住宅、公共管理与公共服务用地的地块为重点，严格建设用地准入管理和风险管控，未依法完成土壤污染状况调查或风险评估的地块，不得开工建设与风险管控和修复无关的项目。</w:t>
                  </w:r>
                </w:p>
                <w:p w14:paraId="134C6407">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〔A1.2-4〕严格控制建设项目占用湿地。因国家和自治区重点建设工程、基础设施建设，以及重点公益性项目建设，确需占用湿地的，应当按照有关法律、法规规定的权限和程序办理批准手续。</w:t>
                  </w:r>
                </w:p>
                <w:p w14:paraId="15C206EA">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〔A1.2-5〕严格管控自然保护地范围内非生态活动，稳妥推进核心区内居民、耕地有序退出，矿权依法依规退出。</w:t>
                  </w:r>
                </w:p>
                <w:p w14:paraId="76736549">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〔A1.3-1〕任何单位和个人不得在水源涵养区、饮用水水源保护区内和河流、湖泊、水库周围建设重化工、涉重金属等工业污染项目；对已建成的工业污染项目，当地人民政府应当组织限期搬迁。</w:t>
                  </w:r>
                </w:p>
                <w:p w14:paraId="477C2E9B">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〔A1.3-2〕对不符合国家产业政策、严重污染水环境的生产项目全部予以取缔。</w:t>
                  </w:r>
                </w:p>
                <w:p w14:paraId="49F3CF6F">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1.3-3〕根据《产业结构调整指导目录》《限期淘汰产生严重污染环境的工业固体废物的落后生产工艺设备名录》等要求，配合有关部门依法淘汰烧结-鼓风炉5炼铅工艺炼铅等涉重金属落后产能和化解过剩产能。严格执行生态环境保护等相关法规标准，推动经整改仍达不到要求的产能依法依规关闭退出。</w:t>
                  </w:r>
                </w:p>
                <w:p w14:paraId="10B026A1">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〔A1.3-4〕城市建成区、重点流域内已建成投产化工企业和危险化学品生产企业应加快退城入园，搬入化工园区前企业不应实施改扩建工程扩大生产规模。</w:t>
                  </w:r>
                </w:p>
                <w:p w14:paraId="0081016E">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p w14:paraId="7AA4868F">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〔A1.4-2〕新建、扩建石化、化工、焦化、有色金属冶炼、平板玻璃项目应布设在依法合规设立并经规划环评的产业园区。</w:t>
                  </w:r>
                </w:p>
                <w:p w14:paraId="1CA6103F">
                  <w:pPr>
                    <w:pStyle w:val="227"/>
                    <w:spacing w:line="240" w:lineRule="auto"/>
                    <w:ind w:left="0" w:leftChars="0" w:right="141" w:rightChars="0" w:firstLine="0" w:firstLineChars="0"/>
                    <w:jc w:val="both"/>
                    <w:rPr>
                      <w:rFonts w:hint="eastAsia" w:ascii="Times New Roman" w:hAnsi="Times New Roman" w:eastAsia="宋体"/>
                      <w:b w:val="0"/>
                      <w:color w:val="000000" w:themeColor="text1"/>
                      <w:sz w:val="21"/>
                      <w:szCs w:val="21"/>
                      <w:lang w:eastAsia="zh-CN"/>
                      <w14:textFill>
                        <w14:solidFill>
                          <w14:schemeClr w14:val="tx1"/>
                        </w14:solidFill>
                      </w14:textFill>
                    </w:rPr>
                  </w:pPr>
                  <w:r>
                    <w:rPr>
                      <w:rFonts w:hint="eastAsia" w:ascii="Times New Roman" w:hAnsi="Times New Roman" w:eastAsia="宋体"/>
                      <w:b w:val="0"/>
                      <w:color w:val="000000" w:themeColor="text1"/>
                      <w:spacing w:val="6"/>
                      <w:sz w:val="21"/>
                      <w:szCs w:val="21"/>
                      <w14:textFill>
                        <w14:solidFill>
                          <w14:schemeClr w14:val="tx1"/>
                        </w14:solidFill>
                      </w14:textFill>
                    </w:rPr>
                    <w:t>〔A1.4-3〕危险化学品生产企业搬迁改造及新建化工项目必须进入国家及自治区各级人民政府正式批准设立，规划环评通过审查，规划通过审批且环保基础设施完善的工业园区，并符合国土空间规划、产业发展规划和</w:t>
                  </w:r>
                  <w:r>
                    <w:rPr>
                      <w:rFonts w:hint="eastAsia" w:ascii="Times New Roman" w:hAnsi="Times New Roman" w:eastAsia="宋体"/>
                      <w:b w:val="0"/>
                      <w:color w:val="000000" w:themeColor="text1"/>
                      <w:spacing w:val="6"/>
                      <w:sz w:val="21"/>
                      <w:szCs w:val="21"/>
                      <w:lang w:eastAsia="zh-CN"/>
                      <w14:textFill>
                        <w14:solidFill>
                          <w14:schemeClr w14:val="tx1"/>
                        </w14:solidFill>
                      </w14:textFill>
                    </w:rPr>
                    <w:t>生态保护红线</w:t>
                  </w:r>
                  <w:r>
                    <w:rPr>
                      <w:rFonts w:hint="eastAsia" w:ascii="Times New Roman" w:hAnsi="Times New Roman" w:eastAsia="宋体"/>
                      <w:b w:val="0"/>
                      <w:color w:val="000000" w:themeColor="text1"/>
                      <w:spacing w:val="6"/>
                      <w:sz w:val="21"/>
                      <w:szCs w:val="21"/>
                      <w14:textFill>
                        <w14:solidFill>
                          <w14:schemeClr w14:val="tx1"/>
                        </w14:solidFill>
                      </w14:textFill>
                    </w:rPr>
                    <w:t>管控要求</w:t>
                  </w:r>
                  <w:r>
                    <w:rPr>
                      <w:rFonts w:hint="eastAsia" w:ascii="Times New Roman" w:hAnsi="Times New Roman" w:eastAsia="宋体"/>
                      <w:b w:val="0"/>
                      <w:color w:val="000000" w:themeColor="text1"/>
                      <w:spacing w:val="6"/>
                      <w:sz w:val="21"/>
                      <w:szCs w:val="21"/>
                      <w:lang w:eastAsia="zh-CN"/>
                      <w14:textFill>
                        <w14:solidFill>
                          <w14:schemeClr w14:val="tx1"/>
                        </w14:solidFill>
                      </w14:textFill>
                    </w:rPr>
                    <w:t>。</w:t>
                  </w:r>
                </w:p>
              </w:tc>
              <w:tc>
                <w:tcPr>
                  <w:tcW w:w="1183" w:type="pct"/>
                  <w:tcBorders>
                    <w:tl2br w:val="nil"/>
                    <w:tr2bl w:val="nil"/>
                  </w:tcBorders>
                  <w:shd w:val="clear" w:color="auto" w:fill="FFFFFF"/>
                  <w:vAlign w:val="center"/>
                </w:tcPr>
                <w:p w14:paraId="038CDA5A">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p>
                <w:p w14:paraId="7D271E65">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p>
                <w:p w14:paraId="6663C9B5">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p>
                <w:p w14:paraId="359D8D55">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p>
                <w:p w14:paraId="511CD5BF">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p>
                <w:p w14:paraId="522B1EFA">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p>
                <w:p w14:paraId="095198A0">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1.</w:t>
                  </w:r>
                  <w:r>
                    <w:rPr>
                      <w:rFonts w:hint="eastAsia" w:ascii="Times New Roman" w:hAnsi="Times New Roman" w:eastAsia="宋体"/>
                      <w:b w:val="0"/>
                      <w:color w:val="000000" w:themeColor="text1"/>
                      <w:spacing w:val="6"/>
                      <w:sz w:val="21"/>
                      <w:szCs w:val="21"/>
                      <w14:textFill>
                        <w14:solidFill>
                          <w14:schemeClr w14:val="tx1"/>
                        </w14:solidFill>
                      </w14:textFill>
                    </w:rPr>
                    <w:t>符合〔A1.1-1〕：项目属固废资源化利用鼓励类，无淘汰类工艺，不在市场准入负面清单禁止类范畴。</w:t>
                  </w:r>
                </w:p>
                <w:p w14:paraId="7A712C63">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2.</w:t>
                  </w:r>
                  <w:r>
                    <w:rPr>
                      <w:rFonts w:hint="eastAsia" w:ascii="Times New Roman" w:hAnsi="Times New Roman" w:eastAsia="宋体"/>
                      <w:b w:val="0"/>
                      <w:color w:val="000000" w:themeColor="text1"/>
                      <w:spacing w:val="6"/>
                      <w:sz w:val="21"/>
                      <w:szCs w:val="21"/>
                      <w14:textFill>
                        <w14:solidFill>
                          <w14:schemeClr w14:val="tx1"/>
                        </w14:solidFill>
                      </w14:textFill>
                    </w:rPr>
                    <w:t>符合〔A1.1-2〕：项目配套水洗、压滤、抑尘环保设施，废水循环回用不外排，污染物排放满足国家及新疆地方环保标准。</w:t>
                  </w:r>
                </w:p>
                <w:p w14:paraId="6EC98C60">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3.</w:t>
                  </w:r>
                  <w:r>
                    <w:rPr>
                      <w:rFonts w:hint="eastAsia" w:ascii="Times New Roman" w:hAnsi="Times New Roman" w:eastAsia="宋体"/>
                      <w:b w:val="0"/>
                      <w:color w:val="000000" w:themeColor="text1"/>
                      <w:spacing w:val="6"/>
                      <w:sz w:val="21"/>
                      <w:szCs w:val="21"/>
                      <w14:textFill>
                        <w14:solidFill>
                          <w14:schemeClr w14:val="tx1"/>
                        </w14:solidFill>
                      </w14:textFill>
                    </w:rPr>
                    <w:t>不涉及〔A1.1-3、A1.1-4、A1.1-5、A1.1-8、A1.1-9、A1.1-10、A1.1-11〕管控情形：不属于畜禽养殖、油气煤炭开发、湿地破坏、危化化工、涉重金属冶炼、青藏高原冻土冰川开发类项目。</w:t>
                  </w:r>
                </w:p>
                <w:p w14:paraId="0BA59DD4">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4.</w:t>
                  </w:r>
                  <w:r>
                    <w:rPr>
                      <w:rFonts w:hint="eastAsia" w:ascii="Times New Roman" w:hAnsi="Times New Roman" w:eastAsia="宋体"/>
                      <w:b w:val="0"/>
                      <w:color w:val="000000" w:themeColor="text1"/>
                      <w:spacing w:val="6"/>
                      <w:sz w:val="21"/>
                      <w:szCs w:val="21"/>
                      <w14:textFill>
                        <w14:solidFill>
                          <w14:schemeClr w14:val="tx1"/>
                        </w14:solidFill>
                      </w14:textFill>
                    </w:rPr>
                    <w:t>符合〔A1.1-6、A1.1-7〕：项目依托</w:t>
                  </w: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砂厂</w:t>
                  </w:r>
                  <w:r>
                    <w:rPr>
                      <w:rFonts w:hint="eastAsia" w:ascii="Times New Roman" w:hAnsi="Times New Roman" w:eastAsia="宋体"/>
                      <w:b w:val="0"/>
                      <w:color w:val="000000" w:themeColor="text1"/>
                      <w:spacing w:val="6"/>
                      <w:sz w:val="21"/>
                      <w:szCs w:val="21"/>
                      <w14:textFill>
                        <w14:solidFill>
                          <w14:schemeClr w14:val="tx1"/>
                        </w14:solidFill>
                      </w14:textFill>
                    </w:rPr>
                    <w:t>固废再生利用，能耗、水耗指标达标，不属于高耗能高排放低水平项目，配套完善无组织扬尘、废水治理设施，不新增区域污染物总量。</w:t>
                  </w:r>
                </w:p>
                <w:p w14:paraId="6EFDE9E7">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5.</w:t>
                  </w:r>
                  <w:r>
                    <w:rPr>
                      <w:rFonts w:hint="eastAsia" w:ascii="Times New Roman" w:hAnsi="Times New Roman" w:eastAsia="宋体"/>
                      <w:b w:val="0"/>
                      <w:color w:val="000000" w:themeColor="text1"/>
                      <w:spacing w:val="6"/>
                      <w:sz w:val="21"/>
                      <w:szCs w:val="21"/>
                      <w14:textFill>
                        <w14:solidFill>
                          <w14:schemeClr w14:val="tx1"/>
                        </w14:solidFill>
                      </w14:textFill>
                    </w:rPr>
                    <w:t>符合〔A1.2-1〕：项目生产废水全回用，不外排，不属于高耗水、高污染行业。</w:t>
                  </w:r>
                </w:p>
                <w:p w14:paraId="1BA2FD05">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6.</w:t>
                  </w:r>
                  <w:r>
                    <w:rPr>
                      <w:rFonts w:hint="eastAsia" w:ascii="Times New Roman" w:hAnsi="Times New Roman" w:eastAsia="宋体"/>
                      <w:b w:val="0"/>
                      <w:color w:val="000000" w:themeColor="text1"/>
                      <w:spacing w:val="6"/>
                      <w:sz w:val="21"/>
                      <w:szCs w:val="21"/>
                      <w14:textFill>
                        <w14:solidFill>
                          <w14:schemeClr w14:val="tx1"/>
                        </w14:solidFill>
                      </w14:textFill>
                    </w:rPr>
                    <w:t>符合〔A1.2-2、A1.2-4〕：用地不占用永久基本农田、湿地，按国土空间规划选址。</w:t>
                  </w:r>
                </w:p>
                <w:p w14:paraId="64B73B23">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7.</w:t>
                  </w:r>
                  <w:r>
                    <w:rPr>
                      <w:rFonts w:hint="eastAsia" w:ascii="Times New Roman" w:hAnsi="Times New Roman" w:eastAsia="宋体"/>
                      <w:b w:val="0"/>
                      <w:color w:val="000000" w:themeColor="text1"/>
                      <w:spacing w:val="6"/>
                      <w:sz w:val="21"/>
                      <w:szCs w:val="21"/>
                      <w14:textFill>
                        <w14:solidFill>
                          <w14:schemeClr w14:val="tx1"/>
                        </w14:solidFill>
                      </w14:textFill>
                    </w:rPr>
                    <w:t>不涉及〔A1.2-3、A1.2-5〕：地块无土壤污染遗留问题，不在自然保护地范围内。</w:t>
                  </w:r>
                </w:p>
                <w:p w14:paraId="3962A919">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8.</w:t>
                  </w:r>
                  <w:r>
                    <w:rPr>
                      <w:rFonts w:hint="eastAsia" w:ascii="Times New Roman" w:hAnsi="Times New Roman" w:eastAsia="宋体"/>
                      <w:b w:val="0"/>
                      <w:color w:val="000000" w:themeColor="text1"/>
                      <w:spacing w:val="6"/>
                      <w:sz w:val="21"/>
                      <w:szCs w:val="21"/>
                      <w14:textFill>
                        <w14:solidFill>
                          <w14:schemeClr w14:val="tx1"/>
                        </w14:solidFill>
                      </w14:textFill>
                    </w:rPr>
                    <w:t>符合〔A1.3-1、A1.3-2、A1.3-3、A1.3-4〕：不属于重化工、涉重金属污染项目，无落后淘汰工艺，不在城市建成区化工企业范畴。</w:t>
                  </w:r>
                </w:p>
                <w:p w14:paraId="1BB45833">
                  <w:pPr>
                    <w:pStyle w:val="227"/>
                    <w:spacing w:line="240" w:lineRule="auto"/>
                    <w:ind w:left="0" w:leftChars="0" w:right="141" w:rightChars="0" w:firstLine="0" w:firstLineChars="0"/>
                    <w:jc w:val="both"/>
                    <w:rPr>
                      <w:rFonts w:hint="eastAsia" w:ascii="Times New Roman" w:hAnsi="Times New Roman" w:eastAsia="宋体"/>
                      <w:b w:val="0"/>
                      <w:color w:val="000000" w:themeColor="text1"/>
                      <w:spacing w:val="6"/>
                      <w:sz w:val="21"/>
                      <w:szCs w:val="21"/>
                      <w14:textFill>
                        <w14:solidFill>
                          <w14:schemeClr w14:val="tx1"/>
                        </w14:solidFill>
                      </w14:textFill>
                    </w:rPr>
                  </w:pP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9.</w:t>
                  </w:r>
                  <w:r>
                    <w:rPr>
                      <w:rFonts w:hint="eastAsia" w:ascii="Times New Roman" w:hAnsi="Times New Roman" w:eastAsia="宋体"/>
                      <w:b w:val="0"/>
                      <w:color w:val="000000" w:themeColor="text1"/>
                      <w:spacing w:val="6"/>
                      <w:sz w:val="21"/>
                      <w:szCs w:val="21"/>
                      <w14:textFill>
                        <w14:solidFill>
                          <w14:schemeClr w14:val="tx1"/>
                        </w14:solidFill>
                      </w14:textFill>
                    </w:rPr>
                    <w:t>符合〔A1.4-1〕：选址无生态保护红线占用，满足区域管控要求；不涉及〔A1.4-2、A1.4-3〕石化、化工类入园强制要求。</w:t>
                  </w:r>
                </w:p>
                <w:p w14:paraId="314D4FD4">
                  <w:pPr>
                    <w:pStyle w:val="227"/>
                    <w:spacing w:before="112" w:line="240" w:lineRule="auto"/>
                    <w:ind w:left="0" w:leftChars="0" w:right="146" w:firstLine="0" w:firstLineChars="0"/>
                    <w:rPr>
                      <w:rFonts w:ascii="Times New Roman" w:hAnsi="Times New Roman" w:eastAsia="宋体"/>
                      <w:b w:val="0"/>
                      <w:color w:val="000000" w:themeColor="text1"/>
                      <w:sz w:val="21"/>
                      <w:szCs w:val="21"/>
                      <w14:textFill>
                        <w14:solidFill>
                          <w14:schemeClr w14:val="tx1"/>
                        </w14:solidFill>
                      </w14:textFill>
                    </w:rPr>
                  </w:pPr>
                </w:p>
              </w:tc>
              <w:tc>
                <w:tcPr>
                  <w:tcW w:w="353" w:type="pct"/>
                  <w:tcBorders>
                    <w:tl2br w:val="nil"/>
                    <w:tr2bl w:val="nil"/>
                  </w:tcBorders>
                  <w:shd w:val="clear" w:color="auto" w:fill="FFFFFF"/>
                  <w:vAlign w:val="center"/>
                </w:tcPr>
                <w:p w14:paraId="7B3CBD17">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b w:val="0"/>
                      <w:color w:val="000000" w:themeColor="text1"/>
                      <w:sz w:val="21"/>
                      <w:szCs w:val="21"/>
                      <w14:textFill>
                        <w14:solidFill>
                          <w14:schemeClr w14:val="tx1"/>
                        </w14:solidFill>
                      </w14:textFill>
                    </w:rPr>
                    <w:t>符合</w:t>
                  </w:r>
                </w:p>
              </w:tc>
            </w:tr>
            <w:tr w14:paraId="302FEE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4" w:type="pct"/>
                  <w:vMerge w:val="continue"/>
                  <w:tcBorders>
                    <w:tl2br w:val="nil"/>
                    <w:tr2bl w:val="nil"/>
                  </w:tcBorders>
                  <w:shd w:val="clear" w:color="auto" w:fill="FFFFFF"/>
                  <w:vAlign w:val="center"/>
                </w:tcPr>
                <w:p w14:paraId="7FA57EA8">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tc>
              <w:tc>
                <w:tcPr>
                  <w:tcW w:w="254" w:type="pct"/>
                  <w:tcBorders>
                    <w:tl2br w:val="nil"/>
                    <w:tr2bl w:val="nil"/>
                  </w:tcBorders>
                  <w:shd w:val="clear" w:color="auto" w:fill="FFFFFF"/>
                  <w:vAlign w:val="center"/>
                </w:tcPr>
                <w:p w14:paraId="0AF8ED78">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r>
                    <w:rPr>
                      <w:rFonts w:hint="eastAsia" w:ascii="Times New Roman" w:hAnsi="Times New Roman" w:eastAsia="宋体"/>
                      <w:b w:val="0"/>
                      <w:color w:val="000000" w:themeColor="text1"/>
                      <w:sz w:val="21"/>
                      <w:szCs w:val="21"/>
                      <w:lang w:eastAsia="zh-CN"/>
                      <w14:textFill>
                        <w14:solidFill>
                          <w14:schemeClr w14:val="tx1"/>
                        </w14:solidFill>
                      </w14:textFill>
                    </w:rPr>
                    <w:t>污</w:t>
                  </w:r>
                  <w:r>
                    <w:rPr>
                      <w:rFonts w:ascii="Times New Roman" w:hAnsi="Times New Roman" w:eastAsia="宋体"/>
                      <w:b w:val="0"/>
                      <w:color w:val="000000" w:themeColor="text1"/>
                      <w:sz w:val="21"/>
                      <w:szCs w:val="21"/>
                      <w14:textFill>
                        <w14:solidFill>
                          <w14:schemeClr w14:val="tx1"/>
                        </w14:solidFill>
                      </w14:textFill>
                    </w:rPr>
                    <w:t>染物</w:t>
                  </w:r>
                </w:p>
                <w:p w14:paraId="0ABAC095">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b w:val="0"/>
                      <w:color w:val="000000" w:themeColor="text1"/>
                      <w:sz w:val="21"/>
                      <w:szCs w:val="21"/>
                      <w14:textFill>
                        <w14:solidFill>
                          <w14:schemeClr w14:val="tx1"/>
                        </w14:solidFill>
                      </w14:textFill>
                    </w:rPr>
                    <w:t>排放管控</w:t>
                  </w:r>
                </w:p>
              </w:tc>
              <w:tc>
                <w:tcPr>
                  <w:tcW w:w="2755" w:type="pct"/>
                  <w:tcBorders>
                    <w:tl2br w:val="nil"/>
                    <w:tr2bl w:val="nil"/>
                  </w:tcBorders>
                  <w:shd w:val="clear" w:color="auto" w:fill="FFFFFF"/>
                  <w:vAlign w:val="center"/>
                </w:tcPr>
                <w:p w14:paraId="5E5FAD9B">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2.1-1〕新、改、扩建重点行业建设项目应符合“三线一单”、产业政策、区域环评、规划环评和行业环境准入管控要求。重点区域的新、改、扩建重点行业建设项目应遵循重点重金属污染物排放“减量替代”原则。</w:t>
                  </w:r>
                </w:p>
                <w:p w14:paraId="27E21F30">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〔A2.1-2〕以石化、化工、涂装、医药、包装印刷、油品储运销等行业领域为重点，安全高效推进挥发性有机物综合治理，实施原辅材料和产品源头替代工程。</w:t>
                  </w:r>
                </w:p>
                <w:p w14:paraId="3ABAD553">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2.1-3〕促进大气污染物与温室气体协同控制。实施污染物和温室气体协同控制，实现减污降碳协同效应。开展工业、农业温室气体和污染减排协同控制研究，减少温室气体和污染物排放。强化污水、垃圾等集中处置设施环境管理，协同控制氢氟碳化物、甲烷、氧化亚氮等温室气体。加强节约能源与大气污染防治协同有效衔接，促进大气污染防治协同增效。</w:t>
                  </w:r>
                </w:p>
                <w:p w14:paraId="1F76A69E">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2.1-4〕严控建材、铸造、冶炼等行业无组织排放，推进石化、化工、涂装、医药、包装印刷、油品储运销等行业项目挥发性有机物（VOCs）防治。严格有色金属冶炼、石油加工、化工、焦化等行业项目的土壤、地下水污染防治措施要求。推进工业园区和企业集群建设涉VOCs“绿岛”项目，统筹规划建设一批集中涂装中心、活性炭集中处理中心、溶剂回收中心等，实现VOCs集中高效处理。</w:t>
                  </w:r>
                </w:p>
                <w:p w14:paraId="033860A3">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2.2-1〕推动能源、钢铁、建材、有色、电力、化工等重点领域技术升级，控制工业过程温室气体排放，推动工业领域绿色低碳发展。积极鼓励发展二氧化碳捕集利用与封存等低碳技术。促进大气污染物与温室气体协同控制。实施污染物和温室气体协同控制，实现减污降碳协同效应。强化污水、垃圾等集中处置设施环境管理，协同控制氢氟碳化物、甲烷、氧化亚氮等温室气体。加强节约能源与大气污染防治协同有效衔接，促进大气污染防治协同增效。</w:t>
                  </w:r>
                </w:p>
                <w:p w14:paraId="63E67652">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2.2-2〕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p w14:paraId="16FB9444">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大宗货物“公转铁”）、柴油货车治理、锅炉炉窑综合治理等工程项目。全面推行绿色施工，持续推动城市建成区重污染企业搬迁或关闭退出。</w:t>
                  </w:r>
                </w:p>
                <w:p w14:paraId="7A1CD630">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〔A2.2-4〕强化用水定额管理。推进地下水超采综合治理。开展河湖生态流量（水量）确定工作，强化生态用水保障。</w:t>
                  </w:r>
                </w:p>
                <w:p w14:paraId="4AAE120B">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2.2-5〕持续推进伊犁河、额尔齐斯河、额敏河、玛纳斯河、乌伦古湖、博斯腾湖等流域生态治理，加强生态修复。推动重点行业、重点企业绿色发展，严格落实水污染物排放标准。加强农副食品加工、化工、印染、棉浆粕、粘胶纤维等企业综合治理和清洁化改造。</w:t>
                  </w:r>
                </w:p>
                <w:p w14:paraId="0979B344">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2.2-6〕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p w14:paraId="2432A16B">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2.2-7〕强化重点区域地下水环境风险管控，对化学品生产企业、工业集聚区、尾矿库、矿山开采区、危险废物处置场、垃圾填埋场等地下水污染源及周边区域，逐步开展地下水环境状况调查评估，加强风险管控。</w:t>
                  </w:r>
                </w:p>
                <w:p w14:paraId="50CA4DD3">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〔A2.2-8〕严控土壤重金属污染，加强油（气）田开发土壤污染防治，以历史遗留工业企业污染场地为重点，开展土壤污染风险管控与修复工程。</w:t>
                  </w:r>
                </w:p>
                <w:p w14:paraId="2F663737">
                  <w:pPr>
                    <w:pStyle w:val="227"/>
                    <w:spacing w:before="114" w:line="240" w:lineRule="auto"/>
                    <w:ind w:left="0" w:leftChars="0" w:right="12" w:rightChars="0" w:firstLine="0" w:firstLineChars="0"/>
                    <w:jc w:val="both"/>
                    <w:rPr>
                      <w:rFonts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hint="eastAsia" w:ascii="Times New Roman" w:hAnsi="Times New Roman" w:eastAsia="宋体"/>
                      <w:b w:val="0"/>
                      <w:color w:val="000000" w:themeColor="text1"/>
                      <w:spacing w:val="4"/>
                      <w:sz w:val="21"/>
                      <w:szCs w:val="21"/>
                      <w14:textFill>
                        <w14:solidFill>
                          <w14:schemeClr w14:val="tx1"/>
                        </w14:solidFill>
                      </w14:textFill>
                    </w:rPr>
                    <w:t>〔A2.2-9〕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tc>
              <w:tc>
                <w:tcPr>
                  <w:tcW w:w="1183" w:type="pct"/>
                  <w:tcBorders>
                    <w:tl2br w:val="nil"/>
                    <w:tr2bl w:val="nil"/>
                  </w:tcBorders>
                  <w:shd w:val="clear" w:color="auto" w:fill="FFFFFF"/>
                  <w:vAlign w:val="center"/>
                </w:tcPr>
                <w:p w14:paraId="0BDF349E">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lang w:eastAsia="zh-CN"/>
                      <w14:textFill>
                        <w14:solidFill>
                          <w14:schemeClr w14:val="tx1"/>
                        </w14:solidFill>
                      </w14:textFill>
                    </w:rPr>
                  </w:pPr>
                  <w:r>
                    <w:rPr>
                      <w:rFonts w:hint="eastAsia" w:ascii="Times New Roman" w:hAnsi="Times New Roman" w:eastAsia="宋体" w:cs="宋体"/>
                      <w:b w:val="0"/>
                      <w:color w:val="000000" w:themeColor="text1"/>
                      <w:sz w:val="24"/>
                      <w:szCs w:val="24"/>
                      <w:lang w:val="en-US" w:eastAsia="zh-CN"/>
                      <w14:textFill>
                        <w14:solidFill>
                          <w14:schemeClr w14:val="tx1"/>
                        </w14:solidFill>
                      </w14:textFill>
                    </w:rPr>
                    <w:t>1</w:t>
                  </w: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w:t>
                  </w:r>
                  <w:r>
                    <w:rPr>
                      <w:rFonts w:hint="eastAsia" w:ascii="Times New Roman" w:hAnsi="Times New Roman" w:eastAsia="宋体"/>
                      <w:b w:val="0"/>
                      <w:color w:val="000000" w:themeColor="text1"/>
                      <w:spacing w:val="4"/>
                      <w:sz w:val="21"/>
                      <w:szCs w:val="21"/>
                      <w14:textFill>
                        <w14:solidFill>
                          <w14:schemeClr w14:val="tx1"/>
                        </w14:solidFill>
                      </w14:textFill>
                    </w:rPr>
                    <w:t>本项目为</w:t>
                  </w: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砂厂</w:t>
                  </w:r>
                  <w:r>
                    <w:rPr>
                      <w:rFonts w:hint="eastAsia" w:ascii="Times New Roman" w:hAnsi="Times New Roman" w:eastAsia="宋体"/>
                      <w:b w:val="0"/>
                      <w:color w:val="000000" w:themeColor="text1"/>
                      <w:spacing w:val="4"/>
                      <w:sz w:val="21"/>
                      <w:szCs w:val="21"/>
                      <w14:textFill>
                        <w14:solidFill>
                          <w14:schemeClr w14:val="tx1"/>
                        </w14:solidFill>
                      </w14:textFill>
                    </w:rPr>
                    <w:t>固废资源化制砂扩建项目，不属于重金属重点行业，无需重金属减量替代；项目选址、工艺、规模均符合区域产业政策及当地规划管控要求，满足本条准入规定</w:t>
                  </w:r>
                  <w:r>
                    <w:rPr>
                      <w:rFonts w:hint="eastAsia" w:ascii="Times New Roman" w:hAnsi="Times New Roman" w:eastAsia="宋体"/>
                      <w:b w:val="0"/>
                      <w:color w:val="000000" w:themeColor="text1"/>
                      <w:spacing w:val="4"/>
                      <w:sz w:val="21"/>
                      <w:szCs w:val="21"/>
                      <w:lang w:eastAsia="zh-CN"/>
                      <w14:textFill>
                        <w14:solidFill>
                          <w14:schemeClr w14:val="tx1"/>
                        </w14:solidFill>
                      </w14:textFill>
                    </w:rPr>
                    <w:t>。</w:t>
                  </w:r>
                </w:p>
                <w:p w14:paraId="10A757B8">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2.</w:t>
                  </w:r>
                  <w:r>
                    <w:rPr>
                      <w:rFonts w:hint="eastAsia" w:ascii="Times New Roman" w:hAnsi="Times New Roman" w:eastAsia="宋体"/>
                      <w:b w:val="0"/>
                      <w:color w:val="000000" w:themeColor="text1"/>
                      <w:spacing w:val="4"/>
                      <w:sz w:val="21"/>
                      <w:szCs w:val="21"/>
                      <w14:textFill>
                        <w14:solidFill>
                          <w14:schemeClr w14:val="tx1"/>
                        </w14:solidFill>
                      </w14:textFill>
                    </w:rPr>
                    <w:t>项目无涂装、化工、油品储运等工序，原辅材料、生产全过程不产生VOCs，不涉及源头替代、VOCs 集中治理相关管控要求，无冲突，符合条款。</w:t>
                  </w:r>
                </w:p>
                <w:p w14:paraId="74657E31">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lang w:eastAsia="zh-CN"/>
                      <w14:textFill>
                        <w14:solidFill>
                          <w14:schemeClr w14:val="tx1"/>
                        </w14:solidFill>
                      </w14:textFill>
                    </w:rPr>
                  </w:pP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3.</w:t>
                  </w:r>
                  <w:r>
                    <w:rPr>
                      <w:rFonts w:hint="eastAsia" w:ascii="Times New Roman" w:hAnsi="Times New Roman" w:eastAsia="宋体"/>
                      <w:b w:val="0"/>
                      <w:color w:val="000000" w:themeColor="text1"/>
                      <w:spacing w:val="4"/>
                      <w:sz w:val="21"/>
                      <w:szCs w:val="21"/>
                      <w14:textFill>
                        <w14:solidFill>
                          <w14:schemeClr w14:val="tx1"/>
                        </w14:solidFill>
                      </w14:textFill>
                    </w:rPr>
                    <w:t>项目采用密闭输送、喷淋抑尘、废水闭路循环回用工艺，选用低能耗设备，减少粉尘、能源消耗，同步降低污染物与能源消耗产生的温室气体排放，实现减污降碳协同增效，符合协同管控要求</w:t>
                  </w:r>
                  <w:r>
                    <w:rPr>
                      <w:rFonts w:hint="eastAsia" w:ascii="Times New Roman" w:hAnsi="Times New Roman" w:eastAsia="宋体"/>
                      <w:b w:val="0"/>
                      <w:color w:val="000000" w:themeColor="text1"/>
                      <w:spacing w:val="4"/>
                      <w:sz w:val="21"/>
                      <w:szCs w:val="21"/>
                      <w:lang w:eastAsia="zh-CN"/>
                      <w14:textFill>
                        <w14:solidFill>
                          <w14:schemeClr w14:val="tx1"/>
                        </w14:solidFill>
                      </w14:textFill>
                    </w:rPr>
                    <w:t>。</w:t>
                  </w:r>
                </w:p>
                <w:p w14:paraId="7A3A8E4A">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lang w:eastAsia="zh-CN"/>
                      <w14:textFill>
                        <w14:solidFill>
                          <w14:schemeClr w14:val="tx1"/>
                        </w14:solidFill>
                      </w14:textFill>
                    </w:rPr>
                  </w:pP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4.</w:t>
                  </w:r>
                  <w:r>
                    <w:rPr>
                      <w:rFonts w:hint="eastAsia" w:ascii="Times New Roman" w:hAnsi="Times New Roman" w:eastAsia="宋体"/>
                      <w:b w:val="0"/>
                      <w:color w:val="000000" w:themeColor="text1"/>
                      <w:spacing w:val="4"/>
                      <w:sz w:val="21"/>
                      <w:szCs w:val="21"/>
                      <w14:textFill>
                        <w14:solidFill>
                          <w14:schemeClr w14:val="tx1"/>
                        </w14:solidFill>
                      </w14:textFill>
                    </w:rPr>
                    <w:t>项目位于乌—昌 —石联防联控区域，配套完善扬尘治理设施，落实错峰生产、重污染天气应急减排要求，大宗固废原料及成品优先密闭车辆转运，符合区域大气管控措施</w:t>
                  </w:r>
                  <w:r>
                    <w:rPr>
                      <w:rFonts w:hint="eastAsia" w:ascii="Times New Roman" w:hAnsi="Times New Roman" w:eastAsia="宋体"/>
                      <w:b w:val="0"/>
                      <w:color w:val="000000" w:themeColor="text1"/>
                      <w:spacing w:val="4"/>
                      <w:sz w:val="21"/>
                      <w:szCs w:val="21"/>
                      <w:lang w:eastAsia="zh-CN"/>
                      <w14:textFill>
                        <w14:solidFill>
                          <w14:schemeClr w14:val="tx1"/>
                        </w14:solidFill>
                      </w14:textFill>
                    </w:rPr>
                    <w:t>。</w:t>
                  </w:r>
                </w:p>
                <w:p w14:paraId="7742D794">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lang w:eastAsia="zh-CN"/>
                      <w14:textFill>
                        <w14:solidFill>
                          <w14:schemeClr w14:val="tx1"/>
                        </w14:solidFill>
                      </w14:textFill>
                    </w:rPr>
                  </w:pP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5.</w:t>
                  </w:r>
                  <w:r>
                    <w:rPr>
                      <w:rFonts w:hint="eastAsia" w:ascii="Times New Roman" w:hAnsi="Times New Roman" w:eastAsia="宋体"/>
                      <w:b w:val="0"/>
                      <w:color w:val="000000" w:themeColor="text1"/>
                      <w:spacing w:val="4"/>
                      <w:sz w:val="21"/>
                      <w:szCs w:val="21"/>
                      <w14:textFill>
                        <w14:solidFill>
                          <w14:schemeClr w14:val="tx1"/>
                        </w14:solidFill>
                      </w14:textFill>
                    </w:rPr>
                    <w:t>项目严格执行用水定额，水洗废水经压滤后100%循环回用，无外排废水；生产区、废水池、料场全部防渗，阻断废水下渗路径，同步管控地表水、地下水污染风险，落实节水与再生水回用要求</w:t>
                  </w:r>
                  <w:r>
                    <w:rPr>
                      <w:rFonts w:hint="eastAsia" w:ascii="Times New Roman" w:hAnsi="Times New Roman" w:eastAsia="宋体"/>
                      <w:b w:val="0"/>
                      <w:color w:val="000000" w:themeColor="text1"/>
                      <w:spacing w:val="4"/>
                      <w:sz w:val="21"/>
                      <w:szCs w:val="21"/>
                      <w:lang w:eastAsia="zh-CN"/>
                      <w14:textFill>
                        <w14:solidFill>
                          <w14:schemeClr w14:val="tx1"/>
                        </w14:solidFill>
                      </w14:textFill>
                    </w:rPr>
                    <w:t>。</w:t>
                  </w:r>
                </w:p>
                <w:p w14:paraId="2D9E9328">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6.</w:t>
                  </w:r>
                  <w:r>
                    <w:rPr>
                      <w:rFonts w:hint="eastAsia" w:ascii="Times New Roman" w:hAnsi="Times New Roman" w:eastAsia="宋体"/>
                      <w:b w:val="0"/>
                      <w:color w:val="000000" w:themeColor="text1"/>
                      <w:spacing w:val="4"/>
                      <w:sz w:val="21"/>
                      <w:szCs w:val="21"/>
                      <w14:textFill>
                        <w14:solidFill>
                          <w14:schemeClr w14:val="tx1"/>
                        </w14:solidFill>
                      </w14:textFill>
                    </w:rPr>
                    <w:t>项目原料为</w:t>
                  </w: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砂厂</w:t>
                  </w:r>
                  <w:r>
                    <w:rPr>
                      <w:rFonts w:hint="eastAsia" w:ascii="Times New Roman" w:hAnsi="Times New Roman" w:eastAsia="宋体"/>
                      <w:b w:val="0"/>
                      <w:color w:val="000000" w:themeColor="text1"/>
                      <w:spacing w:val="4"/>
                      <w:sz w:val="21"/>
                      <w:szCs w:val="21"/>
                      <w14:textFill>
                        <w14:solidFill>
                          <w14:schemeClr w14:val="tx1"/>
                        </w14:solidFill>
                      </w14:textFill>
                    </w:rPr>
                    <w:t>固废，重金属含量低，厂区实施全面防渗、物料密闭存放，不存在重金属流失、扬散风险，无需开展污染场地修复，符合土壤污染管控要求；本项目为</w:t>
                  </w: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砂厂</w:t>
                  </w:r>
                  <w:r>
                    <w:rPr>
                      <w:rFonts w:hint="eastAsia" w:ascii="Times New Roman" w:hAnsi="Times New Roman" w:eastAsia="宋体"/>
                      <w:b w:val="0"/>
                      <w:color w:val="000000" w:themeColor="text1"/>
                      <w:spacing w:val="4"/>
                      <w:sz w:val="21"/>
                      <w:szCs w:val="21"/>
                      <w14:textFill>
                        <w14:solidFill>
                          <w14:schemeClr w14:val="tx1"/>
                        </w14:solidFill>
                      </w14:textFill>
                    </w:rPr>
                    <w:t>固废加工项目，不涉及化肥、农药、农膜、秸秆等农业生产活动</w:t>
                  </w:r>
                  <w:r>
                    <w:rPr>
                      <w:rFonts w:hint="eastAsia" w:ascii="Times New Roman" w:hAnsi="Times New Roman" w:eastAsia="宋体"/>
                      <w:b w:val="0"/>
                      <w:color w:val="000000" w:themeColor="text1"/>
                      <w:spacing w:val="4"/>
                      <w:sz w:val="21"/>
                      <w:szCs w:val="21"/>
                      <w:lang w:eastAsia="zh-CN"/>
                      <w14:textFill>
                        <w14:solidFill>
                          <w14:schemeClr w14:val="tx1"/>
                        </w14:solidFill>
                      </w14:textFill>
                    </w:rPr>
                    <w:t>。</w:t>
                  </w:r>
                </w:p>
                <w:p w14:paraId="27E5ABF2">
                  <w:pPr>
                    <w:pStyle w:val="227"/>
                    <w:spacing w:line="240" w:lineRule="auto"/>
                    <w:ind w:left="0" w:leftChars="0" w:firstLine="0" w:firstLineChars="0"/>
                    <w:rPr>
                      <w:rFonts w:ascii="Times New Roman" w:hAnsi="Times New Roman" w:eastAsia="宋体" w:cs="仿宋"/>
                      <w:b w:val="0"/>
                      <w:color w:val="000000" w:themeColor="text1"/>
                      <w:kern w:val="2"/>
                      <w:sz w:val="21"/>
                      <w:szCs w:val="21"/>
                      <w:lang w:val="en-US" w:eastAsia="en-US" w:bidi="ar-SA"/>
                      <w14:textFill>
                        <w14:solidFill>
                          <w14:schemeClr w14:val="tx1"/>
                        </w14:solidFill>
                      </w14:textFill>
                    </w:rPr>
                  </w:pPr>
                </w:p>
              </w:tc>
              <w:tc>
                <w:tcPr>
                  <w:tcW w:w="353" w:type="pct"/>
                  <w:tcBorders>
                    <w:tl2br w:val="nil"/>
                    <w:tr2bl w:val="nil"/>
                  </w:tcBorders>
                  <w:shd w:val="clear" w:color="auto" w:fill="FFFFFF"/>
                  <w:vAlign w:val="center"/>
                </w:tcPr>
                <w:p w14:paraId="7F27AD4A">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b w:val="0"/>
                      <w:color w:val="000000" w:themeColor="text1"/>
                      <w:sz w:val="21"/>
                      <w:szCs w:val="21"/>
                      <w14:textFill>
                        <w14:solidFill>
                          <w14:schemeClr w14:val="tx1"/>
                        </w14:solidFill>
                      </w14:textFill>
                    </w:rPr>
                    <w:t>符合</w:t>
                  </w:r>
                </w:p>
              </w:tc>
            </w:tr>
            <w:tr w14:paraId="711D6A5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4" w:type="pct"/>
                  <w:vMerge w:val="continue"/>
                  <w:tcBorders>
                    <w:tl2br w:val="nil"/>
                    <w:tr2bl w:val="nil"/>
                  </w:tcBorders>
                  <w:shd w:val="clear" w:color="auto" w:fill="FFFFFF"/>
                  <w:vAlign w:val="center"/>
                </w:tcPr>
                <w:p w14:paraId="39DDFBEB">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tc>
              <w:tc>
                <w:tcPr>
                  <w:tcW w:w="254" w:type="pct"/>
                  <w:tcBorders>
                    <w:tl2br w:val="nil"/>
                    <w:tr2bl w:val="nil"/>
                  </w:tcBorders>
                  <w:shd w:val="clear" w:color="auto" w:fill="FFFFFF"/>
                  <w:vAlign w:val="center"/>
                </w:tcPr>
                <w:p w14:paraId="14164888">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b w:val="0"/>
                      <w:color w:val="000000" w:themeColor="text1"/>
                      <w:sz w:val="21"/>
                      <w:szCs w:val="21"/>
                      <w14:textFill>
                        <w14:solidFill>
                          <w14:schemeClr w14:val="tx1"/>
                        </w14:solidFill>
                      </w14:textFill>
                    </w:rPr>
                    <w:t>环境风险防控</w:t>
                  </w:r>
                </w:p>
              </w:tc>
              <w:tc>
                <w:tcPr>
                  <w:tcW w:w="2755" w:type="pct"/>
                  <w:tcBorders>
                    <w:tl2br w:val="nil"/>
                    <w:tr2bl w:val="nil"/>
                  </w:tcBorders>
                  <w:shd w:val="clear" w:color="auto" w:fill="FFFFFF"/>
                  <w:vAlign w:val="center"/>
                </w:tcPr>
                <w:p w14:paraId="4A460D97">
                  <w:pPr>
                    <w:pStyle w:val="227"/>
                    <w:spacing w:before="4" w:line="240" w:lineRule="auto"/>
                    <w:ind w:left="0" w:leftChars="0" w:right="51" w:rightChars="0" w:firstLine="0" w:firstLineChars="0"/>
                    <w:jc w:val="both"/>
                    <w:rPr>
                      <w:rFonts w:hint="eastAsia" w:ascii="Times New Roman" w:hAnsi="Times New Roman" w:eastAsia="宋体"/>
                      <w:b w:val="0"/>
                      <w:color w:val="000000" w:themeColor="text1"/>
                      <w:spacing w:val="3"/>
                      <w:sz w:val="21"/>
                      <w:szCs w:val="21"/>
                      <w14:textFill>
                        <w14:solidFill>
                          <w14:schemeClr w14:val="tx1"/>
                        </w14:solidFill>
                      </w14:textFill>
                    </w:rPr>
                  </w:pPr>
                  <w:r>
                    <w:rPr>
                      <w:rFonts w:hint="eastAsia" w:ascii="Times New Roman" w:hAnsi="Times New Roman" w:eastAsia="宋体"/>
                      <w:b w:val="0"/>
                      <w:color w:val="000000" w:themeColor="text1"/>
                      <w:spacing w:val="3"/>
                      <w:sz w:val="21"/>
                      <w:szCs w:val="21"/>
                      <w14:textFill>
                        <w14:solidFill>
                          <w14:schemeClr w14:val="tx1"/>
                        </w14:solidFill>
                      </w14:textFill>
                    </w:rPr>
                    <w:t>〔A3.1-1〕建立和完善重污染天气兵地联合应急预案、预报预警应急机制和会商联动机制。“乌—昌—石”区域内可能影响相邻行政区域大气环境的项目，兵地间、城市间必须相互征求意见。</w:t>
                  </w:r>
                </w:p>
                <w:p w14:paraId="288A65E4">
                  <w:pPr>
                    <w:pStyle w:val="227"/>
                    <w:spacing w:before="4" w:line="240" w:lineRule="auto"/>
                    <w:ind w:left="0" w:leftChars="0" w:right="51" w:rightChars="0" w:firstLine="0" w:firstLineChars="0"/>
                    <w:jc w:val="both"/>
                    <w:rPr>
                      <w:rFonts w:hint="eastAsia" w:ascii="Times New Roman" w:hAnsi="Times New Roman" w:eastAsia="宋体"/>
                      <w:b w:val="0"/>
                      <w:color w:val="000000" w:themeColor="text1"/>
                      <w:spacing w:val="3"/>
                      <w:sz w:val="21"/>
                      <w:szCs w:val="21"/>
                      <w14:textFill>
                        <w14:solidFill>
                          <w14:schemeClr w14:val="tx1"/>
                        </w14:solidFill>
                      </w14:textFill>
                    </w:rPr>
                  </w:pPr>
                  <w:r>
                    <w:rPr>
                      <w:rFonts w:hint="eastAsia" w:ascii="Times New Roman" w:hAnsi="Times New Roman" w:eastAsia="宋体"/>
                      <w:b w:val="0"/>
                      <w:color w:val="000000" w:themeColor="text1"/>
                      <w:spacing w:val="3"/>
                      <w:sz w:val="21"/>
                      <w:szCs w:val="21"/>
                      <w14:textFill>
                        <w14:solidFill>
                          <w14:schemeClr w14:val="tx1"/>
                        </w14:solidFill>
                      </w14:textFill>
                    </w:rPr>
                    <w:t>〔A3.1-2〕对跨国境河流、涉及县级及以上集中式饮用水水源地的河流、其他重要环境敏感目标的河流，建立健全流域上下游突发水污染事件联防联动机制，建立流域环境应急基础信息动态更新长效机制，绘制全流域“一河一策一图”。建立健全跨部门、跨区域的环境应急协调联动处置机制，强化流域上下游、兵地各部门协调，实施联合监测、联合执法、应急联动、信息共享，形成“政府引导、多元联动、社会参与、专业救援”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p>
                <w:p w14:paraId="0C5611FE">
                  <w:pPr>
                    <w:pStyle w:val="227"/>
                    <w:spacing w:before="4" w:line="240" w:lineRule="auto"/>
                    <w:ind w:left="0" w:leftChars="0" w:right="51" w:rightChars="0" w:firstLine="0" w:firstLineChars="0"/>
                    <w:jc w:val="both"/>
                    <w:rPr>
                      <w:rFonts w:hint="eastAsia" w:ascii="Times New Roman" w:hAnsi="Times New Roman" w:eastAsia="宋体"/>
                      <w:b w:val="0"/>
                      <w:color w:val="000000" w:themeColor="text1"/>
                      <w:spacing w:val="3"/>
                      <w:sz w:val="21"/>
                      <w:szCs w:val="21"/>
                      <w14:textFill>
                        <w14:solidFill>
                          <w14:schemeClr w14:val="tx1"/>
                        </w14:solidFill>
                      </w14:textFill>
                    </w:rPr>
                  </w:pPr>
                  <w:r>
                    <w:rPr>
                      <w:rFonts w:hint="eastAsia" w:ascii="Times New Roman" w:hAnsi="Times New Roman" w:eastAsia="宋体"/>
                      <w:b w:val="0"/>
                      <w:color w:val="000000" w:themeColor="text1"/>
                      <w:spacing w:val="3"/>
                      <w:sz w:val="21"/>
                      <w:szCs w:val="21"/>
                      <w14:textFill>
                        <w14:solidFill>
                          <w14:schemeClr w14:val="tx1"/>
                        </w14:solidFill>
                      </w14:textFill>
                    </w:rPr>
                    <w:t>〔A3.1-3〕强化重污染天气监测预报预警能力，建立和完善重污染天气兵地联合应急预案、预警应急机制和会商联动机制，加强轻、中度污染天气管控。</w:t>
                  </w:r>
                </w:p>
                <w:p w14:paraId="7B2FCA95">
                  <w:pPr>
                    <w:pStyle w:val="227"/>
                    <w:spacing w:before="4" w:line="240" w:lineRule="auto"/>
                    <w:ind w:left="0" w:leftChars="0" w:right="51" w:rightChars="0" w:firstLine="0" w:firstLineChars="0"/>
                    <w:jc w:val="both"/>
                    <w:rPr>
                      <w:rFonts w:hint="eastAsia" w:ascii="Times New Roman" w:hAnsi="Times New Roman" w:eastAsia="宋体"/>
                      <w:b w:val="0"/>
                      <w:color w:val="000000" w:themeColor="text1"/>
                      <w:spacing w:val="3"/>
                      <w:sz w:val="21"/>
                      <w:szCs w:val="21"/>
                      <w14:textFill>
                        <w14:solidFill>
                          <w14:schemeClr w14:val="tx1"/>
                        </w14:solidFill>
                      </w14:textFill>
                    </w:rPr>
                  </w:pPr>
                  <w:r>
                    <w:rPr>
                      <w:rFonts w:hint="eastAsia" w:ascii="Times New Roman" w:hAnsi="Times New Roman" w:eastAsia="宋体"/>
                      <w:b w:val="0"/>
                      <w:color w:val="000000" w:themeColor="text1"/>
                      <w:spacing w:val="3"/>
                      <w:sz w:val="21"/>
                      <w:szCs w:val="21"/>
                      <w14:textFill>
                        <w14:solidFill>
                          <w14:schemeClr w14:val="tx1"/>
                        </w14:solidFill>
                      </w14:textFill>
                    </w:rPr>
                    <w:t>〔A3.2-1〕提升饮用水安全保障水平。以县级及以上集中式饮用水水源地为重点，推进饮用水水源保护区规范化建设，统筹推进备用水源或应急水源建设。单一水源供水的重点城市于 2025 年底前基本完成备用水源或应急水源建设，有条件的地区开展兵地互为备用水源建设。梯次推进农村集中式饮用水水源保护区划定，到 2025年，完成乡镇级集中式饮用水水源保护区划定与勘界立标。开展“千吨万人”农村饮用水水源保护区环境风险排查整治，加强农村水源水质监测，依法清理饮用水水源保护区内违法建筑和排污口，实施从水源到水龙头全过程监管。强化饮用水水源保护区环境应急管理，完善重大突发环境事件的物资和技术储备。针对汇水区、补给区存在兵地跨界的，建立统一的饮用水水源应急和执法机制，共享应急物资。</w:t>
                  </w:r>
                </w:p>
                <w:p w14:paraId="2C9BDF63">
                  <w:pPr>
                    <w:pStyle w:val="227"/>
                    <w:spacing w:before="4" w:line="240" w:lineRule="auto"/>
                    <w:ind w:left="0" w:leftChars="0" w:right="51" w:rightChars="0" w:firstLine="0" w:firstLineChars="0"/>
                    <w:jc w:val="both"/>
                    <w:rPr>
                      <w:rFonts w:hint="eastAsia" w:ascii="Times New Roman" w:hAnsi="Times New Roman" w:eastAsia="宋体"/>
                      <w:b w:val="0"/>
                      <w:color w:val="000000" w:themeColor="text1"/>
                      <w:spacing w:val="3"/>
                      <w:sz w:val="21"/>
                      <w:szCs w:val="21"/>
                      <w14:textFill>
                        <w14:solidFill>
                          <w14:schemeClr w14:val="tx1"/>
                        </w14:solidFill>
                      </w14:textFill>
                    </w:rPr>
                  </w:pPr>
                  <w:r>
                    <w:rPr>
                      <w:rFonts w:hint="eastAsia" w:ascii="Times New Roman" w:hAnsi="Times New Roman" w:eastAsia="宋体"/>
                      <w:b w:val="0"/>
                      <w:color w:val="000000" w:themeColor="text1"/>
                      <w:spacing w:val="3"/>
                      <w:sz w:val="21"/>
                      <w:szCs w:val="21"/>
                      <w14:textFill>
                        <w14:solidFill>
                          <w14:schemeClr w14:val="tx1"/>
                        </w14:solidFill>
                      </w14:textFill>
                    </w:rPr>
                    <w:t>〔A3.2-2〕依法推行农用地分类管理制度，强化受污染耕地安全利用和风险管控。因地制宜制定实施安全利用方案，鼓励采取种植结构调整等措施，确保受污染耕地全部实现安全利用。</w:t>
                  </w:r>
                </w:p>
                <w:p w14:paraId="12FC298A">
                  <w:pPr>
                    <w:pStyle w:val="227"/>
                    <w:spacing w:before="4" w:line="240" w:lineRule="auto"/>
                    <w:ind w:left="0" w:leftChars="0" w:right="51" w:rightChars="0" w:firstLine="0" w:firstLineChars="0"/>
                    <w:jc w:val="both"/>
                    <w:rPr>
                      <w:rFonts w:hint="eastAsia" w:ascii="Times New Roman" w:hAnsi="Times New Roman" w:eastAsia="宋体"/>
                      <w:b w:val="0"/>
                      <w:color w:val="000000" w:themeColor="text1"/>
                      <w:spacing w:val="3"/>
                      <w:sz w:val="21"/>
                      <w:szCs w:val="21"/>
                      <w14:textFill>
                        <w14:solidFill>
                          <w14:schemeClr w14:val="tx1"/>
                        </w14:solidFill>
                      </w14:textFill>
                    </w:rPr>
                  </w:pPr>
                  <w:r>
                    <w:rPr>
                      <w:rFonts w:hint="eastAsia" w:ascii="Times New Roman" w:hAnsi="Times New Roman" w:eastAsia="宋体"/>
                      <w:b w:val="0"/>
                      <w:color w:val="000000" w:themeColor="text1"/>
                      <w:spacing w:val="3"/>
                      <w:sz w:val="21"/>
                      <w:szCs w:val="21"/>
                      <w14:textFill>
                        <w14:solidFill>
                          <w14:schemeClr w14:val="tx1"/>
                        </w14:solidFill>
                      </w14:textFill>
                    </w:rPr>
                    <w:t>〔A3.2-3〕加强新污染物多环境介质协同治理。排放重点管控新污染物的企事业单位应采取污染控制措施，达到相关污染物排放标准及环境质量目标要求；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污）口及其周边环境定期开展环境监测，评估环境风险，排查整治环境安全隐患，依法公开新污染物信息，采取措施防范环境风险。土壤污染重点监管单位应严格控制有毒有害物质排放，建立土壤污染隐患排查制度，防止有毒有害物质渗漏、流失、扬散。</w:t>
                  </w:r>
                </w:p>
                <w:p w14:paraId="249FBD92">
                  <w:pPr>
                    <w:pStyle w:val="227"/>
                    <w:spacing w:before="4" w:line="240" w:lineRule="auto"/>
                    <w:ind w:left="0" w:leftChars="0" w:right="51" w:rightChars="0" w:firstLine="0" w:firstLineChars="0"/>
                    <w:jc w:val="both"/>
                    <w:rPr>
                      <w:rFonts w:hint="eastAsia" w:ascii="Times New Roman" w:hAnsi="Times New Roman" w:eastAsia="宋体"/>
                      <w:b w:val="0"/>
                      <w:color w:val="000000" w:themeColor="text1"/>
                      <w:spacing w:val="3"/>
                      <w:sz w:val="21"/>
                      <w:szCs w:val="21"/>
                      <w14:textFill>
                        <w14:solidFill>
                          <w14:schemeClr w14:val="tx1"/>
                        </w14:solidFill>
                      </w14:textFill>
                    </w:rPr>
                  </w:pPr>
                  <w:r>
                    <w:rPr>
                      <w:rFonts w:hint="eastAsia" w:ascii="Times New Roman" w:hAnsi="Times New Roman" w:eastAsia="宋体"/>
                      <w:b w:val="0"/>
                      <w:color w:val="000000" w:themeColor="text1"/>
                      <w:spacing w:val="3"/>
                      <w:sz w:val="21"/>
                      <w:szCs w:val="21"/>
                      <w14:textFill>
                        <w14:solidFill>
                          <w14:schemeClr w14:val="tx1"/>
                        </w14:solidFill>
                      </w14:textFill>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p w14:paraId="2CAAA42D">
                  <w:pPr>
                    <w:pStyle w:val="227"/>
                    <w:spacing w:before="4" w:line="240" w:lineRule="auto"/>
                    <w:ind w:left="0" w:leftChars="0" w:right="51" w:rightChars="0" w:firstLine="0" w:firstLineChars="0"/>
                    <w:jc w:val="both"/>
                    <w:rPr>
                      <w:rFonts w:hint="eastAsia" w:ascii="Times New Roman" w:hAnsi="Times New Roman" w:eastAsia="宋体"/>
                      <w:b w:val="0"/>
                      <w:color w:val="000000" w:themeColor="text1"/>
                      <w:spacing w:val="3"/>
                      <w:sz w:val="21"/>
                      <w:szCs w:val="21"/>
                      <w14:textFill>
                        <w14:solidFill>
                          <w14:schemeClr w14:val="tx1"/>
                        </w14:solidFill>
                      </w14:textFill>
                    </w:rPr>
                  </w:pPr>
                  <w:r>
                    <w:rPr>
                      <w:rFonts w:hint="eastAsia" w:ascii="Times New Roman" w:hAnsi="Times New Roman" w:eastAsia="宋体"/>
                      <w:b w:val="0"/>
                      <w:color w:val="000000" w:themeColor="text1"/>
                      <w:spacing w:val="3"/>
                      <w:sz w:val="21"/>
                      <w:szCs w:val="21"/>
                      <w14:textFill>
                        <w14:solidFill>
                          <w14:schemeClr w14:val="tx1"/>
                        </w14:solidFill>
                      </w14:textFill>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p w14:paraId="5DC8EBE3">
                  <w:pPr>
                    <w:pStyle w:val="227"/>
                    <w:spacing w:before="4" w:line="240" w:lineRule="auto"/>
                    <w:ind w:left="0" w:leftChars="0" w:right="51" w:rightChars="0" w:firstLine="0" w:firstLineChars="0"/>
                    <w:jc w:val="both"/>
                    <w:rPr>
                      <w:rFonts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hint="eastAsia" w:ascii="Times New Roman" w:hAnsi="Times New Roman" w:eastAsia="宋体"/>
                      <w:b w:val="0"/>
                      <w:color w:val="000000" w:themeColor="text1"/>
                      <w:spacing w:val="3"/>
                      <w:sz w:val="21"/>
                      <w:szCs w:val="21"/>
                      <w14:textFill>
                        <w14:solidFill>
                          <w14:schemeClr w14:val="tx1"/>
                        </w14:solidFill>
                      </w14:textFill>
                    </w:rPr>
                    <w:t>〔A3.2-6〕强化兵地联防联控联治，落实兵地统一规划、统一政策、统一标准、统一要求、统一推进的防治管理措施，完善重大项目环境影响评价区域会商、重污染天气兵地联合应急联动机制。建立兵地生态环境联合执法和联合监测长效机制。</w:t>
                  </w:r>
                </w:p>
              </w:tc>
              <w:tc>
                <w:tcPr>
                  <w:tcW w:w="1183" w:type="pct"/>
                  <w:tcBorders>
                    <w:tl2br w:val="nil"/>
                    <w:tr2bl w:val="nil"/>
                  </w:tcBorders>
                  <w:shd w:val="clear" w:color="auto" w:fill="FFFFFF"/>
                  <w:vAlign w:val="center"/>
                </w:tcPr>
                <w:p w14:paraId="31090EFE">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1"/>
                      <w:sz w:val="21"/>
                      <w:szCs w:val="21"/>
                      <w:lang w:val="en-US" w:eastAsia="zh-CN"/>
                      <w14:textFill>
                        <w14:solidFill>
                          <w14:schemeClr w14:val="tx1"/>
                        </w14:solidFill>
                      </w14:textFill>
                    </w:rPr>
                    <w:t>1.</w:t>
                  </w:r>
                  <w:r>
                    <w:rPr>
                      <w:rFonts w:hint="eastAsia" w:ascii="Times New Roman" w:hAnsi="Times New Roman" w:eastAsia="宋体"/>
                      <w:b w:val="0"/>
                      <w:color w:val="000000" w:themeColor="text1"/>
                      <w:spacing w:val="4"/>
                      <w:sz w:val="21"/>
                      <w:szCs w:val="21"/>
                      <w14:textFill>
                        <w14:solidFill>
                          <w14:schemeClr w14:val="tx1"/>
                        </w14:solidFill>
                      </w14:textFill>
                    </w:rPr>
                    <w:t>本项目位于昌吉市，属于乌—昌— 石管控区域，生产废气以无组织扬尘为主，配套封闭料场、喷淋抑尘、布袋收尘等治理设施，大气污染物排放量小、区域影响有限。</w:t>
                  </w:r>
                </w:p>
                <w:p w14:paraId="0482D15F">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2.</w:t>
                  </w:r>
                  <w:r>
                    <w:rPr>
                      <w:rFonts w:hint="eastAsia" w:ascii="Times New Roman" w:hAnsi="Times New Roman" w:eastAsia="宋体"/>
                      <w:b w:val="0"/>
                      <w:color w:val="000000" w:themeColor="text1"/>
                      <w:spacing w:val="4"/>
                      <w:sz w:val="21"/>
                      <w:szCs w:val="21"/>
                      <w14:textFill>
                        <w14:solidFill>
                          <w14:schemeClr w14:val="tx1"/>
                        </w14:solidFill>
                      </w14:textFill>
                    </w:rPr>
                    <w:t>项目选址不在跨界河流、县级及以上集中式饮用水水源保护区、汇水补给区范围内，生产废水全部闭路循环回用、无外排废水，不涉及流域上下游水污染联防、水源地专项整治相关约束，不产生水环境跨界风险，符合流域及饮用水源地管控要求。</w:t>
                  </w:r>
                </w:p>
                <w:p w14:paraId="2244159A">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3.</w:t>
                  </w:r>
                  <w:r>
                    <w:rPr>
                      <w:rFonts w:hint="eastAsia" w:ascii="Times New Roman" w:hAnsi="Times New Roman" w:eastAsia="宋体"/>
                      <w:b w:val="0"/>
                      <w:color w:val="000000" w:themeColor="text1"/>
                      <w:spacing w:val="4"/>
                      <w:sz w:val="21"/>
                      <w:szCs w:val="21"/>
                      <w14:textFill>
                        <w14:solidFill>
                          <w14:schemeClr w14:val="tx1"/>
                        </w14:solidFill>
                      </w14:textFill>
                    </w:rPr>
                    <w:t>项目用地为</w:t>
                  </w: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现有项目厂区内不新增占地</w:t>
                  </w:r>
                  <w:r>
                    <w:rPr>
                      <w:rFonts w:hint="eastAsia" w:ascii="Times New Roman" w:hAnsi="Times New Roman" w:eastAsia="宋体"/>
                      <w:b w:val="0"/>
                      <w:color w:val="000000" w:themeColor="text1"/>
                      <w:spacing w:val="4"/>
                      <w:sz w:val="21"/>
                      <w:szCs w:val="21"/>
                      <w14:textFill>
                        <w14:solidFill>
                          <w14:schemeClr w14:val="tx1"/>
                        </w14:solidFill>
                      </w14:textFill>
                    </w:rPr>
                    <w:t>，不占用农用地、耕地，无需开展受污染耕地安全利用管控，条款对本项目无约束冲突，符合相关管理要求。</w:t>
                  </w:r>
                </w:p>
                <w:p w14:paraId="1FA78C7A">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4.</w:t>
                  </w:r>
                  <w:r>
                    <w:rPr>
                      <w:rFonts w:hint="eastAsia" w:ascii="Times New Roman" w:hAnsi="Times New Roman" w:eastAsia="宋体"/>
                      <w:b w:val="0"/>
                      <w:color w:val="000000" w:themeColor="text1"/>
                      <w:spacing w:val="4"/>
                      <w:sz w:val="21"/>
                      <w:szCs w:val="21"/>
                      <w14:textFill>
                        <w14:solidFill>
                          <w14:schemeClr w14:val="tx1"/>
                        </w14:solidFill>
                      </w14:textFill>
                    </w:rPr>
                    <w:t>项目仅加工</w:t>
                  </w: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砂厂固废</w:t>
                  </w:r>
                  <w:r>
                    <w:rPr>
                      <w:rFonts w:hint="eastAsia" w:ascii="Times New Roman" w:hAnsi="Times New Roman" w:eastAsia="宋体"/>
                      <w:b w:val="0"/>
                      <w:color w:val="000000" w:themeColor="text1"/>
                      <w:spacing w:val="4"/>
                      <w:sz w:val="21"/>
                      <w:szCs w:val="21"/>
                      <w14:textFill>
                        <w14:solidFill>
                          <w14:schemeClr w14:val="tx1"/>
                        </w14:solidFill>
                      </w14:textFill>
                    </w:rPr>
                    <w:t>制砂，无《重点管控新污染物清单》物质产生与排放。</w:t>
                  </w:r>
                </w:p>
                <w:p w14:paraId="2D0C8A3E">
                  <w:pPr>
                    <w:pStyle w:val="227"/>
                    <w:spacing w:before="114" w:line="240" w:lineRule="auto"/>
                    <w:ind w:left="0" w:leftChars="0" w:right="12" w:rightChars="0" w:firstLine="0" w:firstLineChars="0"/>
                    <w:jc w:val="both"/>
                    <w:rPr>
                      <w:rFonts w:hint="eastAsia" w:ascii="Times New Roman" w:hAnsi="Times New Roman" w:eastAsia="宋体"/>
                      <w:b w:val="0"/>
                      <w:color w:val="000000" w:themeColor="text1"/>
                      <w:spacing w:val="4"/>
                      <w:sz w:val="21"/>
                      <w:szCs w:val="21"/>
                      <w14:textFill>
                        <w14:solidFill>
                          <w14:schemeClr w14:val="tx1"/>
                        </w14:solidFill>
                      </w14:textFill>
                    </w:rPr>
                  </w:pPr>
                  <w:r>
                    <w:rPr>
                      <w:rFonts w:hint="eastAsia" w:ascii="Times New Roman" w:hAnsi="Times New Roman" w:eastAsia="宋体"/>
                      <w:b w:val="0"/>
                      <w:color w:val="000000" w:themeColor="text1"/>
                      <w:spacing w:val="4"/>
                      <w:sz w:val="21"/>
                      <w:szCs w:val="21"/>
                      <w:lang w:val="en-US" w:eastAsia="zh-CN"/>
                      <w14:textFill>
                        <w14:solidFill>
                          <w14:schemeClr w14:val="tx1"/>
                        </w14:solidFill>
                      </w14:textFill>
                    </w:rPr>
                    <w:t>5.</w:t>
                  </w:r>
                  <w:r>
                    <w:rPr>
                      <w:rFonts w:hint="eastAsia" w:ascii="Times New Roman" w:hAnsi="Times New Roman" w:eastAsia="宋体"/>
                      <w:b w:val="0"/>
                      <w:color w:val="000000" w:themeColor="text1"/>
                      <w:spacing w:val="4"/>
                      <w:sz w:val="21"/>
                      <w:szCs w:val="21"/>
                      <w14:textFill>
                        <w14:solidFill>
                          <w14:schemeClr w14:val="tx1"/>
                        </w14:solidFill>
                      </w14:textFill>
                    </w:rPr>
                    <w:t>项目不属于危废、涉重金属、化工类高风险企业，环境风险等级低；企业将编制突发生态环境应急预案并电子化备案。</w:t>
                  </w:r>
                </w:p>
                <w:p w14:paraId="4C2B76B8">
                  <w:pPr>
                    <w:pStyle w:val="227"/>
                    <w:spacing w:before="1" w:line="240" w:lineRule="auto"/>
                    <w:ind w:left="0" w:leftChars="0" w:right="105" w:firstLine="0" w:firstLineChars="0"/>
                    <w:rPr>
                      <w:rFonts w:ascii="Times New Roman" w:hAnsi="Times New Roman" w:eastAsia="宋体" w:cs="仿宋"/>
                      <w:b w:val="0"/>
                      <w:color w:val="000000" w:themeColor="text1"/>
                      <w:kern w:val="2"/>
                      <w:sz w:val="21"/>
                      <w:szCs w:val="21"/>
                      <w:lang w:val="en-US" w:eastAsia="en-US" w:bidi="ar-SA"/>
                      <w14:textFill>
                        <w14:solidFill>
                          <w14:schemeClr w14:val="tx1"/>
                        </w14:solidFill>
                      </w14:textFill>
                    </w:rPr>
                  </w:pPr>
                </w:p>
              </w:tc>
              <w:tc>
                <w:tcPr>
                  <w:tcW w:w="353" w:type="pct"/>
                  <w:tcBorders>
                    <w:tl2br w:val="nil"/>
                    <w:tr2bl w:val="nil"/>
                  </w:tcBorders>
                  <w:shd w:val="clear" w:color="auto" w:fill="FFFFFF"/>
                  <w:vAlign w:val="center"/>
                </w:tcPr>
                <w:p w14:paraId="3D7FF66C">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b w:val="0"/>
                      <w:color w:val="000000" w:themeColor="text1"/>
                      <w:sz w:val="21"/>
                      <w:szCs w:val="21"/>
                      <w14:textFill>
                        <w14:solidFill>
                          <w14:schemeClr w14:val="tx1"/>
                        </w14:solidFill>
                      </w14:textFill>
                    </w:rPr>
                    <w:t>符合</w:t>
                  </w:r>
                </w:p>
              </w:tc>
            </w:tr>
            <w:tr w14:paraId="0F060D4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54" w:type="pct"/>
                  <w:vMerge w:val="continue"/>
                  <w:tcBorders>
                    <w:bottom w:val="single" w:color="000000" w:sz="12" w:space="0"/>
                    <w:tl2br w:val="nil"/>
                    <w:tr2bl w:val="nil"/>
                  </w:tcBorders>
                  <w:shd w:val="clear" w:color="auto" w:fill="FFFFFF"/>
                  <w:vAlign w:val="center"/>
                </w:tcPr>
                <w:p w14:paraId="7648F413">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ascii="Times New Roman" w:hAnsi="Times New Roman" w:eastAsia="宋体"/>
                      <w:b w:val="0"/>
                      <w:color w:val="000000" w:themeColor="text1"/>
                      <w:sz w:val="21"/>
                      <w:szCs w:val="21"/>
                      <w14:textFill>
                        <w14:solidFill>
                          <w14:schemeClr w14:val="tx1"/>
                        </w14:solidFill>
                      </w14:textFill>
                    </w:rPr>
                  </w:pPr>
                </w:p>
              </w:tc>
              <w:tc>
                <w:tcPr>
                  <w:tcW w:w="254" w:type="pct"/>
                  <w:tcBorders>
                    <w:bottom w:val="single" w:color="000000" w:sz="12" w:space="0"/>
                    <w:tl2br w:val="nil"/>
                    <w:tr2bl w:val="nil"/>
                  </w:tcBorders>
                  <w:shd w:val="clear" w:color="auto" w:fill="FFFFFF"/>
                  <w:vAlign w:val="center"/>
                </w:tcPr>
                <w:p w14:paraId="3401868A">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ascii="Times New Roman" w:hAnsi="Times New Roman" w:eastAsia="宋体"/>
                      <w:b w:val="0"/>
                      <w:color w:val="000000" w:themeColor="text1"/>
                      <w:sz w:val="21"/>
                      <w:szCs w:val="21"/>
                      <w:lang w:val="en-US" w:eastAsia="zh-CN"/>
                      <w14:textFill>
                        <w14:solidFill>
                          <w14:schemeClr w14:val="tx1"/>
                        </w14:solidFill>
                      </w14:textFill>
                    </w:rPr>
                    <w:t>资源利用效率</w:t>
                  </w:r>
                </w:p>
              </w:tc>
              <w:tc>
                <w:tcPr>
                  <w:tcW w:w="2755" w:type="pct"/>
                  <w:tcBorders>
                    <w:bottom w:val="single" w:color="000000" w:sz="12" w:space="0"/>
                    <w:tl2br w:val="nil"/>
                    <w:tr2bl w:val="nil"/>
                  </w:tcBorders>
                  <w:shd w:val="clear" w:color="auto" w:fill="FFFFFF"/>
                  <w:vAlign w:val="center"/>
                </w:tcPr>
                <w:p w14:paraId="7A327860">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〔A4.1-1〕自治区用水总量2025年、2030年控制在国家下达的指标内。</w:t>
                  </w:r>
                </w:p>
                <w:p w14:paraId="46476758">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〔A4.1-2〕加大城镇污水再生利用工程建设力度，推进区域再生水循环利用，到2025年，城市生活污水再生利用率力争达到60%。</w:t>
                  </w:r>
                </w:p>
                <w:p w14:paraId="02FDA05A">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〔A4.1-3〕加强农村水利基础设施建设，推进农村供水保障工程，农村自来水普及率、集中供水率分别达到99.3%、99.7%。</w:t>
                  </w:r>
                </w:p>
                <w:p w14:paraId="75823C62">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〔A4.1-4〕地下水资源利用实行总量控制和水位控制。取用地下水资源，应当按照国家和自治区有关规定申请取水许可。地下水利用应当以浅层地下水为主。</w:t>
                  </w:r>
                </w:p>
                <w:p w14:paraId="268F67EB">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〔A4.2-1〕土地资源上线指标控制在最终批复的国土空间规划控制指标内。</w:t>
                  </w:r>
                </w:p>
                <w:p w14:paraId="3D3691A5">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〔A4.3-1〕单位地区生产总值二氧化碳排放降低水平完成国家下达指标。</w:t>
                  </w:r>
                </w:p>
                <w:p w14:paraId="22DB57B5">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〔A4.3-2〕到2025年，自治区万元国内生产总值能耗比2020年下降14.5%。</w:t>
                  </w:r>
                </w:p>
                <w:p w14:paraId="296DEE07">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〔A4.3-3〕到2025年，非化石能源占一次能源消费比重达18%以上。</w:t>
                  </w:r>
                </w:p>
                <w:p w14:paraId="3E47A813">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〔A4.3-4〕鼓励使用清洁能源或电厂热力、工业余热等替代锅炉、炉窑燃料用煤。</w:t>
                  </w:r>
                </w:p>
                <w:p w14:paraId="0A1BA37C">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〔A4.3-5〕以碳达峰碳中和工作为引领，着力提高能源资源利用效率。引导重点行业深入实施清洁生产改造，钢铁、建材、石油化工等重点行业以及其他行业重点用能单位持续开展节能降耗。</w:t>
                  </w:r>
                </w:p>
                <w:p w14:paraId="2A33C6FF">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〔A4.3-6〕深入推进碳达峰碳中和行动。推动能源清洁低碳转型，加强能耗“双控”管理，优化能源消费结构。新增原料用能不纳入能源消费总量控制。持续推进散煤整治。</w:t>
                  </w:r>
                </w:p>
                <w:p w14:paraId="1E9F4D10">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〔A4.4-1〕在禁燃区内，禁止销售、燃用高污染燃料；禁止新建、扩建燃用高污染燃料的设施。已建成的，应当在规定期限内改用清洁能源。</w:t>
                  </w:r>
                </w:p>
                <w:p w14:paraId="78784CC5">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w:t>
                  </w:r>
                </w:p>
                <w:p w14:paraId="75E0E61A">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4.5-2〕推动工业固废按元素价值综合开发利用，加快推进尾矿（共伴生矿）、粉煤灰、煤矸石、冶炼渣、工业副产石膏、赤泥、化工废渣等工业固废在有价组分提取、建材生产、市政设施建设、井下充填、生态修复、土壤治理等领域的规模化利用。着力提升工业固废在生产纤维材料、微晶玻璃、超细化填料、低碳水泥、固废基高性能混凝土、预制件、节能型建筑材料等领域的高值化利用水平。</w:t>
                  </w:r>
                </w:p>
                <w:p w14:paraId="4CC82AAB">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p w14:paraId="1ACF13C0">
                  <w:pPr>
                    <w:pStyle w:val="227"/>
                    <w:spacing w:before="2" w:line="240" w:lineRule="auto"/>
                    <w:ind w:left="0" w:leftChars="0" w:right="35" w:firstLine="0" w:firstLineChars="0"/>
                    <w:jc w:val="both"/>
                    <w:rPr>
                      <w:rFonts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hint="eastAsia" w:ascii="Times New Roman" w:hAnsi="Times New Roman" w:eastAsia="宋体" w:cs="Times New Roman"/>
                      <w:b w:val="0"/>
                      <w:color w:val="000000" w:themeColor="text1"/>
                      <w:spacing w:val="6"/>
                      <w:sz w:val="21"/>
                      <w:szCs w:val="21"/>
                      <w14:textFill>
                        <w14:solidFill>
                          <w14:schemeClr w14:val="tx1"/>
                        </w14:solidFill>
                      </w14:textFill>
                    </w:rPr>
                    <w:t>〔A4.5-4〕发展生态种植、生态养殖，建立农业循环经济发展模式，促进农业固体废物综合利用。鼓励和引导农民采用增施有机肥秸秆还田、种植绿肥等技术，持续减少化肥农药使用比例。加大畜禽粪污和秸秆资源化利用先进技术和新型市场模式的集成推广，推动形成长效运行机制。</w:t>
                  </w:r>
                </w:p>
              </w:tc>
              <w:tc>
                <w:tcPr>
                  <w:tcW w:w="1183" w:type="pct"/>
                  <w:tcBorders>
                    <w:bottom w:val="single" w:color="000000" w:sz="12" w:space="0"/>
                    <w:tl2br w:val="nil"/>
                    <w:tr2bl w:val="nil"/>
                  </w:tcBorders>
                  <w:shd w:val="clear" w:color="auto" w:fill="FFFFFF"/>
                  <w:vAlign w:val="center"/>
                </w:tcPr>
                <w:p w14:paraId="4B2C8B62">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pacing w:val="6"/>
                      <w:sz w:val="21"/>
                      <w:szCs w:val="21"/>
                      <w:lang w:val="en-US" w:eastAsia="zh-CN"/>
                      <w14:textFill>
                        <w14:solidFill>
                          <w14:schemeClr w14:val="tx1"/>
                        </w14:solidFill>
                      </w14:textFill>
                    </w:rPr>
                    <w:t>1.</w:t>
                  </w:r>
                  <w:r>
                    <w:rPr>
                      <w:rFonts w:hint="eastAsia" w:ascii="Times New Roman" w:hAnsi="Times New Roman" w:eastAsia="宋体" w:cs="Times New Roman"/>
                      <w:b w:val="0"/>
                      <w:color w:val="000000" w:themeColor="text1"/>
                      <w:spacing w:val="6"/>
                      <w:sz w:val="21"/>
                      <w:szCs w:val="21"/>
                      <w14:textFill>
                        <w14:solidFill>
                          <w14:schemeClr w14:val="tx1"/>
                        </w14:solidFill>
                      </w14:textFill>
                    </w:rPr>
                    <w:t>项目落实用水定额管控，生产水洗废水经</w:t>
                  </w:r>
                  <w:r>
                    <w:rPr>
                      <w:rFonts w:hint="eastAsia" w:ascii="Times New Roman" w:hAnsi="Times New Roman" w:eastAsia="宋体" w:cs="Times New Roman"/>
                      <w:b w:val="0"/>
                      <w:color w:val="000000" w:themeColor="text1"/>
                      <w:spacing w:val="6"/>
                      <w:sz w:val="21"/>
                      <w:szCs w:val="21"/>
                      <w:lang w:val="en-US" w:eastAsia="zh-CN"/>
                      <w14:textFill>
                        <w14:solidFill>
                          <w14:schemeClr w14:val="tx1"/>
                        </w14:solidFill>
                      </w14:textFill>
                    </w:rPr>
                    <w:t>沉淀</w:t>
                  </w:r>
                  <w:r>
                    <w:rPr>
                      <w:rFonts w:hint="eastAsia" w:ascii="Times New Roman" w:hAnsi="Times New Roman" w:eastAsia="宋体" w:cs="Times New Roman"/>
                      <w:b w:val="0"/>
                      <w:color w:val="000000" w:themeColor="text1"/>
                      <w:spacing w:val="6"/>
                      <w:sz w:val="21"/>
                      <w:szCs w:val="21"/>
                      <w14:textFill>
                        <w14:solidFill>
                          <w14:schemeClr w14:val="tx1"/>
                        </w14:solidFill>
                      </w14:textFill>
                    </w:rPr>
                    <w:t>后100%闭路循环回用，不新增新鲜水消耗，助力区域用水总量管控；生产不取用地下水，无地下水取水许可需求，不突破地下水总量、水位管控要求，同步提升再生水循环利用水平，符合水资源管控相关条款</w:t>
                  </w:r>
                  <w:r>
                    <w:rPr>
                      <w:rFonts w:hint="eastAsia" w:ascii="Times New Roman" w:hAnsi="Times New Roman" w:eastAsia="宋体" w:cs="Times New Roman"/>
                      <w:b w:val="0"/>
                      <w:color w:val="000000" w:themeColor="text1"/>
                      <w:spacing w:val="6"/>
                      <w:sz w:val="21"/>
                      <w:szCs w:val="21"/>
                      <w:lang w:eastAsia="zh-CN"/>
                      <w14:textFill>
                        <w14:solidFill>
                          <w14:schemeClr w14:val="tx1"/>
                        </w14:solidFill>
                      </w14:textFill>
                    </w:rPr>
                    <w:t>。</w:t>
                  </w:r>
                </w:p>
                <w:p w14:paraId="17C7A07D">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lang w:val="en-US" w:eastAsia="zh-CN"/>
                      <w14:textFill>
                        <w14:solidFill>
                          <w14:schemeClr w14:val="tx1"/>
                        </w14:solidFill>
                      </w14:textFill>
                    </w:rPr>
                    <w:t>2.</w:t>
                  </w:r>
                  <w:r>
                    <w:rPr>
                      <w:rFonts w:hint="eastAsia" w:ascii="Times New Roman" w:hAnsi="Times New Roman" w:eastAsia="宋体" w:cs="Times New Roman"/>
                      <w:b w:val="0"/>
                      <w:color w:val="000000" w:themeColor="text1"/>
                      <w:spacing w:val="6"/>
                      <w:sz w:val="21"/>
                      <w:szCs w:val="21"/>
                      <w14:textFill>
                        <w14:solidFill>
                          <w14:schemeClr w14:val="tx1"/>
                        </w14:solidFill>
                      </w14:textFill>
                    </w:rPr>
                    <w:t>本项目为</w:t>
                  </w:r>
                  <w:r>
                    <w:rPr>
                      <w:rFonts w:hint="eastAsia" w:ascii="Times New Roman" w:hAnsi="Times New Roman" w:eastAsia="宋体" w:cs="Times New Roman"/>
                      <w:b w:val="0"/>
                      <w:color w:val="000000" w:themeColor="text1"/>
                      <w:spacing w:val="6"/>
                      <w:sz w:val="21"/>
                      <w:szCs w:val="21"/>
                      <w:lang w:val="en-US" w:eastAsia="zh-CN"/>
                      <w14:textFill>
                        <w14:solidFill>
                          <w14:schemeClr w14:val="tx1"/>
                        </w14:solidFill>
                      </w14:textFill>
                    </w:rPr>
                    <w:t>砂厂</w:t>
                  </w:r>
                  <w:r>
                    <w:rPr>
                      <w:rFonts w:hint="eastAsia" w:ascii="Times New Roman" w:hAnsi="Times New Roman" w:eastAsia="宋体" w:cs="Times New Roman"/>
                      <w:b w:val="0"/>
                      <w:color w:val="000000" w:themeColor="text1"/>
                      <w:spacing w:val="6"/>
                      <w:sz w:val="21"/>
                      <w:szCs w:val="21"/>
                      <w14:textFill>
                        <w14:solidFill>
                          <w14:schemeClr w14:val="tx1"/>
                        </w14:solidFill>
                      </w14:textFill>
                    </w:rPr>
                    <w:t>固废加工扩建项目，不涉及农村水利、农村供水工程建设，本条管控内容对本项目无约束，不存在冲突。</w:t>
                  </w:r>
                </w:p>
                <w:p w14:paraId="4C45949C">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14:textFill>
                        <w14:solidFill>
                          <w14:schemeClr w14:val="tx1"/>
                        </w14:solidFill>
                      </w14:textFill>
                    </w:rPr>
                  </w:pPr>
                  <w:r>
                    <w:rPr>
                      <w:rFonts w:hint="eastAsia" w:ascii="Times New Roman" w:hAnsi="Times New Roman" w:eastAsia="宋体" w:cs="Times New Roman"/>
                      <w:b w:val="0"/>
                      <w:color w:val="000000" w:themeColor="text1"/>
                      <w:spacing w:val="6"/>
                      <w:sz w:val="21"/>
                      <w:szCs w:val="21"/>
                      <w:lang w:val="en-US" w:eastAsia="zh-CN"/>
                      <w14:textFill>
                        <w14:solidFill>
                          <w14:schemeClr w14:val="tx1"/>
                        </w14:solidFill>
                      </w14:textFill>
                    </w:rPr>
                    <w:t>3.</w:t>
                  </w:r>
                  <w:r>
                    <w:rPr>
                      <w:rFonts w:hint="eastAsia" w:ascii="Times New Roman" w:hAnsi="Times New Roman" w:eastAsia="宋体" w:cs="Times New Roman"/>
                      <w:b w:val="0"/>
                      <w:color w:val="000000" w:themeColor="text1"/>
                      <w:spacing w:val="6"/>
                      <w:sz w:val="21"/>
                      <w:szCs w:val="21"/>
                      <w14:textFill>
                        <w14:solidFill>
                          <w14:schemeClr w14:val="tx1"/>
                        </w14:solidFill>
                      </w14:textFill>
                    </w:rPr>
                    <w:t>项目选用低能耗破碎、筛分、水洗设备，无燃煤锅炉、工业炉窑，全部采用电能生产，使用清洁能源，不消耗煤炭等高污染燃料；持续实施节能降耗清洁生产，减少能源消耗与二氧化碳排放，助力区域能耗双控、碳达峰碳中和目标完成，符合能耗与低碳管控要求。</w:t>
                  </w:r>
                </w:p>
                <w:p w14:paraId="264FAC3E">
                  <w:pPr>
                    <w:pStyle w:val="227"/>
                    <w:spacing w:before="2" w:line="240" w:lineRule="auto"/>
                    <w:ind w:left="0" w:leftChars="0" w:right="35" w:firstLine="0" w:firstLineChars="0"/>
                    <w:jc w:val="both"/>
                    <w:rPr>
                      <w:rFonts w:hint="eastAsia" w:ascii="Times New Roman" w:hAnsi="Times New Roman" w:eastAsia="宋体" w:cs="Times New Roman"/>
                      <w:b w:val="0"/>
                      <w:color w:val="000000" w:themeColor="text1"/>
                      <w:spacing w:val="6"/>
                      <w:sz w:val="21"/>
                      <w:szCs w:val="21"/>
                      <w:lang w:eastAsia="zh-CN"/>
                      <w14:textFill>
                        <w14:solidFill>
                          <w14:schemeClr w14:val="tx1"/>
                        </w14:solidFill>
                      </w14:textFill>
                    </w:rPr>
                  </w:pPr>
                  <w:r>
                    <w:rPr>
                      <w:rFonts w:hint="eastAsia" w:ascii="Times New Roman" w:hAnsi="Times New Roman" w:eastAsia="宋体" w:cs="Times New Roman"/>
                      <w:b w:val="0"/>
                      <w:color w:val="000000" w:themeColor="text1"/>
                      <w:spacing w:val="6"/>
                      <w:sz w:val="21"/>
                      <w:szCs w:val="21"/>
                      <w:lang w:val="en-US" w:eastAsia="zh-CN"/>
                      <w14:textFill>
                        <w14:solidFill>
                          <w14:schemeClr w14:val="tx1"/>
                        </w14:solidFill>
                      </w14:textFill>
                    </w:rPr>
                    <w:t>4.</w:t>
                  </w:r>
                  <w:r>
                    <w:rPr>
                      <w:rFonts w:hint="eastAsia" w:ascii="Times New Roman" w:hAnsi="Times New Roman" w:eastAsia="宋体" w:cs="Times New Roman"/>
                      <w:b w:val="0"/>
                      <w:color w:val="000000" w:themeColor="text1"/>
                      <w:spacing w:val="6"/>
                      <w:sz w:val="21"/>
                      <w:szCs w:val="21"/>
                      <w14:textFill>
                        <w14:solidFill>
                          <w14:schemeClr w14:val="tx1"/>
                        </w14:solidFill>
                      </w14:textFill>
                    </w:rPr>
                    <w:t>项目生产无锅炉、炉窑等高污染燃料燃烧设施，不销售、不燃用高污染燃料，完全满足禁燃区管控要求</w:t>
                  </w:r>
                  <w:r>
                    <w:rPr>
                      <w:rFonts w:hint="eastAsia" w:ascii="Times New Roman" w:hAnsi="Times New Roman" w:eastAsia="宋体" w:cs="Times New Roman"/>
                      <w:b w:val="0"/>
                      <w:color w:val="000000" w:themeColor="text1"/>
                      <w:spacing w:val="6"/>
                      <w:sz w:val="21"/>
                      <w:szCs w:val="21"/>
                      <w:lang w:eastAsia="zh-CN"/>
                      <w14:textFill>
                        <w14:solidFill>
                          <w14:schemeClr w14:val="tx1"/>
                        </w14:solidFill>
                      </w14:textFill>
                    </w:rPr>
                    <w:t>。</w:t>
                  </w:r>
                </w:p>
                <w:p w14:paraId="704F59FC">
                  <w:pPr>
                    <w:pStyle w:val="227"/>
                    <w:spacing w:before="2" w:line="240" w:lineRule="auto"/>
                    <w:ind w:left="0" w:leftChars="0" w:right="35" w:firstLine="0" w:firstLineChars="0"/>
                    <w:jc w:val="both"/>
                    <w:rPr>
                      <w:rFonts w:hint="default" w:ascii="Times New Roman" w:hAnsi="Times New Roman" w:eastAsia="宋体" w:cs="宋体"/>
                      <w:b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color w:val="000000" w:themeColor="text1"/>
                      <w:spacing w:val="6"/>
                      <w:sz w:val="21"/>
                      <w:szCs w:val="21"/>
                      <w:lang w:val="en-US" w:eastAsia="zh-CN"/>
                      <w14:textFill>
                        <w14:solidFill>
                          <w14:schemeClr w14:val="tx1"/>
                        </w14:solidFill>
                      </w14:textFill>
                    </w:rPr>
                    <w:t>5.</w:t>
                  </w:r>
                  <w:r>
                    <w:rPr>
                      <w:rFonts w:hint="eastAsia" w:ascii="Times New Roman" w:hAnsi="Times New Roman" w:eastAsia="宋体" w:cs="Times New Roman"/>
                      <w:b w:val="0"/>
                      <w:color w:val="000000" w:themeColor="text1"/>
                      <w:spacing w:val="6"/>
                      <w:sz w:val="21"/>
                      <w:szCs w:val="21"/>
                      <w14:textFill>
                        <w14:solidFill>
                          <w14:schemeClr w14:val="tx1"/>
                        </w14:solidFill>
                      </w14:textFill>
                    </w:rPr>
                    <w:t>本项目以</w:t>
                  </w:r>
                  <w:r>
                    <w:rPr>
                      <w:rFonts w:hint="eastAsia" w:ascii="Times New Roman" w:hAnsi="Times New Roman" w:eastAsia="宋体" w:cs="Times New Roman"/>
                      <w:b w:val="0"/>
                      <w:color w:val="000000" w:themeColor="text1"/>
                      <w:spacing w:val="6"/>
                      <w:sz w:val="21"/>
                      <w:szCs w:val="21"/>
                      <w:lang w:val="en-US" w:eastAsia="zh-CN"/>
                      <w14:textFill>
                        <w14:solidFill>
                          <w14:schemeClr w14:val="tx1"/>
                        </w14:solidFill>
                      </w14:textFill>
                    </w:rPr>
                    <w:t>砂厂固废</w:t>
                  </w:r>
                  <w:r>
                    <w:rPr>
                      <w:rFonts w:hint="eastAsia" w:ascii="Times New Roman" w:hAnsi="Times New Roman" w:eastAsia="宋体" w:cs="Times New Roman"/>
                      <w:b w:val="0"/>
                      <w:color w:val="000000" w:themeColor="text1"/>
                      <w:spacing w:val="6"/>
                      <w:sz w:val="21"/>
                      <w:szCs w:val="21"/>
                      <w14:textFill>
                        <w14:solidFill>
                          <w14:schemeClr w14:val="tx1"/>
                        </w14:solidFill>
                      </w14:textFill>
                    </w:rPr>
                    <w:t>为原料加工再生砂石骨料，属于大宗工业固废规模化、高值化建材利用范畴，契合自治区推进</w:t>
                  </w:r>
                  <w:r>
                    <w:rPr>
                      <w:rFonts w:hint="eastAsia" w:ascii="Times New Roman" w:hAnsi="Times New Roman" w:eastAsia="宋体" w:cs="Times New Roman"/>
                      <w:b w:val="0"/>
                      <w:color w:val="000000" w:themeColor="text1"/>
                      <w:spacing w:val="6"/>
                      <w:sz w:val="21"/>
                      <w:szCs w:val="21"/>
                      <w:lang w:val="en-US" w:eastAsia="zh-CN"/>
                      <w14:textFill>
                        <w14:solidFill>
                          <w14:schemeClr w14:val="tx1"/>
                        </w14:solidFill>
                      </w14:textFill>
                    </w:rPr>
                    <w:t>固废</w:t>
                  </w:r>
                  <w:r>
                    <w:rPr>
                      <w:rFonts w:hint="eastAsia" w:ascii="Times New Roman" w:hAnsi="Times New Roman" w:eastAsia="宋体" w:cs="Times New Roman"/>
                      <w:b w:val="0"/>
                      <w:color w:val="000000" w:themeColor="text1"/>
                      <w:spacing w:val="6"/>
                      <w:sz w:val="21"/>
                      <w:szCs w:val="21"/>
                      <w14:textFill>
                        <w14:solidFill>
                          <w14:schemeClr w14:val="tx1"/>
                        </w14:solidFill>
                      </w14:textFill>
                    </w:rPr>
                    <w:t>综合利用、构建循环利用体系、推行无废生产的政策导向，从源头实现固废减量，无需填埋处置，符合固废循环利用全部管控要求。</w:t>
                  </w:r>
                </w:p>
              </w:tc>
              <w:tc>
                <w:tcPr>
                  <w:tcW w:w="353" w:type="pct"/>
                  <w:tcBorders>
                    <w:bottom w:val="single" w:color="000000" w:sz="12" w:space="0"/>
                    <w:tl2br w:val="nil"/>
                    <w:tr2bl w:val="nil"/>
                  </w:tcBorders>
                  <w:shd w:val="clear" w:color="auto" w:fill="FFFFFF"/>
                  <w:vAlign w:val="center"/>
                </w:tcPr>
                <w:p w14:paraId="2DBB78E3">
                  <w:pPr>
                    <w:pStyle w:val="2"/>
                    <w:keepNext w:val="0"/>
                    <w:keepLines w:val="0"/>
                    <w:pageBreakBefore w:val="0"/>
                    <w:widowControl w:val="0"/>
                    <w:kinsoku/>
                    <w:wordWrap/>
                    <w:overflowPunct/>
                    <w:topLinePunct w:val="0"/>
                    <w:autoSpaceDE/>
                    <w:autoSpaceDN/>
                    <w:bidi w:val="0"/>
                    <w:snapToGrid w:val="0"/>
                    <w:spacing w:before="0" w:beforeLines="0" w:after="0" w:afterLines="0" w:line="240" w:lineRule="auto"/>
                    <w:textAlignment w:val="auto"/>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ascii="Times New Roman" w:hAnsi="Times New Roman" w:eastAsia="宋体"/>
                      <w:b w:val="0"/>
                      <w:color w:val="000000" w:themeColor="text1"/>
                      <w:sz w:val="21"/>
                      <w:szCs w:val="21"/>
                      <w:lang w:val="en-US" w:eastAsia="zh-CN"/>
                      <w14:textFill>
                        <w14:solidFill>
                          <w14:schemeClr w14:val="tx1"/>
                        </w14:solidFill>
                      </w14:textFill>
                    </w:rPr>
                    <w:t>符合</w:t>
                  </w:r>
                </w:p>
              </w:tc>
            </w:tr>
          </w:tbl>
          <w:p w14:paraId="12C504F5">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综上所述，本项目的建设符合</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《关于发布昌吉回族自治州生态环境分区管控动态更新成果的公告》要求。</w:t>
            </w:r>
          </w:p>
          <w:p w14:paraId="742FD64A">
            <w:pPr>
              <w:keepNext w:val="0"/>
              <w:keepLines w:val="0"/>
              <w:widowControl/>
              <w:suppressLineNumbers w:val="0"/>
              <w:jc w:val="left"/>
              <w:rPr>
                <w:rFonts w:hint="eastAsia"/>
                <w:b/>
                <w:bCs/>
                <w:color w:val="000000" w:themeColor="text1"/>
                <w:kern w:val="2"/>
                <w:sz w:val="24"/>
                <w:szCs w:val="24"/>
                <w:lang w:val="en-US" w:eastAsia="zh-CN"/>
                <w14:textFill>
                  <w14:solidFill>
                    <w14:schemeClr w14:val="tx1"/>
                  </w14:solidFill>
                </w14:textFill>
              </w:rPr>
            </w:pPr>
            <w:r>
              <w:rPr>
                <w:rFonts w:hint="eastAsia"/>
                <w:b/>
                <w:bCs/>
                <w:color w:val="000000" w:themeColor="text1"/>
                <w:kern w:val="2"/>
                <w:sz w:val="24"/>
                <w:szCs w:val="24"/>
                <w:lang w:val="en-US" w:eastAsia="zh-CN"/>
                <w14:textFill>
                  <w14:solidFill>
                    <w14:schemeClr w14:val="tx1"/>
                  </w14:solidFill>
                </w14:textFill>
              </w:rPr>
              <w:t>（四）与《新疆生态环境保护“十四五”规划》符合性分析</w:t>
            </w:r>
          </w:p>
          <w:p w14:paraId="04B0C3CA">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本项目与《新疆生态环境保护“十四五”规划》相关内容的符合性分析如下，规划要求：</w:t>
            </w:r>
          </w:p>
          <w:p w14:paraId="6D3D1451">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1）实施最严格的生态保护制度。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落实最严格的水资源管理制度，科学确定水资源承载能力，严格实行区域用水总量和强度控制，强化节水约束性指标管理</w:t>
            </w:r>
            <w:r>
              <w:rPr>
                <w:rFonts w:hint="eastAsia" w:ascii="Times New Roman" w:hAnsi="Times New Roman" w:cs="宋体"/>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强化地下水超采治理。</w:t>
            </w:r>
          </w:p>
          <w:p w14:paraId="25EFBA25">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本项目</w:t>
            </w:r>
            <w:r>
              <w:rPr>
                <w:rFonts w:hint="eastAsia" w:cs="宋体"/>
                <w:color w:val="000000" w:themeColor="text1"/>
                <w:kern w:val="0"/>
                <w:sz w:val="24"/>
                <w:szCs w:val="24"/>
                <w:lang w:val="en-US" w:eastAsia="zh-CN" w:bidi="ar"/>
                <w14:textFill>
                  <w14:solidFill>
                    <w14:schemeClr w14:val="tx1"/>
                  </w14:solidFill>
                </w14:textFill>
              </w:rPr>
              <w:t>不属于“两高”项目</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，废水循环回用，不取用地下水，符合最严生态及水资源管控要求。</w:t>
            </w:r>
          </w:p>
          <w:p w14:paraId="08B4E21C">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w:t>
            </w:r>
            <w:r>
              <w:rPr>
                <w:rFonts w:hint="eastAsia" w:cs="宋体"/>
                <w:color w:val="000000" w:themeColor="text1"/>
                <w:kern w:val="0"/>
                <w:sz w:val="24"/>
                <w:szCs w:val="24"/>
                <w:lang w:val="en-US" w:eastAsia="zh-CN" w:bidi="ar"/>
                <w14:textFill>
                  <w14:solidFill>
                    <w14:schemeClr w14:val="tx1"/>
                  </w14:solidFill>
                </w14:textFill>
              </w:rPr>
              <w:t>2</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深入推进重点区域大气污染治理。深入推进“乌—昌—石”“奎—独—乌”和伊宁市及周边区域大气污染治理，加快推进“乌—昌—石”区域城市细颗粒物和臭氧协同防控“一市一策”驻点跟踪研究工作。强化区域大气污染联防联控，合理确定产业布局，推动区域内统一产业准入和排放标准。实施钢铁、水泥、焦化等行业季节性生产调控措施，推进散煤整治、挥发性有机污染物</w:t>
            </w:r>
            <w:r>
              <w:rPr>
                <w:rFonts w:hint="eastAsia" w:cs="宋体"/>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以下简称“VOCs”</w:t>
            </w:r>
            <w:r>
              <w:rPr>
                <w:rFonts w:hint="eastAsia" w:cs="宋体"/>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综合治理、钢铁、水泥、焦化和燃煤工业锅炉行业超低排放改造、燃气锅炉低氮燃烧改造、工业园区内轨道运输</w:t>
            </w:r>
            <w:r>
              <w:rPr>
                <w:rFonts w:hint="eastAsia" w:cs="宋体"/>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大宗货物“公转铁”</w:t>
            </w:r>
            <w:r>
              <w:rPr>
                <w:rFonts w:hint="eastAsia" w:cs="宋体"/>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、柴油货车治理、锅炉炉窑综合治理等工程项目。全面推行绿色施工，持续推动城市建成区重污染企业搬迁或关闭退出。</w:t>
            </w:r>
          </w:p>
          <w:p w14:paraId="79ACFAB7">
            <w:pPr>
              <w:keepNext w:val="0"/>
              <w:keepLines w:val="0"/>
              <w:widowControl/>
              <w:suppressLineNumbers w:val="0"/>
              <w:jc w:val="left"/>
              <w:rPr>
                <w:rFonts w:ascii="宋体" w:hAnsi="宋体" w:eastAsia="宋体" w:cs="宋体"/>
                <w:color w:val="000000" w:themeColor="text1"/>
                <w:sz w:val="24"/>
                <w:szCs w:val="24"/>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本</w:t>
            </w:r>
            <w:r>
              <w:rPr>
                <w:rFonts w:hint="eastAsia" w:cs="宋体"/>
                <w:color w:val="000000" w:themeColor="text1"/>
                <w:kern w:val="0"/>
                <w:sz w:val="24"/>
                <w:szCs w:val="24"/>
                <w:lang w:val="en-US" w:eastAsia="zh-CN" w:bidi="ar"/>
                <w14:textFill>
                  <w14:solidFill>
                    <w14:schemeClr w14:val="tx1"/>
                  </w14:solidFill>
                </w14:textFill>
              </w:rPr>
              <w:t>项目</w:t>
            </w:r>
            <w:r>
              <w:rPr>
                <w:rFonts w:ascii="宋体" w:hAnsi="宋体" w:eastAsia="宋体" w:cs="宋体"/>
                <w:color w:val="000000" w:themeColor="text1"/>
                <w:sz w:val="24"/>
                <w:szCs w:val="24"/>
                <w14:textFill>
                  <w14:solidFill>
                    <w14:schemeClr w14:val="tx1"/>
                  </w14:solidFill>
                </w14:textFill>
              </w:rPr>
              <w:t>地处乌昌石联防区，无</w:t>
            </w:r>
            <w:r>
              <w:rPr>
                <w:rFonts w:ascii="Times New Roman" w:hAnsi="Times New Roman" w:eastAsia="宋体" w:cs="宋体"/>
                <w:color w:val="000000" w:themeColor="text1"/>
                <w:sz w:val="24"/>
                <w:szCs w:val="24"/>
                <w14:textFill>
                  <w14:solidFill>
                    <w14:schemeClr w14:val="tx1"/>
                  </w14:solidFill>
                </w14:textFill>
              </w:rPr>
              <w:t>VOCs</w:t>
            </w:r>
            <w:r>
              <w:rPr>
                <w:rFonts w:ascii="宋体" w:hAnsi="宋体" w:eastAsia="宋体" w:cs="宋体"/>
                <w:color w:val="000000" w:themeColor="text1"/>
                <w:sz w:val="24"/>
                <w:szCs w:val="24"/>
                <w14:textFill>
                  <w14:solidFill>
                    <w14:schemeClr w14:val="tx1"/>
                  </w14:solidFill>
                </w14:textFill>
              </w:rPr>
              <w:t>产生，配套抑尘设施，落实错峰减排，不在建成区，符合区域大气治理管控要求。</w:t>
            </w:r>
          </w:p>
          <w:p w14:paraId="74E65FA3">
            <w:pPr>
              <w:pStyle w:val="4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b w:val="0"/>
                <w:bCs w:val="0"/>
                <w:color w:val="000000" w:themeColor="text1"/>
                <w:kern w:val="2"/>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综上所述，本项目符合</w:t>
            </w:r>
            <w:r>
              <w:rPr>
                <w:rFonts w:hint="eastAsia"/>
                <w:b w:val="0"/>
                <w:bCs w:val="0"/>
                <w:color w:val="000000" w:themeColor="text1"/>
                <w:kern w:val="2"/>
                <w:sz w:val="24"/>
                <w:szCs w:val="24"/>
                <w:lang w:val="en-US" w:eastAsia="zh-CN"/>
                <w14:textFill>
                  <w14:solidFill>
                    <w14:schemeClr w14:val="tx1"/>
                  </w14:solidFill>
                </w14:textFill>
              </w:rPr>
              <w:t>《新疆生态环境保护“十四五”规划》相关管控要求。</w:t>
            </w:r>
          </w:p>
          <w:p w14:paraId="38743D20">
            <w:pPr>
              <w:keepNext w:val="0"/>
              <w:keepLines w:val="0"/>
              <w:pageBreakBefore w:val="0"/>
              <w:widowControl/>
              <w:suppressLineNumbers w:val="0"/>
              <w:kinsoku/>
              <w:overflowPunct/>
              <w:topLinePunct w:val="0"/>
              <w:autoSpaceDE/>
              <w:autoSpaceDN/>
              <w:bidi w:val="0"/>
              <w:spacing w:afterAutospacing="0"/>
              <w:jc w:val="left"/>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（五）与《国务院关于印发</w:t>
            </w:r>
            <w:r>
              <w:rPr>
                <w:rFonts w:hint="eastAsia" w:cs="Times New Roman"/>
                <w:b/>
                <w:bCs/>
                <w:color w:val="000000" w:themeColor="text1"/>
                <w:kern w:val="2"/>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空气质量持续改善行动计划</w:t>
            </w:r>
            <w:r>
              <w:rPr>
                <w:rFonts w:hint="eastAsia" w:cs="Times New Roman"/>
                <w:b/>
                <w:bCs/>
                <w:color w:val="000000" w:themeColor="text1"/>
                <w:kern w:val="2"/>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的通知》</w:t>
            </w:r>
            <w:r>
              <w:rPr>
                <w:rFonts w:hint="eastAsia" w:cs="Times New Roman"/>
                <w:b/>
                <w:bCs/>
                <w:color w:val="000000" w:themeColor="text1"/>
                <w:kern w:val="2"/>
                <w:sz w:val="24"/>
                <w:szCs w:val="24"/>
                <w:lang w:val="en-US" w:eastAsia="zh-CN"/>
                <w14:textFill>
                  <w14:solidFill>
                    <w14:schemeClr w14:val="tx1"/>
                  </w14:solidFill>
                </w14:textFill>
              </w:rPr>
              <w:t>（</w:t>
            </w: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国发</w:t>
            </w:r>
            <w:r>
              <w:rPr>
                <w:rFonts w:hint="eastAsia" w:cs="Times New Roman"/>
                <w:b/>
                <w:bCs/>
                <w:color w:val="000000" w:themeColor="text1"/>
                <w:kern w:val="2"/>
                <w:sz w:val="24"/>
                <w:szCs w:val="24"/>
                <w:lang w:val="en-US" w:eastAsia="zh-CN"/>
                <w14:textFill>
                  <w14:solidFill>
                    <w14:schemeClr w14:val="tx1"/>
                  </w14:solidFill>
                </w14:textFill>
              </w:rPr>
              <w:t>〔2023〕24号）</w:t>
            </w: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符合性分析</w:t>
            </w:r>
          </w:p>
          <w:p w14:paraId="5DF2C357">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right="0" w:firstLine="0"/>
              <w:textAlignment w:val="baseline"/>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《国务院关于印发</w:t>
            </w:r>
            <w:r>
              <w:rPr>
                <w:rFonts w:hint="eastAsia" w:ascii="Times New Roman" w:hAnsi="Times New Roman" w:cs="Times New Roman"/>
                <w:b w:val="0"/>
                <w:bCs w:val="0"/>
                <w:color w:val="000000" w:themeColor="text1"/>
                <w:kern w:val="2"/>
                <w:sz w:val="24"/>
                <w:szCs w:val="24"/>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空气质量持续改善行动计划</w:t>
            </w:r>
            <w:r>
              <w:rPr>
                <w:rFonts w:hint="eastAsia" w:ascii="Times New Roman" w:hAnsi="Times New Roman" w:cs="Times New Roman"/>
                <w:b w:val="0"/>
                <w:bCs w:val="0"/>
                <w:color w:val="000000" w:themeColor="text1"/>
                <w:kern w:val="2"/>
                <w:sz w:val="24"/>
                <w:szCs w:val="24"/>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的通知》</w:t>
            </w:r>
            <w:r>
              <w:rPr>
                <w:rFonts w:hint="eastAsia" w:ascii="Times New Roman" w:hAnsi="Times New Roman" w:cs="Times New Roman"/>
                <w:b w:val="0"/>
                <w:bCs w:val="0"/>
                <w:color w:val="000000" w:themeColor="text1"/>
                <w:kern w:val="2"/>
                <w:sz w:val="24"/>
                <w:szCs w:val="24"/>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国发</w:t>
            </w:r>
            <w:r>
              <w:rPr>
                <w:rFonts w:hint="eastAsia" w:ascii="Times New Roman" w:hAnsi="Times New Roman" w:cs="Times New Roman"/>
                <w:b w:val="0"/>
                <w:bCs w:val="0"/>
                <w:color w:val="000000" w:themeColor="text1"/>
                <w:kern w:val="2"/>
                <w:sz w:val="24"/>
                <w:szCs w:val="24"/>
                <w:lang w:val="en-US" w:eastAsia="zh-CN"/>
                <w14:textFill>
                  <w14:solidFill>
                    <w14:schemeClr w14:val="tx1"/>
                  </w14:solidFill>
                </w14:textFill>
              </w:rPr>
              <w:t>〔2023〕24号）</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中要求：</w:t>
            </w:r>
          </w:p>
          <w:p w14:paraId="3B37B2A8">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right="0" w:firstLine="0"/>
              <w:textAlignment w:val="baseline"/>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五、强化面源污染治理，提升精细化管理水平</w:t>
            </w:r>
          </w:p>
          <w:p w14:paraId="38E184D5">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right="0" w:firstLine="0"/>
              <w:textAlignment w:val="baseline"/>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（十八）</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深化扬尘污染综合治理。鼓励经济发达地区5000平方米及以上建筑工地安装视频监控并接入当地监管平台</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重点区域道路、水务等长距离线性工程实行分段施工。将防治扬尘污染费用纳入工程造价。到2025年，装配式建筑占新建建筑面积比例达30%</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地级及以上城市建成区道路机械化清扫率达80%左右，县城达70%左右。对城市公共裸地进行排查建档并采取防尘措施。城市大型煤炭、矿石等干散货码头物料堆场基本完成抑尘设施建设和物料输送系统封闭改造。</w:t>
            </w:r>
          </w:p>
          <w:p w14:paraId="32EBAE37">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right="0" w:firstLine="0"/>
              <w:textAlignment w:val="baseline"/>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七、加强机制建设，完善大气环境管理体系</w:t>
            </w:r>
          </w:p>
          <w:p w14:paraId="0FAF371E">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60" w:lineRule="auto"/>
              <w:ind w:left="0" w:right="0" w:firstLine="0"/>
              <w:textAlignment w:val="baseline"/>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（二十五）</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实施城市空气质量达标管理。空气质量未达标的直辖市和设区的市编制实施大气环境质量限期达标规划，明确达标路线图及重点任务，并向社会公开。推进PM</w:t>
            </w:r>
            <w:r>
              <w:rPr>
                <w:rFonts w:hint="eastAsia" w:ascii="Times New Roman" w:hAnsi="Times New Roman" w:eastAsia="宋体" w:cs="Times New Roman"/>
                <w:color w:val="000000" w:themeColor="text1"/>
                <w:kern w:val="0"/>
                <w:sz w:val="24"/>
                <w:szCs w:val="24"/>
                <w:vertAlign w:val="subscript"/>
                <w:lang w:val="en-US" w:eastAsia="zh-CN" w:bidi="ar"/>
                <w14:textFill>
                  <w14:solidFill>
                    <w14:schemeClr w14:val="tx1"/>
                  </w14:solidFill>
                </w14:textFill>
              </w:rPr>
              <w:t>2.5</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和臭氧协同控制。2020年PM</w:t>
            </w:r>
            <w:r>
              <w:rPr>
                <w:rFonts w:hint="eastAsia" w:ascii="Times New Roman" w:hAnsi="Times New Roman" w:eastAsia="宋体" w:cs="Times New Roman"/>
                <w:color w:val="000000" w:themeColor="text1"/>
                <w:kern w:val="0"/>
                <w:sz w:val="24"/>
                <w:szCs w:val="24"/>
                <w:vertAlign w:val="subscript"/>
                <w:lang w:val="en-US" w:eastAsia="zh-CN" w:bidi="ar"/>
                <w14:textFill>
                  <w14:solidFill>
                    <w14:schemeClr w14:val="tx1"/>
                  </w14:solidFill>
                </w14:textFill>
              </w:rPr>
              <w:t>2.5</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浓度低于40微克/立方米的未达标城市“十四五”期间实现达标</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其他未达标城市明确“十四五”空气质量改善阶段目标。已达标城市巩固改善空气质量。</w:t>
            </w:r>
          </w:p>
          <w:p w14:paraId="595B1E8B">
            <w:pPr>
              <w:pStyle w:val="17"/>
              <w:keepNext w:val="0"/>
              <w:keepLines w:val="0"/>
              <w:pageBreakBefore w:val="0"/>
              <w:widowControl/>
              <w:kinsoku/>
              <w:wordWrap/>
              <w:overflowPunct/>
              <w:topLinePunct w:val="0"/>
              <w:autoSpaceDE/>
              <w:autoSpaceDN/>
              <w:bidi w:val="0"/>
              <w:adjustRightInd w:val="0"/>
              <w:snapToGrid w:val="0"/>
              <w:spacing w:afterAutospacing="0" w:line="360" w:lineRule="auto"/>
              <w:ind w:firstLine="480" w:firstLineChars="200"/>
              <w:jc w:val="both"/>
              <w:textAlignment w:val="auto"/>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本项目情况：</w:t>
            </w:r>
          </w:p>
          <w:p w14:paraId="17B5A614">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本</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项目地处昌吉市，区域PM</w:t>
            </w:r>
            <w:r>
              <w:rPr>
                <w:rFonts w:hint="eastAsia" w:ascii="Times New Roman" w:hAnsi="Times New Roman" w:eastAsia="宋体" w:cs="Times New Roman"/>
                <w:color w:val="000000" w:themeColor="text1"/>
                <w:kern w:val="0"/>
                <w:sz w:val="24"/>
                <w:szCs w:val="24"/>
                <w:vertAlign w:val="subscript"/>
                <w:lang w:val="en-US" w:eastAsia="zh-CN" w:bidi="ar"/>
                <w14:textFill>
                  <w14:solidFill>
                    <w14:schemeClr w14:val="tx1"/>
                  </w14:solidFill>
                </w14:textFill>
              </w:rPr>
              <w:t>2.5</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、PM</w:t>
            </w:r>
            <w:r>
              <w:rPr>
                <w:rFonts w:hint="eastAsia" w:ascii="Times New Roman" w:hAnsi="Times New Roman" w:eastAsia="宋体" w:cs="Times New Roman"/>
                <w:color w:val="000000" w:themeColor="text1"/>
                <w:kern w:val="0"/>
                <w:sz w:val="24"/>
                <w:szCs w:val="24"/>
                <w:vertAlign w:val="subscript"/>
                <w:lang w:val="en-US" w:eastAsia="zh-CN" w:bidi="ar"/>
                <w14:textFill>
                  <w14:solidFill>
                    <w14:schemeClr w14:val="tx1"/>
                  </w14:solidFill>
                </w14:textFill>
              </w:rPr>
              <w:t>10</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超标，属于空气质量未达标区域，严格落实PM</w:t>
            </w:r>
            <w:r>
              <w:rPr>
                <w:rFonts w:hint="eastAsia" w:ascii="Times New Roman" w:hAnsi="Times New Roman" w:eastAsia="宋体" w:cs="Times New Roman"/>
                <w:color w:val="000000" w:themeColor="text1"/>
                <w:kern w:val="0"/>
                <w:sz w:val="24"/>
                <w:szCs w:val="24"/>
                <w:vertAlign w:val="subscript"/>
                <w:lang w:val="en-US" w:eastAsia="zh-CN" w:bidi="ar"/>
                <w14:textFill>
                  <w14:solidFill>
                    <w14:schemeClr w14:val="tx1"/>
                  </w14:solidFill>
                </w14:textFill>
              </w:rPr>
              <w:t>2.5</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与臭氧协同管控要求，仅产颗粒物，无VOCs、氮氧化物排放，颗粒物执行2倍减量替代。项目干散货堆场配套防风抑尘网+喷淋，皮带全封闭，扬尘治理资金纳入总投资；施工、厂区道路落实洒水、车辆冲洗抑尘，无裸露裸地，全面满足扬尘精细化治理相关规定。</w:t>
            </w:r>
          </w:p>
          <w:p w14:paraId="4DBBDF84">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综上所述。本建设项目符合</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《国务院关于印发（空气质量持续改善行动计划）的通知》（国发〔2023〕24号）中要求。</w:t>
            </w:r>
          </w:p>
          <w:p w14:paraId="4E385109">
            <w:pPr>
              <w:keepNext w:val="0"/>
              <w:keepLines w:val="0"/>
              <w:pageBreakBefore w:val="0"/>
              <w:widowControl/>
              <w:numPr>
                <w:ilvl w:val="0"/>
                <w:numId w:val="4"/>
              </w:numPr>
              <w:suppressLineNumbers w:val="0"/>
              <w:kinsoku/>
              <w:overflowPunct/>
              <w:topLinePunct w:val="0"/>
              <w:autoSpaceDE/>
              <w:autoSpaceDN/>
              <w:bidi w:val="0"/>
              <w:spacing w:afterAutospacing="0"/>
              <w:jc w:val="left"/>
              <w:rPr>
                <w:rFonts w:hint="default" w:ascii="Times New Roman" w:hAnsi="Times New Roman" w:eastAsia="宋体" w:cs="Times New Roman"/>
                <w:b/>
                <w:bCs/>
                <w:color w:val="000000" w:themeColor="text1"/>
                <w:kern w:val="2"/>
                <w:sz w:val="24"/>
                <w:szCs w:val="24"/>
                <w:lang w:val="en-US" w:eastAsia="zh-CN"/>
                <w14:textFill>
                  <w14:solidFill>
                    <w14:schemeClr w14:val="tx1"/>
                  </w14:solidFill>
                </w14:textFill>
              </w:rPr>
            </w:pPr>
            <w:r>
              <w:rPr>
                <w:rFonts w:hint="eastAsia" w:cs="Times New Roman"/>
                <w:b/>
                <w:bCs/>
                <w:color w:val="000000" w:themeColor="text1"/>
                <w:kern w:val="2"/>
                <w:sz w:val="24"/>
                <w:szCs w:val="24"/>
                <w:lang w:val="en-US" w:eastAsia="zh-CN"/>
                <w14:textFill>
                  <w14:solidFill>
                    <w14:schemeClr w14:val="tx1"/>
                  </w14:solidFill>
                </w14:textFill>
              </w:rPr>
              <w:t>与</w:t>
            </w:r>
            <w:r>
              <w:rPr>
                <w:rFonts w:hint="default" w:ascii="Times New Roman" w:hAnsi="Times New Roman" w:eastAsia="宋体" w:cs="Times New Roman"/>
                <w:b/>
                <w:bCs/>
                <w:color w:val="000000" w:themeColor="text1"/>
                <w:kern w:val="2"/>
                <w:sz w:val="24"/>
                <w:szCs w:val="24"/>
                <w:lang w:val="en-US" w:eastAsia="zh-CN"/>
                <w14:textFill>
                  <w14:solidFill>
                    <w14:schemeClr w14:val="tx1"/>
                  </w14:solidFill>
                </w14:textFill>
              </w:rPr>
              <w:t>《关于加强乌鲁木齐、昌吉、石河子、五家渠区域大气环境同防同治工作的通知》（新政办发〔2023〕29号）</w:t>
            </w:r>
            <w:r>
              <w:rPr>
                <w:rFonts w:hint="eastAsia" w:cs="Times New Roman"/>
                <w:b/>
                <w:bCs/>
                <w:color w:val="000000" w:themeColor="text1"/>
                <w:kern w:val="2"/>
                <w:sz w:val="24"/>
                <w:szCs w:val="24"/>
                <w:lang w:val="en-US" w:eastAsia="zh-CN"/>
                <w14:textFill>
                  <w14:solidFill>
                    <w14:schemeClr w14:val="tx1"/>
                  </w14:solidFill>
                </w14:textFill>
              </w:rPr>
              <w:t>符合性分析</w:t>
            </w:r>
          </w:p>
          <w:p w14:paraId="0B542056">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《关于加强乌鲁木齐、昌吉、石河子、五家渠区域大气环境同防同治工作的通知》（新政办发〔2023〕29号）</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要求：</w:t>
            </w:r>
            <w:r>
              <w:rPr>
                <w:rFonts w:ascii="Times New Roman" w:hAnsi="Times New Roman" w:eastAsia="宋体" w:cs="Times New Roman"/>
                <w:color w:val="000000" w:themeColor="text1"/>
                <w:sz w:val="24"/>
                <w:szCs w:val="24"/>
                <w14:textFill>
                  <w14:solidFill>
                    <w14:schemeClr w14:val="tx1"/>
                  </w14:solidFill>
                </w14:textFill>
              </w:rPr>
              <w:t>乌</w:t>
            </w:r>
            <w:r>
              <w:rPr>
                <w:rFonts w:ascii="Times New Roman" w:hAnsi="Times New Roman" w:eastAsia="宋体" w:cs="Times New Roman"/>
                <w:color w:val="000000" w:themeColor="text1"/>
                <w:sz w:val="24"/>
                <w:szCs w:val="24"/>
                <w14:textFill>
                  <w14:solidFill>
                    <w14:schemeClr w14:val="tx1"/>
                  </w14:solidFill>
                </w14:textFill>
              </w:rPr>
              <w:noBreakHyphen/>
            </w:r>
            <w:r>
              <w:rPr>
                <w:rFonts w:ascii="Times New Roman" w:hAnsi="Times New Roman" w:eastAsia="宋体" w:cs="Times New Roman"/>
                <w:color w:val="000000" w:themeColor="text1"/>
                <w:sz w:val="24"/>
                <w:szCs w:val="24"/>
                <w14:textFill>
                  <w14:solidFill>
                    <w14:schemeClr w14:val="tx1"/>
                  </w14:solidFill>
                </w14:textFill>
              </w:rPr>
              <w:t>昌</w:t>
            </w:r>
            <w:r>
              <w:rPr>
                <w:rFonts w:ascii="Times New Roman" w:hAnsi="Times New Roman" w:eastAsia="宋体" w:cs="Times New Roman"/>
                <w:color w:val="000000" w:themeColor="text1"/>
                <w:sz w:val="24"/>
                <w:szCs w:val="24"/>
                <w14:textFill>
                  <w14:solidFill>
                    <w14:schemeClr w14:val="tx1"/>
                  </w14:solidFill>
                </w14:textFill>
              </w:rPr>
              <w:noBreakHyphen/>
            </w:r>
            <w:r>
              <w:rPr>
                <w:rFonts w:ascii="Times New Roman" w:hAnsi="Times New Roman" w:eastAsia="宋体" w:cs="Times New Roman"/>
                <w:color w:val="000000" w:themeColor="text1"/>
                <w:sz w:val="24"/>
                <w:szCs w:val="24"/>
                <w14:textFill>
                  <w14:solidFill>
                    <w14:schemeClr w14:val="tx1"/>
                  </w14:solidFill>
                </w14:textFill>
              </w:rPr>
              <w:t>石</w:t>
            </w:r>
            <w:r>
              <w:rPr>
                <w:rFonts w:ascii="Times New Roman" w:hAnsi="Times New Roman" w:eastAsia="宋体" w:cs="Times New Roman"/>
                <w:color w:val="000000" w:themeColor="text1"/>
                <w:sz w:val="24"/>
                <w:szCs w:val="24"/>
                <w14:textFill>
                  <w14:solidFill>
                    <w14:schemeClr w14:val="tx1"/>
                  </w14:solidFill>
                </w14:textFill>
              </w:rPr>
              <w:noBreakHyphen/>
            </w:r>
            <w:r>
              <w:rPr>
                <w:rFonts w:ascii="Times New Roman" w:hAnsi="Times New Roman" w:eastAsia="宋体" w:cs="Times New Roman"/>
                <w:color w:val="000000" w:themeColor="text1"/>
                <w:sz w:val="24"/>
                <w:szCs w:val="24"/>
                <w14:textFill>
                  <w14:solidFill>
                    <w14:schemeClr w14:val="tx1"/>
                  </w14:solidFill>
                </w14:textFill>
              </w:rPr>
              <w:t>五家渠同防同治区域，新建、改扩建涉气项目需严格执行大气污染物特别排放限值，生态环境部门严格项目审批，落实“三同时”制度；现有企业按规定时限执行颗粒物、二氧化硫、氮氧化物、挥发性有机物特别排放限值；已实施超低排放企业按对应因子执行超低/特别排放限值；异地搬迁升级改造企业按豁免条款执行，国家、自治区出台更严标准时从严执行。</w:t>
            </w:r>
          </w:p>
          <w:p w14:paraId="1508778C">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本项目情况：</w:t>
            </w:r>
          </w:p>
          <w:p w14:paraId="29AF4706">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本项目位于同防同治管控区内，废气以颗粒物为主，无SO₂、NOₓ、VOCs产生，项目严格落实环保“三同时”；有组织粉尘经布袋除尘器处理，执行大气污染物特别排放限值；堆场设置防风抑尘网、喷淋，物料输送皮带全封闭，配套车辆冲洗设施控制无组织扬尘；新增颗粒物落实区域2倍减量替代，不增加臭氧前体物，符合文件各项管控要求。</w:t>
            </w:r>
          </w:p>
          <w:p w14:paraId="556E58F7">
            <w:pPr>
              <w:keepNext w:val="0"/>
              <w:keepLines w:val="0"/>
              <w:pageBreakBefore w:val="0"/>
              <w:widowControl/>
              <w:numPr>
                <w:ilvl w:val="0"/>
                <w:numId w:val="4"/>
              </w:numPr>
              <w:suppressLineNumbers w:val="0"/>
              <w:kinsoku/>
              <w:overflowPunct/>
              <w:topLinePunct w:val="0"/>
              <w:autoSpaceDE/>
              <w:autoSpaceDN/>
              <w:bidi w:val="0"/>
              <w:spacing w:afterAutospacing="0"/>
              <w:jc w:val="left"/>
              <w:rPr>
                <w:rFonts w:hint="default" w:cs="Times New Roman"/>
                <w:b/>
                <w:bCs/>
                <w:color w:val="000000" w:themeColor="text1"/>
                <w:kern w:val="2"/>
                <w:sz w:val="24"/>
                <w:szCs w:val="24"/>
                <w:lang w:val="en-US" w:eastAsia="zh-CN"/>
                <w14:textFill>
                  <w14:solidFill>
                    <w14:schemeClr w14:val="tx1"/>
                  </w14:solidFill>
                </w14:textFill>
              </w:rPr>
            </w:pPr>
            <w:r>
              <w:rPr>
                <w:rFonts w:hint="eastAsia" w:cs="Times New Roman"/>
                <w:b/>
                <w:bCs/>
                <w:color w:val="000000" w:themeColor="text1"/>
                <w:kern w:val="2"/>
                <w:sz w:val="24"/>
                <w:szCs w:val="24"/>
                <w:lang w:val="en-US" w:eastAsia="zh-CN"/>
                <w14:textFill>
                  <w14:solidFill>
                    <w14:schemeClr w14:val="tx1"/>
                  </w14:solidFill>
                </w14:textFill>
              </w:rPr>
              <w:t>与《新疆维吾尔自治区大气污染防治条例》符合性分析</w:t>
            </w:r>
          </w:p>
          <w:p w14:paraId="622469AE">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《新疆维吾尔自治区大气污染防治条例》</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第四十三条贮存易产生扬尘的煤炭、煤矸石、煤渣、煤灰、水泥、石灰、石膏、砂土等物料的堆场应当密闭</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不能密闭的，贮存单位或者个人应当采取下列防尘措施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0F48636F">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堆场的场坪、路面应当进行硬化处理，并保持路面整洁</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2C1AD72E">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堆场周边应当配备高于堆存物料的围挡、防风抑尘网等设施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3F9DBF0E">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按照物料类别采取相应的覆盖、喷淋和围挡等防风抑尘措施。露天装卸物料应当采取密闭或者喷淋等抑尘措施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输送的物料应当在装料、卸料处配备吸尘、喷淋等防尘设施。</w:t>
            </w:r>
          </w:p>
          <w:p w14:paraId="7B5CF416">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情况：本项目原料、成品砂石料堆场无法实现全密闭，场坪及厂区运输道路全部硬化，定期清扫洒水保持路面整洁；堆场周边设置高出堆垛的防风抑尘网；堆场设置自动喷淋系统，对堆料实施喷淋抑尘。物料装卸、筛分点位设置密闭集气罩，配套布袋除尘设施；皮带输送系统全封闭，装、卸料点位设置喷淋抑尘。成品外运车辆密闭篷布遮盖，厂区出口设置洗车平台，有效抑制扬尘，落实条例各项防尘管控要求。</w:t>
            </w:r>
          </w:p>
          <w:p w14:paraId="12032181">
            <w:pPr>
              <w:pStyle w:val="18"/>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480" w:firstLineChars="200"/>
              <w:jc w:val="both"/>
              <w:textAlignment w:val="center"/>
              <w:rPr>
                <w:rFonts w:hint="default"/>
                <w:b/>
                <w:bCs/>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综上，项目符合《新疆维吾尔自治区大气污染防治条例》相关规定</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117FBFB2">
            <w:pPr>
              <w:keepNext w:val="0"/>
              <w:keepLines w:val="0"/>
              <w:widowControl/>
              <w:suppressLineNumbers w:val="0"/>
              <w:jc w:val="left"/>
              <w:rPr>
                <w:rFonts w:hint="eastAsia"/>
                <w:b/>
                <w:bCs/>
                <w:color w:val="000000" w:themeColor="text1"/>
                <w:kern w:val="2"/>
                <w:sz w:val="24"/>
                <w:szCs w:val="24"/>
                <w:lang w:val="en-US" w:eastAsia="zh-CN"/>
                <w14:textFill>
                  <w14:solidFill>
                    <w14:schemeClr w14:val="tx1"/>
                  </w14:solidFill>
                </w14:textFill>
              </w:rPr>
            </w:pPr>
            <w:r>
              <w:rPr>
                <w:rFonts w:hint="eastAsia"/>
                <w:b/>
                <w:bCs/>
                <w:color w:val="000000" w:themeColor="text1"/>
                <w:kern w:val="2"/>
                <w:sz w:val="24"/>
                <w:szCs w:val="24"/>
                <w:lang w:val="en-US" w:eastAsia="zh-CN"/>
                <w14:textFill>
                  <w14:solidFill>
                    <w14:schemeClr w14:val="tx1"/>
                  </w14:solidFill>
                </w14:textFill>
              </w:rPr>
              <w:t>（八）与《“乌-昌-石”区域执行大气污染物特别排放限值的公告》（生态环境厅公告〔2023〕20号）符合性分析</w:t>
            </w:r>
          </w:p>
          <w:p w14:paraId="11AC2A8C">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（1）各级生态环境部门要按照本公告要求严格审批新建、改扩建项目，并严格按照“三同时”制度进行管理，确保满足特别排放限值和特别控制要求。</w:t>
            </w:r>
          </w:p>
          <w:p w14:paraId="09D09404">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本项目严格按照建设项目环境保护“三同时”制度，完善污染防治措施要求，确保挥发性有机物满足特别排放限值和特别控制要求。</w:t>
            </w:r>
          </w:p>
          <w:p w14:paraId="3954EDB4">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（2）已实施超低排放的涉气排污单位，其实施超低排放改造的污染因子执行超低排放限值，其他污染因子执行特别排放限值和特别控制要求。</w:t>
            </w:r>
          </w:p>
          <w:p w14:paraId="4A895B63">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本项目筛分、上料工序有组织颗粒物执行《大气污染物综合排放标准》（GB16297-1996）表2二级标准；厂区无组织颗粒物执行《大气污染物综合排放标准》（GB16297-1996）表2无组织限值，符合规划要求。</w:t>
            </w:r>
          </w:p>
          <w:p w14:paraId="08FA7533">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（3）已确定异地搬迁或为执行更严格大气污染控制标准进行升级改造的企业，在异地搬迁或升级改造前可暂不执行本公告中特别排放限值和特别控制要求。</w:t>
            </w:r>
          </w:p>
          <w:p w14:paraId="2B48D492">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本项目不属于</w:t>
            </w:r>
            <w:r>
              <w:rPr>
                <w:rFonts w:hint="eastAsia" w:cs="宋体"/>
                <w:color w:val="000000" w:themeColor="text1"/>
                <w:kern w:val="0"/>
                <w:sz w:val="24"/>
                <w:szCs w:val="24"/>
                <w:lang w:val="en-US" w:eastAsia="zh-CN" w:bidi="ar"/>
                <w14:textFill>
                  <w14:solidFill>
                    <w14:schemeClr w14:val="tx1"/>
                  </w14:solidFill>
                </w14:textFill>
              </w:rPr>
              <w:t>异</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地搬迁。</w:t>
            </w:r>
          </w:p>
          <w:p w14:paraId="4C9AF051">
            <w:pPr>
              <w:keepNext w:val="0"/>
              <w:keepLines w:val="0"/>
              <w:widowControl/>
              <w:suppressLineNumbers w:val="0"/>
              <w:jc w:val="left"/>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w:t>
            </w:r>
            <w:r>
              <w:rPr>
                <w:rFonts w:hint="eastAsia" w:cs="宋体"/>
                <w:color w:val="000000" w:themeColor="text1"/>
                <w:kern w:val="0"/>
                <w:sz w:val="24"/>
                <w:szCs w:val="24"/>
                <w:lang w:val="en-US" w:eastAsia="zh-CN" w:bidi="ar"/>
                <w14:textFill>
                  <w14:solidFill>
                    <w14:schemeClr w14:val="tx1"/>
                  </w14:solidFill>
                </w14:textFill>
              </w:rPr>
              <w:t>4</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）国家和自治区出台更严格的大气污染物排放标准和排放要求后，相关企业需从严执行。</w:t>
            </w:r>
          </w:p>
          <w:p w14:paraId="04A7307C">
            <w:pPr>
              <w:keepNext w:val="0"/>
              <w:keepLines w:val="0"/>
              <w:pageBreakBefore w:val="0"/>
              <w:widowControl/>
              <w:suppressLineNumbers w:val="0"/>
              <w:kinsoku/>
              <w:wordWrap w:val="0"/>
              <w:overflowPunct/>
              <w:topLinePunct w:val="0"/>
              <w:autoSpaceDE/>
              <w:autoSpaceDN/>
              <w:bidi w:val="0"/>
              <w:adjustRightInd/>
              <w:snapToGrid/>
              <w:jc w:val="left"/>
              <w:textAlignment w:val="auto"/>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本项目筛分、上料工序有组织颗粒物执行《大气污染物综合排放标准》（GB16297-1996）表2二级标准；厂区无组织颗粒物执行《大气污染物综合排放标准》（GB16297-1996）表2无组织限值，符合规划要求。</w:t>
            </w:r>
          </w:p>
          <w:p w14:paraId="270EB795">
            <w:pPr>
              <w:pStyle w:val="17"/>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auto"/>
              <w:ind w:left="0" w:leftChars="0" w:right="0" w:firstLine="0" w:firstLineChars="0"/>
              <w:textAlignment w:val="auto"/>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w:t>
            </w:r>
            <w:r>
              <w:rPr>
                <w:rFonts w:hint="eastAsia" w:cs="Times New Roman"/>
                <w:b/>
                <w:bCs/>
                <w:color w:val="000000" w:themeColor="text1"/>
                <w:kern w:val="2"/>
                <w:sz w:val="24"/>
                <w:szCs w:val="24"/>
                <w:lang w:val="en-US" w:eastAsia="zh-CN" w:bidi="ar-SA"/>
                <w14:textFill>
                  <w14:solidFill>
                    <w14:schemeClr w14:val="tx1"/>
                  </w14:solidFill>
                </w14:textFill>
              </w:rPr>
              <w:t>九</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与</w:t>
            </w: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《工业料堆场扬尘整治规范》（DB65/T4061-2017）符合性分析</w:t>
            </w:r>
          </w:p>
          <w:p w14:paraId="735AAD55">
            <w:pPr>
              <w:pStyle w:val="153"/>
              <w:keepNext w:val="0"/>
              <w:keepLines w:val="0"/>
              <w:numPr>
                <w:ilvl w:val="0"/>
                <w:numId w:val="0"/>
              </w:numPr>
              <w:suppressLineNumbers w:val="0"/>
              <w:spacing w:before="56" w:beforeAutospacing="0" w:after="0" w:afterAutospacing="0" w:line="364" w:lineRule="auto"/>
              <w:ind w:left="523" w:leftChars="0" w:right="136" w:rightChars="0"/>
              <w:jc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表 1-</w:t>
            </w:r>
            <w:r>
              <w:rPr>
                <w:rFonts w:hint="default" w:ascii="Times New Roman" w:hAnsi="Times New Roman" w:cs="Times New Roman"/>
                <w:b/>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color w:val="000000" w:themeColor="text1"/>
                <w:sz w:val="21"/>
                <w:szCs w:val="21"/>
                <w:highlight w:val="none"/>
                <w14:textFill>
                  <w14:solidFill>
                    <w14:schemeClr w14:val="tx1"/>
                  </w14:solidFill>
                </w14:textFill>
              </w:rPr>
              <w:t xml:space="preserve"> 与《</w:t>
            </w:r>
            <w:r>
              <w:rPr>
                <w:rFonts w:hint="default" w:ascii="Times New Roman" w:hAnsi="Times New Roman" w:eastAsia="宋体" w:cs="Times New Roman"/>
                <w:b/>
                <w:color w:val="000000" w:themeColor="text1"/>
                <w:sz w:val="21"/>
                <w:szCs w:val="21"/>
                <w:highlight w:val="none"/>
                <w:lang w:eastAsia="zh-CN"/>
                <w14:textFill>
                  <w14:solidFill>
                    <w14:schemeClr w14:val="tx1"/>
                  </w14:solidFill>
                </w14:textFill>
              </w:rPr>
              <w:t>工业料堆场扬尘整治规范</w:t>
            </w:r>
            <w:r>
              <w:rPr>
                <w:rFonts w:hint="default" w:ascii="Times New Roman" w:hAnsi="Times New Roman" w:eastAsia="宋体" w:cs="Times New Roman"/>
                <w:b/>
                <w:color w:val="000000" w:themeColor="text1"/>
                <w:sz w:val="21"/>
                <w:szCs w:val="21"/>
                <w:highlight w:val="none"/>
                <w14:textFill>
                  <w14:solidFill>
                    <w14:schemeClr w14:val="tx1"/>
                  </w14:solidFill>
                </w14:textFill>
              </w:rPr>
              <w:t>》</w:t>
            </w:r>
            <w:r>
              <w:rPr>
                <w:rFonts w:hint="default" w:ascii="Times New Roman" w:hAnsi="Times New Roman" w:eastAsia="宋体" w:cs="Times New Roman"/>
                <w:b/>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DB65/T4061-2017</w:t>
            </w:r>
            <w:r>
              <w:rPr>
                <w:rFonts w:hint="default" w:ascii="Times New Roman" w:hAnsi="Times New Roman" w:eastAsia="宋体" w:cs="Times New Roman"/>
                <w:b/>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color w:val="000000" w:themeColor="text1"/>
                <w:sz w:val="21"/>
                <w:szCs w:val="21"/>
                <w:highlight w:val="none"/>
                <w14:textFill>
                  <w14:solidFill>
                    <w14:schemeClr w14:val="tx1"/>
                  </w14:solidFill>
                </w14:textFill>
              </w:rPr>
              <w:t>相符性</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分析</w:t>
            </w:r>
          </w:p>
          <w:tbl>
            <w:tblPr>
              <w:tblStyle w:val="43"/>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3314"/>
              <w:gridCol w:w="3200"/>
              <w:gridCol w:w="971"/>
            </w:tblGrid>
            <w:tr w14:paraId="45C3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top w:val="single" w:color="000000" w:sz="12" w:space="0"/>
                    <w:left w:val="nil"/>
                    <w:tl2br w:val="nil"/>
                  </w:tcBorders>
                  <w:shd w:val="clear" w:color="auto" w:fill="FFFFFF"/>
                  <w:noWrap w:val="0"/>
                  <w:vAlign w:val="center"/>
                </w:tcPr>
                <w:p w14:paraId="111E7EA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14:textFill>
                        <w14:solidFill>
                          <w14:schemeClr w14:val="tx1"/>
                        </w14:solidFill>
                      </w14:textFill>
                    </w:rPr>
                    <w:t>类别</w:t>
                  </w:r>
                </w:p>
              </w:tc>
              <w:tc>
                <w:tcPr>
                  <w:tcW w:w="1986" w:type="pct"/>
                  <w:tcBorders>
                    <w:top w:val="single" w:color="000000" w:sz="12" w:space="0"/>
                  </w:tcBorders>
                  <w:shd w:val="clear" w:color="auto" w:fill="FFFFFF"/>
                  <w:noWrap w:val="0"/>
                  <w:vAlign w:val="center"/>
                </w:tcPr>
                <w:p w14:paraId="05BD26A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14:textFill>
                        <w14:solidFill>
                          <w14:schemeClr w14:val="tx1"/>
                        </w14:solidFill>
                      </w14:textFill>
                    </w:rPr>
                    <w:t>相关要求</w:t>
                  </w:r>
                </w:p>
              </w:tc>
              <w:tc>
                <w:tcPr>
                  <w:tcW w:w="1918" w:type="pct"/>
                  <w:tcBorders>
                    <w:top w:val="single" w:color="000000" w:sz="12" w:space="0"/>
                  </w:tcBorders>
                  <w:shd w:val="clear" w:color="auto" w:fill="FFFFFF"/>
                  <w:noWrap w:val="0"/>
                  <w:vAlign w:val="center"/>
                </w:tcPr>
                <w:p w14:paraId="5936375E">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14:textFill>
                        <w14:solidFill>
                          <w14:schemeClr w14:val="tx1"/>
                        </w14:solidFill>
                      </w14:textFill>
                    </w:rPr>
                    <w:t>本项目或场地情况</w:t>
                  </w:r>
                </w:p>
              </w:tc>
              <w:tc>
                <w:tcPr>
                  <w:tcW w:w="582" w:type="pct"/>
                  <w:tcBorders>
                    <w:top w:val="single" w:color="000000" w:sz="12" w:space="0"/>
                    <w:right w:val="nil"/>
                  </w:tcBorders>
                  <w:shd w:val="clear" w:color="auto" w:fill="FFFFFF"/>
                  <w:noWrap w:val="0"/>
                  <w:vAlign w:val="center"/>
                </w:tcPr>
                <w:p w14:paraId="1D4834B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14:textFill>
                        <w14:solidFill>
                          <w14:schemeClr w14:val="tx1"/>
                        </w14:solidFill>
                      </w14:textFill>
                    </w:rPr>
                    <w:t>相符性</w:t>
                  </w:r>
                </w:p>
              </w:tc>
            </w:tr>
            <w:tr w14:paraId="7771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71FE7FF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5.1</w:t>
                  </w:r>
                </w:p>
              </w:tc>
              <w:tc>
                <w:tcPr>
                  <w:tcW w:w="1986" w:type="pct"/>
                  <w:shd w:val="clear" w:color="auto" w:fill="FFFFFF"/>
                  <w:noWrap w:val="0"/>
                  <w:vAlign w:val="center"/>
                </w:tcPr>
                <w:p w14:paraId="113353D1">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各企业应建立工业料堆场扬尘污染控制管理制度和工业料堆场作业相关操作规程，落实专人负责本单位的工业料堆场扬尘污染控制工作。</w:t>
                  </w:r>
                </w:p>
              </w:tc>
              <w:tc>
                <w:tcPr>
                  <w:tcW w:w="1918" w:type="pct"/>
                  <w:shd w:val="clear" w:color="auto" w:fill="FFFFFF"/>
                  <w:noWrap w:val="0"/>
                  <w:vAlign w:val="center"/>
                </w:tcPr>
                <w:p w14:paraId="6713B2FD">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企业建立工业料堆场扬尘污染控制管理制度和工业料堆场作业相关操作规程，由专人负责本单位的工业料堆场扬尘污染控制工作</w:t>
                  </w:r>
                </w:p>
              </w:tc>
              <w:tc>
                <w:tcPr>
                  <w:tcW w:w="582" w:type="pct"/>
                  <w:tcBorders>
                    <w:right w:val="nil"/>
                  </w:tcBorders>
                  <w:shd w:val="clear" w:color="auto" w:fill="FFFFFF"/>
                  <w:noWrap w:val="0"/>
                  <w:vAlign w:val="center"/>
                </w:tcPr>
                <w:p w14:paraId="59A91DD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14:textFill>
                        <w14:solidFill>
                          <w14:schemeClr w14:val="tx1"/>
                        </w14:solidFill>
                      </w14:textFill>
                    </w:rPr>
                  </w:pPr>
                </w:p>
                <w:p w14:paraId="5861039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cs="Times New Roman"/>
                      <w:b w:val="0"/>
                      <w:color w:val="000000" w:themeColor="text1"/>
                      <w:highlight w:val="none"/>
                      <w:lang w:val="en-US" w:eastAsia="zh-CN"/>
                      <w14:textFill>
                        <w14:solidFill>
                          <w14:schemeClr w14:val="tx1"/>
                        </w14:solidFill>
                      </w14:textFill>
                    </w:rPr>
                    <w:t>符合</w:t>
                  </w:r>
                </w:p>
              </w:tc>
            </w:tr>
            <w:tr w14:paraId="2EE1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73AB9A7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5.2</w:t>
                  </w:r>
                </w:p>
              </w:tc>
              <w:tc>
                <w:tcPr>
                  <w:tcW w:w="1986" w:type="pct"/>
                  <w:shd w:val="clear" w:color="auto" w:fill="FFFFFF"/>
                  <w:noWrap w:val="0"/>
                  <w:vAlign w:val="center"/>
                </w:tcPr>
                <w:p w14:paraId="45212BB2">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工业料堆场及其扬尘污染防治工程的设计应符合相关规定要求。</w:t>
                  </w:r>
                </w:p>
              </w:tc>
              <w:tc>
                <w:tcPr>
                  <w:tcW w:w="1918" w:type="pct"/>
                  <w:shd w:val="clear" w:color="auto" w:fill="FFFFFF"/>
                  <w:noWrap w:val="0"/>
                  <w:vAlign w:val="center"/>
                </w:tcPr>
                <w:p w14:paraId="04D143AB">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eastAsia" w:hAnsi="Times New Roman" w:cs="Times New Roman"/>
                      <w:b w:val="0"/>
                      <w:color w:val="000000" w:themeColor="text1"/>
                      <w:highlight w:val="none"/>
                      <w:lang w:val="en-US" w:eastAsia="zh-CN"/>
                      <w14:textFill>
                        <w14:solidFill>
                          <w14:schemeClr w14:val="tx1"/>
                        </w14:solidFill>
                      </w14:textFill>
                    </w:rPr>
                    <w:t>本项目原料堆场、产品（石子和砂子）堆场</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采用</w:t>
                  </w:r>
                  <w:r>
                    <w:rPr>
                      <w:rFonts w:hint="eastAsia" w:ascii="Times New Roman" w:hAnsi="Times New Roman" w:eastAsia="宋体" w:cs="Times New Roman"/>
                      <w:b w:val="0"/>
                      <w:color w:val="000000" w:themeColor="text1"/>
                      <w:highlight w:val="none"/>
                      <w:lang w:val="en-US" w:eastAsia="zh-CN"/>
                      <w14:textFill>
                        <w14:solidFill>
                          <w14:schemeClr w14:val="tx1"/>
                        </w14:solidFill>
                      </w14:textFill>
                    </w:rPr>
                    <w:t>防风抑尘网+</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雾炮喷水降尘</w:t>
                  </w:r>
                </w:p>
              </w:tc>
              <w:tc>
                <w:tcPr>
                  <w:tcW w:w="582" w:type="pct"/>
                  <w:tcBorders>
                    <w:right w:val="nil"/>
                  </w:tcBorders>
                  <w:shd w:val="clear" w:color="auto" w:fill="FFFFFF"/>
                  <w:noWrap w:val="0"/>
                  <w:vAlign w:val="center"/>
                </w:tcPr>
                <w:p w14:paraId="24371F0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14:textFill>
                        <w14:solidFill>
                          <w14:schemeClr w14:val="tx1"/>
                        </w14:solidFill>
                      </w14:textFill>
                    </w:rPr>
                  </w:pPr>
                </w:p>
                <w:p w14:paraId="305D652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cs="Times New Roman"/>
                      <w:b w:val="0"/>
                      <w:color w:val="000000" w:themeColor="text1"/>
                      <w:highlight w:val="none"/>
                      <w:lang w:val="en-US" w:eastAsia="zh-CN"/>
                      <w14:textFill>
                        <w14:solidFill>
                          <w14:schemeClr w14:val="tx1"/>
                        </w14:solidFill>
                      </w14:textFill>
                    </w:rPr>
                    <w:t>符合</w:t>
                  </w:r>
                </w:p>
              </w:tc>
            </w:tr>
            <w:tr w14:paraId="26E8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6F1F366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5.3</w:t>
                  </w:r>
                </w:p>
              </w:tc>
              <w:tc>
                <w:tcPr>
                  <w:tcW w:w="1986" w:type="pct"/>
                  <w:shd w:val="clear" w:color="auto" w:fill="FFFFFF"/>
                  <w:noWrap w:val="0"/>
                  <w:vAlign w:val="center"/>
                </w:tcPr>
                <w:p w14:paraId="7F84ACA8">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选择工业料堆场位置应结合当地的自然环境、气象条件及水文地质条件。</w:t>
                  </w:r>
                </w:p>
              </w:tc>
              <w:tc>
                <w:tcPr>
                  <w:tcW w:w="1918" w:type="pct"/>
                  <w:shd w:val="clear" w:color="auto" w:fill="FFFFFF"/>
                  <w:noWrap w:val="0"/>
                  <w:vAlign w:val="center"/>
                </w:tcPr>
                <w:p w14:paraId="18B28BD7">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eastAsia" w:hAnsi="Times New Roman" w:cs="Times New Roman"/>
                      <w:b w:val="0"/>
                      <w:color w:val="000000" w:themeColor="text1"/>
                      <w:highlight w:val="none"/>
                      <w:lang w:val="en-US" w:eastAsia="zh-CN"/>
                      <w14:textFill>
                        <w14:solidFill>
                          <w14:schemeClr w14:val="tx1"/>
                        </w14:solidFill>
                      </w14:textFill>
                    </w:rPr>
                    <w:t>本项目堆场位于主导风向下风向</w:t>
                  </w:r>
                </w:p>
              </w:tc>
              <w:tc>
                <w:tcPr>
                  <w:tcW w:w="582" w:type="pct"/>
                  <w:tcBorders>
                    <w:right w:val="nil"/>
                  </w:tcBorders>
                  <w:shd w:val="clear" w:color="auto" w:fill="FFFFFF"/>
                  <w:noWrap w:val="0"/>
                  <w:vAlign w:val="center"/>
                </w:tcPr>
                <w:p w14:paraId="7D52A7C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14:textFill>
                        <w14:solidFill>
                          <w14:schemeClr w14:val="tx1"/>
                        </w14:solidFill>
                      </w14:textFill>
                    </w:rPr>
                  </w:pPr>
                </w:p>
                <w:p w14:paraId="46D0C71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cs="Times New Roman"/>
                      <w:b w:val="0"/>
                      <w:color w:val="000000" w:themeColor="text1"/>
                      <w:highlight w:val="none"/>
                      <w:lang w:val="en-US" w:eastAsia="zh-CN"/>
                      <w14:textFill>
                        <w14:solidFill>
                          <w14:schemeClr w14:val="tx1"/>
                        </w14:solidFill>
                      </w14:textFill>
                    </w:rPr>
                    <w:t>符合</w:t>
                  </w:r>
                </w:p>
              </w:tc>
            </w:tr>
            <w:tr w14:paraId="537A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6DE0EEF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5.4</w:t>
                  </w:r>
                </w:p>
              </w:tc>
              <w:tc>
                <w:tcPr>
                  <w:tcW w:w="1986" w:type="pct"/>
                  <w:shd w:val="clear" w:color="auto" w:fill="FFFFFF"/>
                  <w:noWrap w:val="0"/>
                  <w:vAlign w:val="center"/>
                </w:tcPr>
                <w:p w14:paraId="749BD1CF">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工业料堆场与生产车间布置，应根据HJ/T55的要求，作业程序合理设置。原、燃料堆场及全厂性仓库（棚）宜集中布置在原、燃料进厂处或靠近主要用户的一个区域内。</w:t>
                  </w:r>
                </w:p>
              </w:tc>
              <w:tc>
                <w:tcPr>
                  <w:tcW w:w="1918" w:type="pct"/>
                  <w:shd w:val="clear" w:color="auto" w:fill="FFFFFF"/>
                  <w:noWrap w:val="0"/>
                  <w:vAlign w:val="center"/>
                </w:tcPr>
                <w:p w14:paraId="7496B251">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作业程序合理设置，</w:t>
                  </w:r>
                  <w:r>
                    <w:rPr>
                      <w:rFonts w:hint="eastAsia" w:hAnsi="Times New Roman" w:cs="Times New Roman"/>
                      <w:b w:val="0"/>
                      <w:color w:val="000000" w:themeColor="text1"/>
                      <w:highlight w:val="none"/>
                      <w:lang w:val="en-US" w:eastAsia="zh-CN"/>
                      <w14:textFill>
                        <w14:solidFill>
                          <w14:schemeClr w14:val="tx1"/>
                        </w14:solidFill>
                      </w14:textFill>
                    </w:rPr>
                    <w:t>本项目原料堆场、成品堆场集中布置在主导风向的下风向</w:t>
                  </w:r>
                </w:p>
              </w:tc>
              <w:tc>
                <w:tcPr>
                  <w:tcW w:w="582" w:type="pct"/>
                  <w:tcBorders>
                    <w:right w:val="nil"/>
                  </w:tcBorders>
                  <w:shd w:val="clear" w:color="auto" w:fill="FFFFFF"/>
                  <w:noWrap w:val="0"/>
                  <w:vAlign w:val="center"/>
                </w:tcPr>
                <w:p w14:paraId="097181E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347E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3CE9B91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5.5</w:t>
                  </w:r>
                </w:p>
              </w:tc>
              <w:tc>
                <w:tcPr>
                  <w:tcW w:w="1986" w:type="pct"/>
                  <w:shd w:val="clear" w:color="auto" w:fill="FFFFFF"/>
                  <w:noWrap w:val="0"/>
                  <w:vAlign w:val="center"/>
                </w:tcPr>
                <w:p w14:paraId="704E98DB">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工业料堆场应布置在厂区的最小风频方向上，其长边应平行于厂区的主导风向。</w:t>
                  </w:r>
                </w:p>
              </w:tc>
              <w:tc>
                <w:tcPr>
                  <w:tcW w:w="1918" w:type="pct"/>
                  <w:shd w:val="clear" w:color="auto" w:fill="FFFFFF"/>
                  <w:noWrap w:val="0"/>
                  <w:vAlign w:val="center"/>
                </w:tcPr>
                <w:p w14:paraId="0E11409A">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eastAsia" w:hAnsi="Times New Roman" w:cs="Times New Roman"/>
                      <w:b w:val="0"/>
                      <w:color w:val="000000" w:themeColor="text1"/>
                      <w:highlight w:val="none"/>
                      <w:lang w:val="en-US" w:eastAsia="zh-CN"/>
                      <w14:textFill>
                        <w14:solidFill>
                          <w14:schemeClr w14:val="tx1"/>
                        </w14:solidFill>
                      </w14:textFill>
                    </w:rPr>
                    <w:t>本项目原料堆场成品堆场均位于厂区</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最小风频方向上。</w:t>
                  </w:r>
                </w:p>
              </w:tc>
              <w:tc>
                <w:tcPr>
                  <w:tcW w:w="582" w:type="pct"/>
                  <w:tcBorders>
                    <w:right w:val="nil"/>
                  </w:tcBorders>
                  <w:shd w:val="clear" w:color="auto" w:fill="FFFFFF"/>
                  <w:noWrap w:val="0"/>
                  <w:vAlign w:val="center"/>
                </w:tcPr>
                <w:p w14:paraId="73294CD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6A2D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6DA9E2E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5.6</w:t>
                  </w:r>
                </w:p>
              </w:tc>
              <w:tc>
                <w:tcPr>
                  <w:tcW w:w="1986" w:type="pct"/>
                  <w:shd w:val="clear" w:color="auto" w:fill="FFFFFF"/>
                  <w:noWrap w:val="0"/>
                  <w:vAlign w:val="center"/>
                </w:tcPr>
                <w:p w14:paraId="112D9D0E">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工业料堆场的污染防治应从源头控制，减少堆存量，通过优化生产原料配置、厂区布置，提高管理水平、改善污染防治技术工艺、加强综合利用等措施减少环境污染，各工业大气污染物排放应符合相关规定。</w:t>
                  </w:r>
                </w:p>
              </w:tc>
              <w:tc>
                <w:tcPr>
                  <w:tcW w:w="1918" w:type="pct"/>
                  <w:shd w:val="clear" w:color="auto" w:fill="FFFFFF"/>
                  <w:noWrap w:val="0"/>
                  <w:vAlign w:val="center"/>
                </w:tcPr>
                <w:p w14:paraId="662B1301">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eastAsia" w:hAnsi="Times New Roman" w:cs="Times New Roman"/>
                      <w:b w:val="0"/>
                      <w:color w:val="000000" w:themeColor="text1"/>
                      <w:highlight w:val="none"/>
                      <w:lang w:val="en-US" w:eastAsia="zh-CN"/>
                      <w14:textFill>
                        <w14:solidFill>
                          <w14:schemeClr w14:val="tx1"/>
                        </w14:solidFill>
                      </w14:textFill>
                    </w:rPr>
                    <w:t>本项目成品堆场原料堆场均采用</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防尘</w:t>
                  </w:r>
                  <w:r>
                    <w:rPr>
                      <w:rFonts w:hint="eastAsia" w:ascii="Times New Roman" w:hAnsi="Times New Roman" w:eastAsia="宋体" w:cs="Times New Roman"/>
                      <w:b w:val="0"/>
                      <w:color w:val="000000" w:themeColor="text1"/>
                      <w:highlight w:val="none"/>
                      <w:lang w:val="en-US" w:eastAsia="zh-CN"/>
                      <w14:textFill>
                        <w14:solidFill>
                          <w14:schemeClr w14:val="tx1"/>
                        </w14:solidFill>
                      </w14:textFill>
                    </w:rPr>
                    <w:t>抑尘</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网+持续喷淋多重抑尘手段</w:t>
                  </w:r>
                </w:p>
              </w:tc>
              <w:tc>
                <w:tcPr>
                  <w:tcW w:w="582" w:type="pct"/>
                  <w:tcBorders>
                    <w:right w:val="nil"/>
                  </w:tcBorders>
                  <w:shd w:val="clear" w:color="auto" w:fill="FFFFFF"/>
                  <w:noWrap w:val="0"/>
                  <w:vAlign w:val="center"/>
                </w:tcPr>
                <w:p w14:paraId="15BBD330">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6303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6BED01C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5.7</w:t>
                  </w:r>
                </w:p>
              </w:tc>
              <w:tc>
                <w:tcPr>
                  <w:tcW w:w="1986" w:type="pct"/>
                  <w:shd w:val="clear" w:color="auto" w:fill="FFFFFF"/>
                  <w:noWrap w:val="0"/>
                  <w:vAlign w:val="center"/>
                </w:tcPr>
                <w:p w14:paraId="5C8D3D0A">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工业料堆场内应采用连续输送设备将物料送往用户，避免二次中转倒运。</w:t>
                  </w:r>
                </w:p>
              </w:tc>
              <w:tc>
                <w:tcPr>
                  <w:tcW w:w="1918" w:type="pct"/>
                  <w:shd w:val="clear" w:color="auto" w:fill="FFFFFF"/>
                  <w:noWrap w:val="0"/>
                  <w:vAlign w:val="center"/>
                </w:tcPr>
                <w:p w14:paraId="64E43372">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eastAsia" w:hAnsi="Times New Roman" w:cs="Times New Roman"/>
                      <w:b w:val="0"/>
                      <w:color w:val="000000" w:themeColor="text1"/>
                      <w:highlight w:val="none"/>
                      <w:lang w:val="en-US" w:eastAsia="zh-CN"/>
                      <w14:textFill>
                        <w14:solidFill>
                          <w14:schemeClr w14:val="tx1"/>
                        </w14:solidFill>
                      </w14:textFill>
                    </w:rPr>
                    <w:t>本项目原料经过铲车运输至上料口，通过皮带（密闭）运输至筛分、水洗系统，成品（石子、砂子）经过皮带输送至成品堆场</w:t>
                  </w:r>
                </w:p>
              </w:tc>
              <w:tc>
                <w:tcPr>
                  <w:tcW w:w="582" w:type="pct"/>
                  <w:tcBorders>
                    <w:right w:val="nil"/>
                  </w:tcBorders>
                  <w:shd w:val="clear" w:color="auto" w:fill="FFFFFF"/>
                  <w:noWrap w:val="0"/>
                  <w:vAlign w:val="center"/>
                </w:tcPr>
                <w:p w14:paraId="02BA686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22FB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7510DB0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5.8</w:t>
                  </w:r>
                </w:p>
              </w:tc>
              <w:tc>
                <w:tcPr>
                  <w:tcW w:w="1986" w:type="pct"/>
                  <w:shd w:val="clear" w:color="auto" w:fill="FFFFFF"/>
                  <w:noWrap w:val="0"/>
                  <w:vAlign w:val="center"/>
                </w:tcPr>
                <w:p w14:paraId="0C2BD065">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对工业料堆场内装卸、运输等作业过程中，易产生扬尘污染的物料必须采取封闭、遮盖、洒水降 尘措施，密闭输送物料必须在装料、卸料处配备吸尘、喷淋防尘措施。</w:t>
                  </w:r>
                </w:p>
              </w:tc>
              <w:tc>
                <w:tcPr>
                  <w:tcW w:w="1918" w:type="pct"/>
                  <w:shd w:val="clear" w:color="auto" w:fill="FFFFFF"/>
                  <w:noWrap w:val="0"/>
                  <w:vAlign w:val="center"/>
                </w:tcPr>
                <w:p w14:paraId="3309D99E">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装卸过程中采取降低物料的</w:t>
                  </w:r>
                  <w:r>
                    <w:rPr>
                      <w:rFonts w:hint="eastAsia" w:ascii="Times New Roman" w:hAnsi="Times New Roman" w:eastAsia="宋体" w:cs="Times New Roman"/>
                      <w:b w:val="0"/>
                      <w:color w:val="000000" w:themeColor="text1"/>
                      <w:highlight w:val="none"/>
                      <w:lang w:val="en-US" w:eastAsia="zh-CN"/>
                      <w14:textFill>
                        <w14:solidFill>
                          <w14:schemeClr w14:val="tx1"/>
                        </w14:solidFill>
                      </w14:textFill>
                    </w:rPr>
                    <w:t>抛撒</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高度及雾炮喷水降尘</w:t>
                  </w:r>
                </w:p>
              </w:tc>
              <w:tc>
                <w:tcPr>
                  <w:tcW w:w="582" w:type="pct"/>
                  <w:tcBorders>
                    <w:right w:val="nil"/>
                  </w:tcBorders>
                  <w:shd w:val="clear" w:color="auto" w:fill="FFFFFF"/>
                  <w:noWrap w:val="0"/>
                  <w:vAlign w:val="center"/>
                </w:tcPr>
                <w:p w14:paraId="3B7B00AB">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2F7B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0E7AA23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5.9</w:t>
                  </w:r>
                </w:p>
              </w:tc>
              <w:tc>
                <w:tcPr>
                  <w:tcW w:w="1986" w:type="pct"/>
                  <w:shd w:val="clear" w:color="auto" w:fill="FFFFFF"/>
                  <w:noWrap w:val="0"/>
                  <w:vAlign w:val="center"/>
                </w:tcPr>
                <w:p w14:paraId="7831B89D">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露天工业料堆场存放袋装、桶装及箱装件物品时，应加盖篷布遮护。</w:t>
                  </w:r>
                </w:p>
              </w:tc>
              <w:tc>
                <w:tcPr>
                  <w:tcW w:w="1918" w:type="pct"/>
                  <w:shd w:val="clear" w:color="auto" w:fill="FFFFFF"/>
                  <w:noWrap w:val="0"/>
                  <w:vAlign w:val="center"/>
                </w:tcPr>
                <w:p w14:paraId="071723DE">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本项目露天堆放的袋装、桶装及箱装件物品</w:t>
                  </w:r>
                  <w:r>
                    <w:rPr>
                      <w:rFonts w:hint="eastAsia" w:ascii="Times New Roman" w:hAnsi="Times New Roman" w:eastAsia="宋体" w:cs="Times New Roman"/>
                      <w:b w:val="0"/>
                      <w:color w:val="000000" w:themeColor="text1"/>
                      <w:highlight w:val="none"/>
                      <w:lang w:val="en-US" w:eastAsia="zh-CN"/>
                      <w14:textFill>
                        <w14:solidFill>
                          <w14:schemeClr w14:val="tx1"/>
                        </w14:solidFill>
                      </w14:textFill>
                    </w:rPr>
                    <w:t>采用篷布遮盖</w:t>
                  </w:r>
                </w:p>
              </w:tc>
              <w:tc>
                <w:tcPr>
                  <w:tcW w:w="582" w:type="pct"/>
                  <w:tcBorders>
                    <w:right w:val="nil"/>
                  </w:tcBorders>
                  <w:shd w:val="clear" w:color="auto" w:fill="FFFFFF"/>
                  <w:noWrap w:val="0"/>
                  <w:vAlign w:val="center"/>
                </w:tcPr>
                <w:p w14:paraId="188A18B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0534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3EC9928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5.10</w:t>
                  </w:r>
                </w:p>
              </w:tc>
              <w:tc>
                <w:tcPr>
                  <w:tcW w:w="1986" w:type="pct"/>
                  <w:shd w:val="clear" w:color="auto" w:fill="FFFFFF"/>
                  <w:noWrap w:val="0"/>
                  <w:vAlign w:val="center"/>
                </w:tcPr>
                <w:p w14:paraId="4341C8EE">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对于工业料堆场的坡面、场坪和路面等，必须采取铺装、硬化、定期喷洒抑尘剂或稳定剂等措施。</w:t>
                  </w:r>
                </w:p>
              </w:tc>
              <w:tc>
                <w:tcPr>
                  <w:tcW w:w="1918" w:type="pct"/>
                  <w:shd w:val="clear" w:color="auto" w:fill="FFFFFF"/>
                  <w:noWrap w:val="0"/>
                  <w:vAlign w:val="center"/>
                </w:tcPr>
                <w:p w14:paraId="5262F254">
                  <w:pPr>
                    <w:pStyle w:val="246"/>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eastAsia" w:hAnsi="Times New Roman" w:cs="Times New Roman"/>
                      <w:b w:val="0"/>
                      <w:color w:val="000000" w:themeColor="text1"/>
                      <w:highlight w:val="none"/>
                      <w:lang w:val="en-US" w:eastAsia="zh-CN"/>
                      <w14:textFill>
                        <w14:solidFill>
                          <w14:schemeClr w14:val="tx1"/>
                        </w14:solidFill>
                      </w14:textFill>
                    </w:rPr>
                    <w:t>本项目成品和半成品堆场全部采用地面硬化并采用洒水降尘</w:t>
                  </w:r>
                </w:p>
              </w:tc>
              <w:tc>
                <w:tcPr>
                  <w:tcW w:w="582" w:type="pct"/>
                  <w:tcBorders>
                    <w:right w:val="nil"/>
                  </w:tcBorders>
                  <w:shd w:val="clear" w:color="auto" w:fill="FFFFFF"/>
                  <w:noWrap w:val="0"/>
                  <w:vAlign w:val="center"/>
                </w:tcPr>
                <w:p w14:paraId="7501518D">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438F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2558618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5.11</w:t>
                  </w:r>
                </w:p>
              </w:tc>
              <w:tc>
                <w:tcPr>
                  <w:tcW w:w="1986" w:type="pct"/>
                  <w:shd w:val="clear" w:color="auto" w:fill="FFFFFF"/>
                  <w:noWrap w:val="0"/>
                  <w:vAlign w:val="center"/>
                </w:tcPr>
                <w:p w14:paraId="2E38B3DC">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工业料堆场需设置料区和道路界限的标识线，对散落地面的物料等进行及时清理和清洗，保持道路干净、整洁，必须落实专人进行保洁工作，保持环境整洁。</w:t>
                  </w:r>
                </w:p>
              </w:tc>
              <w:tc>
                <w:tcPr>
                  <w:tcW w:w="1918" w:type="pct"/>
                  <w:shd w:val="clear" w:color="auto" w:fill="FFFFFF"/>
                  <w:noWrap w:val="0"/>
                  <w:vAlign w:val="center"/>
                </w:tcPr>
                <w:p w14:paraId="2D844EE3">
                  <w:pPr>
                    <w:pStyle w:val="246"/>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eastAsia" w:hAnsi="Times New Roman" w:cs="Times New Roman"/>
                      <w:b w:val="0"/>
                      <w:color w:val="000000" w:themeColor="text1"/>
                      <w:highlight w:val="none"/>
                      <w:lang w:val="en-US" w:eastAsia="zh-CN"/>
                      <w14:textFill>
                        <w14:solidFill>
                          <w14:schemeClr w14:val="tx1"/>
                        </w14:solidFill>
                      </w14:textFill>
                    </w:rPr>
                    <w:t>本项目设置</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料区和道路界限的标识线，对散落地面的物料及时清理和清洗</w:t>
                  </w:r>
                </w:p>
              </w:tc>
              <w:tc>
                <w:tcPr>
                  <w:tcW w:w="582" w:type="pct"/>
                  <w:tcBorders>
                    <w:right w:val="nil"/>
                  </w:tcBorders>
                  <w:shd w:val="clear" w:color="auto" w:fill="FFFFFF"/>
                  <w:noWrap w:val="0"/>
                  <w:vAlign w:val="center"/>
                </w:tcPr>
                <w:p w14:paraId="11DF7DC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627B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27748C4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5.12</w:t>
                  </w:r>
                </w:p>
              </w:tc>
              <w:tc>
                <w:tcPr>
                  <w:tcW w:w="1986" w:type="pct"/>
                  <w:shd w:val="clear" w:color="auto" w:fill="FFFFFF"/>
                  <w:noWrap w:val="0"/>
                  <w:vAlign w:val="center"/>
                </w:tcPr>
                <w:p w14:paraId="7C18C7E0">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在工业料堆场出口处设置车辆清洗的专用场地，配备运输车辆冲洗保洁设施，冲洗沉积物必须及时进行清理和清运，冲洗污水必须经回收系统收集、处理，处理符合GB8978的规定后排放。</w:t>
                  </w:r>
                </w:p>
              </w:tc>
              <w:tc>
                <w:tcPr>
                  <w:tcW w:w="1918" w:type="pct"/>
                  <w:shd w:val="clear" w:color="auto" w:fill="FFFFFF"/>
                  <w:noWrap w:val="0"/>
                  <w:vAlign w:val="center"/>
                </w:tcPr>
                <w:p w14:paraId="76C2C828">
                  <w:pPr>
                    <w:pStyle w:val="246"/>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在</w:t>
                  </w:r>
                  <w:r>
                    <w:rPr>
                      <w:rFonts w:hint="eastAsia" w:hAnsi="Times New Roman" w:cs="Times New Roman"/>
                      <w:b w:val="0"/>
                      <w:color w:val="000000" w:themeColor="text1"/>
                      <w:highlight w:val="none"/>
                      <w:lang w:val="en-US" w:eastAsia="zh-CN"/>
                      <w14:textFill>
                        <w14:solidFill>
                          <w14:schemeClr w14:val="tx1"/>
                        </w14:solidFill>
                      </w14:textFill>
                    </w:rPr>
                    <w:t>成品和半成品堆场</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出口处设置车辆清洗场地，配备运输车辆冲洗设施，冲洗沉积物及时清理，冲洗污水经</w:t>
                  </w:r>
                  <w:r>
                    <w:rPr>
                      <w:rFonts w:hint="default" w:ascii="Times New Roman" w:hAnsi="Times New Roman" w:cs="Times New Roman"/>
                      <w:b w:val="0"/>
                      <w:color w:val="000000" w:themeColor="text1"/>
                      <w:highlight w:val="none"/>
                      <w:lang w:val="en-US" w:eastAsia="zh-CN"/>
                      <w14:textFill>
                        <w14:solidFill>
                          <w14:schemeClr w14:val="tx1"/>
                        </w14:solidFill>
                      </w14:textFill>
                    </w:rPr>
                    <w:t>沉淀后</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循环使用</w:t>
                  </w:r>
                </w:p>
              </w:tc>
              <w:tc>
                <w:tcPr>
                  <w:tcW w:w="582" w:type="pct"/>
                  <w:tcBorders>
                    <w:right w:val="nil"/>
                  </w:tcBorders>
                  <w:shd w:val="clear" w:color="auto" w:fill="FFFFFF"/>
                  <w:noWrap w:val="0"/>
                  <w:vAlign w:val="center"/>
                </w:tcPr>
                <w:p w14:paraId="5A716D80">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36B6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tcBorders>
                  <w:shd w:val="clear" w:color="auto" w:fill="FFFFFF"/>
                  <w:noWrap w:val="0"/>
                  <w:vAlign w:val="center"/>
                </w:tcPr>
                <w:p w14:paraId="6BE93E6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5.13</w:t>
                  </w:r>
                </w:p>
              </w:tc>
              <w:tc>
                <w:tcPr>
                  <w:tcW w:w="1986" w:type="pct"/>
                  <w:shd w:val="clear" w:color="auto" w:fill="FFFFFF"/>
                  <w:noWrap w:val="0"/>
                  <w:vAlign w:val="center"/>
                </w:tcPr>
                <w:p w14:paraId="7E342DA6">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应管理和维护好料堆场堆存、装卸、输送和扬尘污染防治的设施、设备和场所，保证其正常运行和使用，并设立图形标志牌。</w:t>
                  </w:r>
                </w:p>
              </w:tc>
              <w:tc>
                <w:tcPr>
                  <w:tcW w:w="1918" w:type="pct"/>
                  <w:shd w:val="clear" w:color="auto" w:fill="FFFFFF"/>
                  <w:noWrap w:val="0"/>
                  <w:vAlign w:val="center"/>
                </w:tcPr>
                <w:p w14:paraId="4ABFCA05">
                  <w:pPr>
                    <w:pStyle w:val="246"/>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本项目</w:t>
                  </w:r>
                  <w:r>
                    <w:rPr>
                      <w:rFonts w:hint="default" w:ascii="Times New Roman" w:hAnsi="Times New Roman" w:cs="Times New Roman"/>
                      <w:b w:val="0"/>
                      <w:color w:val="000000" w:themeColor="text1"/>
                      <w:highlight w:val="none"/>
                      <w:lang w:val="en-US" w:eastAsia="zh-CN"/>
                      <w14:textFill>
                        <w14:solidFill>
                          <w14:schemeClr w14:val="tx1"/>
                        </w14:solidFill>
                      </w14:textFill>
                    </w:rPr>
                    <w:t>加强</w:t>
                  </w:r>
                  <w:r>
                    <w:rPr>
                      <w:rFonts w:hint="eastAsia" w:hAnsi="Times New Roman" w:cs="Times New Roman"/>
                      <w:b w:val="0"/>
                      <w:color w:val="000000" w:themeColor="text1"/>
                      <w:highlight w:val="none"/>
                      <w:lang w:val="en-US" w:eastAsia="zh-CN"/>
                      <w14:textFill>
                        <w14:solidFill>
                          <w14:schemeClr w14:val="tx1"/>
                        </w14:solidFill>
                      </w14:textFill>
                    </w:rPr>
                    <w:t>成品和半成品堆场</w:t>
                  </w:r>
                  <w:r>
                    <w:rPr>
                      <w:rFonts w:hint="default" w:ascii="Times New Roman" w:hAnsi="Times New Roman" w:cs="Times New Roman"/>
                      <w:b w:val="0"/>
                      <w:color w:val="000000" w:themeColor="text1"/>
                      <w:highlight w:val="none"/>
                      <w:lang w:val="en-US" w:eastAsia="zh-CN"/>
                      <w14:textFill>
                        <w14:solidFill>
                          <w14:schemeClr w14:val="tx1"/>
                        </w14:solidFill>
                      </w14:textFill>
                    </w:rPr>
                    <w:t>管理和</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维护，保证其正常运行和使用，并设立图形标志牌</w:t>
                  </w:r>
                </w:p>
              </w:tc>
              <w:tc>
                <w:tcPr>
                  <w:tcW w:w="582" w:type="pct"/>
                  <w:tcBorders>
                    <w:right w:val="nil"/>
                  </w:tcBorders>
                  <w:shd w:val="clear" w:color="auto" w:fill="FFFFFF"/>
                  <w:noWrap w:val="0"/>
                  <w:vAlign w:val="center"/>
                </w:tcPr>
                <w:p w14:paraId="041C379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r w14:paraId="2B02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pct"/>
                  <w:tcBorders>
                    <w:left w:val="nil"/>
                    <w:bottom w:val="single" w:color="000000" w:sz="12" w:space="0"/>
                  </w:tcBorders>
                  <w:shd w:val="clear" w:color="auto" w:fill="FFFFFF"/>
                  <w:noWrap w:val="0"/>
                  <w:vAlign w:val="center"/>
                </w:tcPr>
                <w:p w14:paraId="32CDEE5B">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5.14</w:t>
                  </w:r>
                </w:p>
              </w:tc>
              <w:tc>
                <w:tcPr>
                  <w:tcW w:w="1986" w:type="pct"/>
                  <w:tcBorders>
                    <w:bottom w:val="single" w:color="000000" w:sz="12" w:space="0"/>
                  </w:tcBorders>
                  <w:shd w:val="clear" w:color="auto" w:fill="FFFFFF"/>
                  <w:noWrap w:val="0"/>
                  <w:vAlign w:val="center"/>
                </w:tcPr>
                <w:p w14:paraId="79C89702">
                  <w:pPr>
                    <w:pStyle w:val="246"/>
                    <w:keepNext w:val="0"/>
                    <w:keepLines w:val="0"/>
                    <w:suppressLineNumbers w:val="0"/>
                    <w:spacing w:before="0" w:beforeAutospacing="0" w:after="0" w:afterAutospacing="0"/>
                    <w:ind w:left="0" w:right="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宜在工业料堆场周边进行绿化，减少扬尘污染对环境的影响。</w:t>
                  </w:r>
                </w:p>
              </w:tc>
              <w:tc>
                <w:tcPr>
                  <w:tcW w:w="1918" w:type="pct"/>
                  <w:tcBorders>
                    <w:bottom w:val="single" w:color="000000" w:sz="12" w:space="0"/>
                  </w:tcBorders>
                  <w:shd w:val="clear" w:color="auto" w:fill="FFFFFF"/>
                  <w:noWrap w:val="0"/>
                  <w:vAlign w:val="center"/>
                </w:tcPr>
                <w:p w14:paraId="267E9B67">
                  <w:pPr>
                    <w:pStyle w:val="246"/>
                    <w:keepNext w:val="0"/>
                    <w:keepLines w:val="0"/>
                    <w:suppressLineNumbers w:val="0"/>
                    <w:spacing w:before="0" w:beforeAutospacing="0" w:after="0" w:afterAutospacing="0"/>
                    <w:ind w:left="0" w:leftChars="0" w:right="0" w:rightChars="0"/>
                    <w:jc w:val="both"/>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本项目在</w:t>
                  </w:r>
                  <w:r>
                    <w:rPr>
                      <w:rFonts w:hint="eastAsia" w:hAnsi="Times New Roman" w:cs="Times New Roman"/>
                      <w:b w:val="0"/>
                      <w:color w:val="000000" w:themeColor="text1"/>
                      <w:highlight w:val="none"/>
                      <w:lang w:val="en-US" w:eastAsia="zh-CN"/>
                      <w14:textFill>
                        <w14:solidFill>
                          <w14:schemeClr w14:val="tx1"/>
                        </w14:solidFill>
                      </w14:textFill>
                    </w:rPr>
                    <w:t>成品和半成品堆场</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周边进行绿化</w:t>
                  </w:r>
                </w:p>
              </w:tc>
              <w:tc>
                <w:tcPr>
                  <w:tcW w:w="582" w:type="pct"/>
                  <w:tcBorders>
                    <w:bottom w:val="single" w:color="000000" w:sz="12" w:space="0"/>
                    <w:right w:val="nil"/>
                  </w:tcBorders>
                  <w:shd w:val="clear" w:color="auto" w:fill="FFFFFF"/>
                  <w:noWrap w:val="0"/>
                  <w:vAlign w:val="center"/>
                </w:tcPr>
                <w:p w14:paraId="4CFDCE2D">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符合</w:t>
                  </w:r>
                </w:p>
              </w:tc>
            </w:tr>
          </w:tbl>
          <w:p w14:paraId="7F371958">
            <w:pPr>
              <w:pStyle w:val="22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根据《工业料堆场扬尘整治规范》（DB65T4061—2017）中“表1工业料堆场类型划分”对项目堆场进行划分，详见表1-</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6</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p>
          <w:p w14:paraId="33611819">
            <w:pPr>
              <w:pStyle w:val="153"/>
              <w:keepNext w:val="0"/>
              <w:keepLines w:val="0"/>
              <w:numPr>
                <w:ilvl w:val="0"/>
                <w:numId w:val="0"/>
              </w:numPr>
              <w:suppressLineNumbers w:val="0"/>
              <w:spacing w:before="56" w:beforeAutospacing="0" w:after="0" w:afterAutospacing="0" w:line="364" w:lineRule="auto"/>
              <w:ind w:left="0" w:right="136" w:rightChars="0"/>
              <w:jc w:val="center"/>
              <w:rPr>
                <w:rFonts w:hint="default" w:ascii="Times New Roman" w:hAnsi="Times New Roman" w:eastAsia="宋体" w:cs="Times New Roman"/>
                <w:b/>
                <w:color w:val="000000" w:themeColor="text1"/>
                <w:sz w:val="21"/>
                <w:highlight w:val="none"/>
                <w14:textFill>
                  <w14:solidFill>
                    <w14:schemeClr w14:val="tx1"/>
                  </w14:solidFill>
                </w14:textFill>
              </w:rPr>
            </w:pPr>
            <w:r>
              <w:rPr>
                <w:rFonts w:hint="default" w:ascii="Times New Roman" w:hAnsi="Times New Roman" w:eastAsia="宋体" w:cs="Times New Roman"/>
                <w:b/>
                <w:color w:val="000000" w:themeColor="text1"/>
                <w:sz w:val="21"/>
                <w:highlight w:val="none"/>
                <w14:textFill>
                  <w14:solidFill>
                    <w14:schemeClr w14:val="tx1"/>
                  </w14:solidFill>
                </w14:textFill>
              </w:rPr>
              <w:t>表1-</w:t>
            </w:r>
            <w:r>
              <w:rPr>
                <w:rFonts w:hint="default" w:ascii="Times New Roman" w:hAnsi="Times New Roman" w:eastAsia="宋体" w:cs="Times New Roman"/>
                <w:b/>
                <w:color w:val="000000" w:themeColor="text1"/>
                <w:sz w:val="21"/>
                <w:highlight w:val="none"/>
                <w:lang w:val="en-US" w:eastAsia="zh-CN"/>
                <w14:textFill>
                  <w14:solidFill>
                    <w14:schemeClr w14:val="tx1"/>
                  </w14:solidFill>
                </w14:textFill>
              </w:rPr>
              <w:t>6</w:t>
            </w:r>
            <w:r>
              <w:rPr>
                <w:rFonts w:hint="default" w:ascii="Times New Roman" w:hAnsi="Times New Roman" w:eastAsia="宋体" w:cs="Times New Roman"/>
                <w:b/>
                <w:color w:val="000000" w:themeColor="text1"/>
                <w:sz w:val="21"/>
                <w:highlight w:val="none"/>
                <w14:textFill>
                  <w14:solidFill>
                    <w14:schemeClr w14:val="tx1"/>
                  </w14:solidFill>
                </w14:textFill>
              </w:rPr>
              <w:t>工业料堆场类型划分</w:t>
            </w:r>
          </w:p>
          <w:tbl>
            <w:tblPr>
              <w:tblStyle w:val="194"/>
              <w:tblW w:w="5000" w:type="pct"/>
              <w:jc w:val="center"/>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autofit"/>
              <w:tblCellMar>
                <w:top w:w="0" w:type="dxa"/>
                <w:left w:w="0" w:type="dxa"/>
                <w:bottom w:w="0" w:type="dxa"/>
                <w:right w:w="0" w:type="dxa"/>
              </w:tblCellMar>
            </w:tblPr>
            <w:tblGrid>
              <w:gridCol w:w="1238"/>
              <w:gridCol w:w="1463"/>
              <w:gridCol w:w="1245"/>
              <w:gridCol w:w="1441"/>
              <w:gridCol w:w="1476"/>
              <w:gridCol w:w="1483"/>
            </w:tblGrid>
            <w:tr w14:paraId="17B7343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tcBorders>
                    <w:top w:val="single" w:color="000000" w:sz="12" w:space="0"/>
                    <w:left w:val="nil"/>
                    <w:tl2br w:val="nil"/>
                  </w:tcBorders>
                  <w:shd w:val="clear" w:color="auto" w:fill="FFFFFF"/>
                  <w:noWrap w:val="0"/>
                  <w:vAlign w:val="center"/>
                </w:tcPr>
                <w:p w14:paraId="30D8845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环境控制区</w:t>
                  </w:r>
                </w:p>
              </w:tc>
              <w:tc>
                <w:tcPr>
                  <w:tcW w:w="1459" w:type="dxa"/>
                  <w:tcBorders>
                    <w:top w:val="single" w:color="000000" w:sz="12" w:space="0"/>
                  </w:tcBorders>
                  <w:shd w:val="clear" w:color="auto" w:fill="FFFFFF"/>
                  <w:noWrap w:val="0"/>
                  <w:vAlign w:val="center"/>
                </w:tcPr>
                <w:p w14:paraId="0D7646C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规模（m</w:t>
                  </w:r>
                  <w:r>
                    <w:rPr>
                      <w:rFonts w:hint="default" w:ascii="Times New Roman" w:hAnsi="Times New Roman" w:eastAsia="宋体" w:cs="Times New Roman"/>
                      <w:b w:val="0"/>
                      <w:color w:val="000000" w:themeColor="text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w:t>
                  </w:r>
                </w:p>
              </w:tc>
              <w:tc>
                <w:tcPr>
                  <w:tcW w:w="1241" w:type="dxa"/>
                  <w:tcBorders>
                    <w:top w:val="single" w:color="000000" w:sz="12" w:space="0"/>
                  </w:tcBorders>
                  <w:shd w:val="clear" w:color="auto" w:fill="FFFFFF"/>
                  <w:noWrap w:val="0"/>
                  <w:vAlign w:val="center"/>
                </w:tcPr>
                <w:p w14:paraId="514B4A85">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风速（m/s）</w:t>
                  </w:r>
                </w:p>
              </w:tc>
              <w:tc>
                <w:tcPr>
                  <w:tcW w:w="4388" w:type="dxa"/>
                  <w:gridSpan w:val="3"/>
                  <w:tcBorders>
                    <w:top w:val="single" w:color="000000" w:sz="12" w:space="0"/>
                    <w:right w:val="nil"/>
                  </w:tcBorders>
                  <w:shd w:val="clear" w:color="auto" w:fill="FFFFFF"/>
                  <w:noWrap w:val="0"/>
                  <w:vAlign w:val="center"/>
                </w:tcPr>
                <w:p w14:paraId="0919584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粒度（mm）</w:t>
                  </w:r>
                </w:p>
              </w:tc>
            </w:tr>
            <w:tr w14:paraId="0FDEA7F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restart"/>
                  <w:tcBorders>
                    <w:left w:val="nil"/>
                  </w:tcBorders>
                  <w:shd w:val="clear" w:color="auto" w:fill="FFFFFF"/>
                  <w:noWrap w:val="0"/>
                  <w:vAlign w:val="center"/>
                </w:tcPr>
                <w:p w14:paraId="038D7FF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重点控制区</w:t>
                  </w:r>
                </w:p>
              </w:tc>
              <w:tc>
                <w:tcPr>
                  <w:tcW w:w="1459" w:type="dxa"/>
                  <w:vMerge w:val="restart"/>
                  <w:shd w:val="clear" w:color="auto" w:fill="FFFFFF"/>
                  <w:noWrap w:val="0"/>
                  <w:vAlign w:val="center"/>
                </w:tcPr>
                <w:p w14:paraId="232EC6A0">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≥10000</w:t>
                  </w:r>
                </w:p>
              </w:tc>
              <w:tc>
                <w:tcPr>
                  <w:tcW w:w="1241" w:type="dxa"/>
                  <w:shd w:val="clear" w:color="auto" w:fill="FFFFFF"/>
                  <w:noWrap w:val="0"/>
                  <w:vAlign w:val="center"/>
                </w:tcPr>
                <w:p w14:paraId="62BC2CA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≥4</w:t>
                  </w:r>
                </w:p>
              </w:tc>
              <w:tc>
                <w:tcPr>
                  <w:tcW w:w="1437" w:type="dxa"/>
                  <w:shd w:val="clear" w:color="auto" w:fill="FFFFFF"/>
                  <w:noWrap w:val="0"/>
                  <w:vAlign w:val="center"/>
                </w:tcPr>
                <w:p w14:paraId="03FB52F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粉体：≤0.5</w:t>
                  </w:r>
                </w:p>
              </w:tc>
              <w:tc>
                <w:tcPr>
                  <w:tcW w:w="1472" w:type="dxa"/>
                  <w:shd w:val="clear" w:color="auto" w:fill="FFFFFF"/>
                  <w:noWrap w:val="0"/>
                  <w:vAlign w:val="center"/>
                </w:tcPr>
                <w:p w14:paraId="67522A9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颗粒：0.5~13</w:t>
                  </w:r>
                </w:p>
              </w:tc>
              <w:tc>
                <w:tcPr>
                  <w:tcW w:w="1479" w:type="dxa"/>
                  <w:tcBorders>
                    <w:right w:val="nil"/>
                  </w:tcBorders>
                  <w:shd w:val="clear" w:color="auto" w:fill="FFFFFF"/>
                  <w:noWrap w:val="0"/>
                  <w:vAlign w:val="center"/>
                </w:tcPr>
                <w:p w14:paraId="56A365E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块体：≥13</w:t>
                  </w:r>
                </w:p>
              </w:tc>
            </w:tr>
            <w:tr w14:paraId="7AD1E5D4">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704E119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66DAF19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09A7467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2~4</w:t>
                  </w:r>
                </w:p>
              </w:tc>
              <w:tc>
                <w:tcPr>
                  <w:tcW w:w="1437" w:type="dxa"/>
                  <w:shd w:val="clear" w:color="auto" w:fill="FFFFFF"/>
                  <w:noWrap w:val="0"/>
                  <w:vAlign w:val="center"/>
                </w:tcPr>
                <w:p w14:paraId="5533D6D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1716A48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7157BC2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31D9C4FA">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3259498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2860263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20E811F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w:t>
                  </w:r>
                </w:p>
              </w:tc>
              <w:tc>
                <w:tcPr>
                  <w:tcW w:w="1437" w:type="dxa"/>
                  <w:shd w:val="clear" w:color="auto" w:fill="FFFFFF"/>
                  <w:noWrap w:val="0"/>
                  <w:vAlign w:val="center"/>
                </w:tcPr>
                <w:p w14:paraId="7883FAD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57F2BA2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36A575C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536CD268">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219F352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restart"/>
                  <w:shd w:val="clear" w:color="auto" w:fill="FFFFFF"/>
                  <w:noWrap w:val="0"/>
                  <w:vAlign w:val="center"/>
                </w:tcPr>
                <w:p w14:paraId="12A198A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300~10000</w:t>
                  </w:r>
                </w:p>
              </w:tc>
              <w:tc>
                <w:tcPr>
                  <w:tcW w:w="1241" w:type="dxa"/>
                  <w:shd w:val="clear" w:color="auto" w:fill="FFFFFF"/>
                  <w:noWrap w:val="0"/>
                  <w:vAlign w:val="center"/>
                </w:tcPr>
                <w:p w14:paraId="6B9E940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≥4</w:t>
                  </w:r>
                </w:p>
              </w:tc>
              <w:tc>
                <w:tcPr>
                  <w:tcW w:w="1437" w:type="dxa"/>
                  <w:shd w:val="clear" w:color="auto" w:fill="FFFFFF"/>
                  <w:noWrap w:val="0"/>
                  <w:vAlign w:val="center"/>
                </w:tcPr>
                <w:p w14:paraId="68EB878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130B52BD">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265871E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01CA43E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7004CC7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290B426E">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6498328D">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2~4</w:t>
                  </w:r>
                </w:p>
              </w:tc>
              <w:tc>
                <w:tcPr>
                  <w:tcW w:w="1437" w:type="dxa"/>
                  <w:shd w:val="clear" w:color="auto" w:fill="FFFFFF"/>
                  <w:noWrap w:val="0"/>
                  <w:vAlign w:val="center"/>
                </w:tcPr>
                <w:p w14:paraId="42E735D5">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737586A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3A8013B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0BB2386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55EF516B">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733A49C0">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50FDA60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w:t>
                  </w:r>
                </w:p>
              </w:tc>
              <w:tc>
                <w:tcPr>
                  <w:tcW w:w="1437" w:type="dxa"/>
                  <w:shd w:val="clear" w:color="auto" w:fill="FFFFFF"/>
                  <w:noWrap w:val="0"/>
                  <w:vAlign w:val="center"/>
                </w:tcPr>
                <w:p w14:paraId="7A0DCC9D">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78F24F1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47E592B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18468B8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2E1434D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restart"/>
                  <w:shd w:val="clear" w:color="auto" w:fill="FFFFFF"/>
                  <w:noWrap w:val="0"/>
                  <w:vAlign w:val="center"/>
                </w:tcPr>
                <w:p w14:paraId="4AEE370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≤300</w:t>
                  </w:r>
                </w:p>
              </w:tc>
              <w:tc>
                <w:tcPr>
                  <w:tcW w:w="1241" w:type="dxa"/>
                  <w:shd w:val="clear" w:color="auto" w:fill="FFFFFF"/>
                  <w:noWrap w:val="0"/>
                  <w:vAlign w:val="center"/>
                </w:tcPr>
                <w:p w14:paraId="001717E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≥4</w:t>
                  </w:r>
                </w:p>
              </w:tc>
              <w:tc>
                <w:tcPr>
                  <w:tcW w:w="1437" w:type="dxa"/>
                  <w:shd w:val="clear" w:color="auto" w:fill="FFFFFF"/>
                  <w:noWrap w:val="0"/>
                  <w:vAlign w:val="center"/>
                </w:tcPr>
                <w:p w14:paraId="18B7D1B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4A089F8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15AEB20B">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481D19FD">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0E72B3E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5042697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0049016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2~4</w:t>
                  </w:r>
                </w:p>
              </w:tc>
              <w:tc>
                <w:tcPr>
                  <w:tcW w:w="1437" w:type="dxa"/>
                  <w:shd w:val="clear" w:color="auto" w:fill="FFFFFF"/>
                  <w:noWrap w:val="0"/>
                  <w:vAlign w:val="center"/>
                </w:tcPr>
                <w:p w14:paraId="252E3DAE">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7B05E42B">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c>
                <w:tcPr>
                  <w:tcW w:w="1479" w:type="dxa"/>
                  <w:tcBorders>
                    <w:right w:val="nil"/>
                  </w:tcBorders>
                  <w:shd w:val="clear" w:color="auto" w:fill="FFFFFF"/>
                  <w:noWrap w:val="0"/>
                  <w:vAlign w:val="center"/>
                </w:tcPr>
                <w:p w14:paraId="4D57AA2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485F147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7886B34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6A83A7B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4D71F0D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w:t>
                  </w:r>
                </w:p>
              </w:tc>
              <w:tc>
                <w:tcPr>
                  <w:tcW w:w="1437" w:type="dxa"/>
                  <w:shd w:val="clear" w:color="auto" w:fill="FFFFFF"/>
                  <w:noWrap w:val="0"/>
                  <w:vAlign w:val="center"/>
                </w:tcPr>
                <w:p w14:paraId="3F68848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4E42BFE5">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c>
                <w:tcPr>
                  <w:tcW w:w="1479" w:type="dxa"/>
                  <w:tcBorders>
                    <w:right w:val="nil"/>
                  </w:tcBorders>
                  <w:shd w:val="clear" w:color="auto" w:fill="FFFFFF"/>
                  <w:noWrap w:val="0"/>
                  <w:vAlign w:val="center"/>
                </w:tcPr>
                <w:p w14:paraId="305698A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21711612">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PrEx>
              <w:trPr>
                <w:trHeight w:val="23" w:hRule="atLeast"/>
                <w:jc w:val="center"/>
              </w:trPr>
              <w:tc>
                <w:tcPr>
                  <w:tcW w:w="1234" w:type="dxa"/>
                  <w:vMerge w:val="restart"/>
                  <w:tcBorders>
                    <w:left w:val="nil"/>
                  </w:tcBorders>
                  <w:shd w:val="clear" w:color="auto" w:fill="FFFFFF"/>
                  <w:noWrap w:val="0"/>
                  <w:vAlign w:val="center"/>
                </w:tcPr>
                <w:p w14:paraId="4B240D0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一般控制区</w:t>
                  </w:r>
                </w:p>
              </w:tc>
              <w:tc>
                <w:tcPr>
                  <w:tcW w:w="1459" w:type="dxa"/>
                  <w:vMerge w:val="restart"/>
                  <w:shd w:val="clear" w:color="auto" w:fill="FFFFFF"/>
                  <w:noWrap w:val="0"/>
                  <w:vAlign w:val="center"/>
                </w:tcPr>
                <w:p w14:paraId="44BC16B5">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≥10000</w:t>
                  </w:r>
                </w:p>
              </w:tc>
              <w:tc>
                <w:tcPr>
                  <w:tcW w:w="1241" w:type="dxa"/>
                  <w:shd w:val="clear" w:color="auto" w:fill="FFFFFF"/>
                  <w:noWrap w:val="0"/>
                  <w:vAlign w:val="center"/>
                </w:tcPr>
                <w:p w14:paraId="1EFA293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≥4</w:t>
                  </w:r>
                </w:p>
              </w:tc>
              <w:tc>
                <w:tcPr>
                  <w:tcW w:w="1437" w:type="dxa"/>
                  <w:shd w:val="clear" w:color="auto" w:fill="FFFFFF"/>
                  <w:noWrap w:val="0"/>
                  <w:vAlign w:val="center"/>
                </w:tcPr>
                <w:p w14:paraId="31E8DE2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1AAE0B1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691FFFC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737971E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5169FE9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1A0A5935">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1402182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2~4</w:t>
                  </w:r>
                </w:p>
              </w:tc>
              <w:tc>
                <w:tcPr>
                  <w:tcW w:w="1437" w:type="dxa"/>
                  <w:shd w:val="clear" w:color="auto" w:fill="FFFFFF"/>
                  <w:noWrap w:val="0"/>
                  <w:vAlign w:val="center"/>
                </w:tcPr>
                <w:p w14:paraId="55BA8D8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568D038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7759B53B">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644483B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18771690">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35F9804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568AE28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w:t>
                  </w:r>
                </w:p>
              </w:tc>
              <w:tc>
                <w:tcPr>
                  <w:tcW w:w="1437" w:type="dxa"/>
                  <w:shd w:val="clear" w:color="auto" w:fill="FFFFFF"/>
                  <w:noWrap w:val="0"/>
                  <w:vAlign w:val="center"/>
                </w:tcPr>
                <w:p w14:paraId="62F3FCD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713247D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305C898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395CB9BE">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6666779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restart"/>
                  <w:shd w:val="clear" w:color="auto" w:fill="FFFFFF"/>
                  <w:noWrap w:val="0"/>
                  <w:vAlign w:val="center"/>
                </w:tcPr>
                <w:p w14:paraId="689B2BD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300~10000</w:t>
                  </w:r>
                </w:p>
              </w:tc>
              <w:tc>
                <w:tcPr>
                  <w:tcW w:w="1241" w:type="dxa"/>
                  <w:shd w:val="clear" w:color="auto" w:fill="FFFFFF"/>
                  <w:noWrap w:val="0"/>
                  <w:vAlign w:val="center"/>
                </w:tcPr>
                <w:p w14:paraId="18C1AD8B">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≥4</w:t>
                  </w:r>
                </w:p>
              </w:tc>
              <w:tc>
                <w:tcPr>
                  <w:tcW w:w="1437" w:type="dxa"/>
                  <w:shd w:val="clear" w:color="auto" w:fill="FFFFFF"/>
                  <w:noWrap w:val="0"/>
                  <w:vAlign w:val="center"/>
                </w:tcPr>
                <w:p w14:paraId="148FB654">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5D4DBA6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9" w:type="dxa"/>
                  <w:tcBorders>
                    <w:right w:val="nil"/>
                  </w:tcBorders>
                  <w:shd w:val="clear" w:color="auto" w:fill="FFFFFF"/>
                  <w:noWrap w:val="0"/>
                  <w:vAlign w:val="center"/>
                </w:tcPr>
                <w:p w14:paraId="194AFEB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72E3133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06016CA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6A22735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0585121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2~4</w:t>
                  </w:r>
                </w:p>
              </w:tc>
              <w:tc>
                <w:tcPr>
                  <w:tcW w:w="1437" w:type="dxa"/>
                  <w:shd w:val="clear" w:color="auto" w:fill="FFFFFF"/>
                  <w:noWrap w:val="0"/>
                  <w:vAlign w:val="center"/>
                </w:tcPr>
                <w:p w14:paraId="07A90BA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34106D0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c>
                <w:tcPr>
                  <w:tcW w:w="1479" w:type="dxa"/>
                  <w:tcBorders>
                    <w:right w:val="nil"/>
                  </w:tcBorders>
                  <w:shd w:val="clear" w:color="auto" w:fill="FFFFFF"/>
                  <w:noWrap w:val="0"/>
                  <w:vAlign w:val="center"/>
                </w:tcPr>
                <w:p w14:paraId="348A20B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r>
            <w:tr w14:paraId="1A80B7C7">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575F8E4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1006910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483751F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w:t>
                  </w:r>
                </w:p>
              </w:tc>
              <w:tc>
                <w:tcPr>
                  <w:tcW w:w="1437" w:type="dxa"/>
                  <w:shd w:val="clear" w:color="auto" w:fill="FFFFFF"/>
                  <w:noWrap w:val="0"/>
                  <w:vAlign w:val="center"/>
                </w:tcPr>
                <w:p w14:paraId="2C6627A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3FBA730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c>
                <w:tcPr>
                  <w:tcW w:w="1479" w:type="dxa"/>
                  <w:tcBorders>
                    <w:right w:val="nil"/>
                  </w:tcBorders>
                  <w:shd w:val="clear" w:color="auto" w:fill="FFFFFF"/>
                  <w:noWrap w:val="0"/>
                  <w:vAlign w:val="center"/>
                </w:tcPr>
                <w:p w14:paraId="38622A0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Ⅲ</w:t>
                  </w:r>
                </w:p>
              </w:tc>
            </w:tr>
            <w:tr w14:paraId="322D86D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7D15176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restart"/>
                  <w:shd w:val="clear" w:color="auto" w:fill="FFFFFF"/>
                  <w:noWrap w:val="0"/>
                  <w:vAlign w:val="center"/>
                </w:tcPr>
                <w:p w14:paraId="6670450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≤300</w:t>
                  </w:r>
                </w:p>
              </w:tc>
              <w:tc>
                <w:tcPr>
                  <w:tcW w:w="1241" w:type="dxa"/>
                  <w:shd w:val="clear" w:color="auto" w:fill="FFFFFF"/>
                  <w:noWrap w:val="0"/>
                  <w:vAlign w:val="center"/>
                </w:tcPr>
                <w:p w14:paraId="25485AF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≥4</w:t>
                  </w:r>
                </w:p>
              </w:tc>
              <w:tc>
                <w:tcPr>
                  <w:tcW w:w="1437" w:type="dxa"/>
                  <w:shd w:val="clear" w:color="auto" w:fill="FFFFFF"/>
                  <w:noWrap w:val="0"/>
                  <w:vAlign w:val="center"/>
                </w:tcPr>
                <w:p w14:paraId="40C4BF6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02F2DC4E">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c>
                <w:tcPr>
                  <w:tcW w:w="1479" w:type="dxa"/>
                  <w:tcBorders>
                    <w:right w:val="nil"/>
                  </w:tcBorders>
                  <w:shd w:val="clear" w:color="auto" w:fill="FFFFFF"/>
                  <w:noWrap w:val="0"/>
                  <w:vAlign w:val="center"/>
                </w:tcPr>
                <w:p w14:paraId="24A0379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Ⅲ</w:t>
                  </w:r>
                </w:p>
              </w:tc>
            </w:tr>
            <w:tr w14:paraId="0EA1BA8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tcBorders>
                  <w:shd w:val="clear" w:color="auto" w:fill="FFFFFF"/>
                  <w:noWrap w:val="0"/>
                  <w:vAlign w:val="center"/>
                </w:tcPr>
                <w:p w14:paraId="6DBF6F8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shd w:val="clear" w:color="auto" w:fill="FFFFFF"/>
                  <w:noWrap w:val="0"/>
                  <w:vAlign w:val="center"/>
                </w:tcPr>
                <w:p w14:paraId="5CBCF3BE">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shd w:val="clear" w:color="auto" w:fill="FFFFFF"/>
                  <w:noWrap w:val="0"/>
                  <w:vAlign w:val="center"/>
                </w:tcPr>
                <w:p w14:paraId="339409D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2~4</w:t>
                  </w:r>
                </w:p>
              </w:tc>
              <w:tc>
                <w:tcPr>
                  <w:tcW w:w="1437" w:type="dxa"/>
                  <w:shd w:val="clear" w:color="auto" w:fill="FFFFFF"/>
                  <w:noWrap w:val="0"/>
                  <w:vAlign w:val="center"/>
                </w:tcPr>
                <w:p w14:paraId="2068E84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shd w:val="clear" w:color="auto" w:fill="FFFFFF"/>
                  <w:noWrap w:val="0"/>
                  <w:vAlign w:val="center"/>
                </w:tcPr>
                <w:p w14:paraId="638F75B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c>
                <w:tcPr>
                  <w:tcW w:w="1479" w:type="dxa"/>
                  <w:tcBorders>
                    <w:right w:val="nil"/>
                  </w:tcBorders>
                  <w:shd w:val="clear" w:color="auto" w:fill="FFFFFF"/>
                  <w:noWrap w:val="0"/>
                  <w:vAlign w:val="center"/>
                </w:tcPr>
                <w:p w14:paraId="284C620D">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Ⅲ</w:t>
                  </w:r>
                </w:p>
              </w:tc>
            </w:tr>
            <w:tr w14:paraId="4F275695">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34" w:type="dxa"/>
                  <w:vMerge w:val="continue"/>
                  <w:tcBorders>
                    <w:left w:val="nil"/>
                    <w:bottom w:val="single" w:color="000000" w:sz="12" w:space="0"/>
                  </w:tcBorders>
                  <w:shd w:val="clear" w:color="auto" w:fill="FFFFFF"/>
                  <w:noWrap w:val="0"/>
                  <w:vAlign w:val="center"/>
                </w:tcPr>
                <w:p w14:paraId="5B39D65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459" w:type="dxa"/>
                  <w:vMerge w:val="continue"/>
                  <w:tcBorders>
                    <w:bottom w:val="single" w:color="000000" w:sz="12" w:space="0"/>
                  </w:tcBorders>
                  <w:shd w:val="clear" w:color="auto" w:fill="FFFFFF"/>
                  <w:noWrap w:val="0"/>
                  <w:vAlign w:val="center"/>
                </w:tcPr>
                <w:p w14:paraId="399CFA3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241" w:type="dxa"/>
                  <w:tcBorders>
                    <w:bottom w:val="single" w:color="000000" w:sz="12" w:space="0"/>
                  </w:tcBorders>
                  <w:shd w:val="clear" w:color="auto" w:fill="FFFFFF"/>
                  <w:noWrap w:val="0"/>
                  <w:vAlign w:val="center"/>
                </w:tcPr>
                <w:p w14:paraId="1B13689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w:t>
                  </w:r>
                </w:p>
              </w:tc>
              <w:tc>
                <w:tcPr>
                  <w:tcW w:w="1437" w:type="dxa"/>
                  <w:tcBorders>
                    <w:bottom w:val="single" w:color="000000" w:sz="12" w:space="0"/>
                  </w:tcBorders>
                  <w:shd w:val="clear" w:color="auto" w:fill="FFFFFF"/>
                  <w:noWrap w:val="0"/>
                  <w:vAlign w:val="center"/>
                </w:tcPr>
                <w:p w14:paraId="6365F05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w:t>
                  </w:r>
                </w:p>
              </w:tc>
              <w:tc>
                <w:tcPr>
                  <w:tcW w:w="1472" w:type="dxa"/>
                  <w:tcBorders>
                    <w:bottom w:val="single" w:color="000000" w:sz="12" w:space="0"/>
                  </w:tcBorders>
                  <w:shd w:val="clear" w:color="auto" w:fill="FFFFFF"/>
                  <w:noWrap w:val="0"/>
                  <w:vAlign w:val="center"/>
                </w:tcPr>
                <w:p w14:paraId="26DA635E">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w:t>
                  </w:r>
                </w:p>
              </w:tc>
              <w:tc>
                <w:tcPr>
                  <w:tcW w:w="1479" w:type="dxa"/>
                  <w:tcBorders>
                    <w:bottom w:val="single" w:color="000000" w:sz="12" w:space="0"/>
                    <w:right w:val="nil"/>
                  </w:tcBorders>
                  <w:shd w:val="clear" w:color="auto" w:fill="FFFFFF"/>
                  <w:noWrap w:val="0"/>
                  <w:vAlign w:val="center"/>
                </w:tcPr>
                <w:p w14:paraId="03FE1093">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Ⅲ</w:t>
                  </w:r>
                </w:p>
              </w:tc>
            </w:tr>
          </w:tbl>
          <w:p w14:paraId="4F07E264">
            <w:pPr>
              <w:keepNext w:val="0"/>
              <w:keepLines w:val="0"/>
              <w:suppressLineNumbers w:val="0"/>
              <w:spacing w:before="0" w:beforeAutospacing="0" w:after="0" w:afterAutospacing="0"/>
              <w:ind w:left="0" w:right="0"/>
              <w:rPr>
                <w:rFonts w:hint="default" w:ascii="Times New Roman" w:hAnsi="Times New Roman" w:cs="Times New Roman"/>
                <w:b/>
                <w:bCs/>
                <w:color w:val="000000" w:themeColor="text1"/>
                <w:spacing w:val="5"/>
                <w:sz w:val="20"/>
                <w:szCs w:val="20"/>
                <w14:textFill>
                  <w14:solidFill>
                    <w14:schemeClr w14:val="tx1"/>
                  </w14:solidFill>
                </w14:textFill>
              </w:rPr>
            </w:pPr>
          </w:p>
          <w:p w14:paraId="2C573F2D">
            <w:pPr>
              <w:pStyle w:val="22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本项目生产线原料为</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砂厂固废</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，不含水泥、粉煤灰等细粉体物料，无粉料筒仓</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矿石中粒径≤0.5mm粉体占比极低。项目</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原料堆场</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占地面积</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9000</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b w:val="0"/>
                <w:bCs w:val="0"/>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1号</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成品</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堆场（碎石15—40mm）占地面积约8000</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b w:val="0"/>
                <w:bCs w:val="0"/>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2号成品堆场以及3号成品堆场（砂子5—15mm）占地面积分别为300</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b w:val="0"/>
                <w:bCs w:val="0"/>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，区域年均风速约</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2.7</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m/s，属于</w:t>
            </w:r>
            <w:r>
              <w:rPr>
                <w:rFonts w:hint="default" w:ascii="Times New Roman" w:hAnsi="Times New Roman" w:eastAsia="宋体" w:cs="Times New Roman"/>
                <w:color w:val="000000" w:themeColor="text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m/s区间</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项目地处乌昌石扬尘重点控制区，对照表格中重点控制区</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，本项目堆场均为</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Ⅱ类堆场。</w:t>
            </w:r>
          </w:p>
          <w:p w14:paraId="30CC59EA">
            <w:pPr>
              <w:pStyle w:val="22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结合项目堆场类型，进一步按照《工业料堆场扬尘整治规范》（DB65T4061—2017）中表2选址堆场扬尘治理方案，详见表1-</w:t>
            </w:r>
            <w:r>
              <w:rPr>
                <w:rFonts w:hint="eastAsia" w:ascii="Times New Roman" w:hAnsi="Times New Roman" w:cs="Times New Roman"/>
                <w:b w:val="0"/>
                <w:bCs w:val="0"/>
                <w:color w:val="000000" w:themeColor="text1"/>
                <w:kern w:val="0"/>
                <w:sz w:val="24"/>
                <w:szCs w:val="24"/>
                <w:highlight w:val="none"/>
                <w:lang w:val="en-US" w:eastAsia="zh-CN" w:bidi="ar-SA"/>
                <w14:textFill>
                  <w14:solidFill>
                    <w14:schemeClr w14:val="tx1"/>
                  </w14:solidFill>
                </w14:textFill>
              </w:rPr>
              <w:t>7</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p>
          <w:p w14:paraId="64E160D5">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spacing w:val="5"/>
                <w:sz w:val="20"/>
                <w:szCs w:val="20"/>
                <w14:textFill>
                  <w14:solidFill>
                    <w14:schemeClr w14:val="tx1"/>
                  </w14:solidFill>
                </w14:textFill>
              </w:rPr>
            </w:pPr>
            <w:r>
              <w:rPr>
                <w:rFonts w:hint="default" w:ascii="Times New Roman" w:hAnsi="Times New Roman" w:cs="Times New Roman"/>
                <w:b/>
                <w:bCs/>
                <w:color w:val="000000" w:themeColor="text1"/>
                <w:spacing w:val="6"/>
                <w:sz w:val="20"/>
                <w:szCs w:val="20"/>
                <w14:textFill>
                  <w14:solidFill>
                    <w14:schemeClr w14:val="tx1"/>
                  </w14:solidFill>
                </w14:textFill>
              </w:rPr>
              <w:t>表</w:t>
            </w:r>
            <w:r>
              <w:rPr>
                <w:rFonts w:hint="default" w:ascii="Times New Roman" w:hAnsi="Times New Roman" w:eastAsia="Times New Roman" w:cs="Times New Roman"/>
                <w:b/>
                <w:bCs/>
                <w:color w:val="000000" w:themeColor="text1"/>
                <w:spacing w:val="6"/>
                <w:sz w:val="20"/>
                <w:szCs w:val="20"/>
                <w14:textFill>
                  <w14:solidFill>
                    <w14:schemeClr w14:val="tx1"/>
                  </w14:solidFill>
                </w14:textFill>
              </w:rPr>
              <w:t>1-</w:t>
            </w:r>
            <w:r>
              <w:rPr>
                <w:rFonts w:hint="eastAsia" w:ascii="Times New Roman" w:hAnsi="Times New Roman" w:eastAsia="宋体" w:cs="Times New Roman"/>
                <w:b/>
                <w:bCs/>
                <w:color w:val="000000" w:themeColor="text1"/>
                <w:spacing w:val="6"/>
                <w:sz w:val="20"/>
                <w:szCs w:val="20"/>
                <w:lang w:val="en-US" w:eastAsia="zh-CN"/>
                <w14:textFill>
                  <w14:solidFill>
                    <w14:schemeClr w14:val="tx1"/>
                  </w14:solidFill>
                </w14:textFill>
              </w:rPr>
              <w:t>7</w:t>
            </w:r>
            <w:r>
              <w:rPr>
                <w:rFonts w:hint="default" w:ascii="Times New Roman" w:hAnsi="Times New Roman" w:cs="Times New Roman"/>
                <w:b/>
                <w:bCs/>
                <w:color w:val="000000" w:themeColor="text1"/>
                <w:spacing w:val="6"/>
                <w:sz w:val="20"/>
                <w:szCs w:val="20"/>
                <w14:textFill>
                  <w14:solidFill>
                    <w14:schemeClr w14:val="tx1"/>
                  </w14:solidFill>
                </w14:textFill>
              </w:rPr>
              <w:t>工业料堆场扬尘防治方案选择参考表</w:t>
            </w:r>
          </w:p>
          <w:tbl>
            <w:tblPr>
              <w:tblStyle w:val="194"/>
              <w:tblW w:w="4937" w:type="pct"/>
              <w:jc w:val="center"/>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Layout w:type="autofit"/>
              <w:tblCellMar>
                <w:top w:w="0" w:type="dxa"/>
                <w:left w:w="0" w:type="dxa"/>
                <w:bottom w:w="0" w:type="dxa"/>
                <w:right w:w="0" w:type="dxa"/>
              </w:tblCellMar>
            </w:tblPr>
            <w:tblGrid>
              <w:gridCol w:w="2771"/>
              <w:gridCol w:w="3269"/>
              <w:gridCol w:w="2201"/>
            </w:tblGrid>
            <w:tr w14:paraId="5D7CDC89">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681" w:type="pct"/>
                  <w:tcBorders>
                    <w:top w:val="single" w:color="000000" w:sz="12" w:space="0"/>
                    <w:left w:val="nil"/>
                    <w:tl2br w:val="nil"/>
                    <w:tr2bl w:val="nil"/>
                  </w:tcBorders>
                  <w:shd w:val="clear" w:color="auto" w:fill="FFFFFF"/>
                  <w:noWrap w:val="0"/>
                  <w:vAlign w:val="center"/>
                </w:tcPr>
                <w:p w14:paraId="203DFC90">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工业堆料场类型</w:t>
                  </w:r>
                </w:p>
              </w:tc>
              <w:tc>
                <w:tcPr>
                  <w:tcW w:w="3318" w:type="pct"/>
                  <w:gridSpan w:val="2"/>
                  <w:tcBorders>
                    <w:top w:val="single" w:color="000000" w:sz="12" w:space="0"/>
                    <w:right w:val="nil"/>
                    <w:tl2br w:val="nil"/>
                    <w:tr2bl w:val="nil"/>
                  </w:tcBorders>
                  <w:shd w:val="clear" w:color="auto" w:fill="FFFFFF"/>
                  <w:noWrap w:val="0"/>
                  <w:vAlign w:val="center"/>
                </w:tcPr>
                <w:p w14:paraId="630BC1DD">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方案</w:t>
                  </w:r>
                </w:p>
              </w:tc>
            </w:tr>
            <w:tr w14:paraId="0C4D2C3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681" w:type="pct"/>
                  <w:vMerge w:val="restart"/>
                  <w:tcBorders>
                    <w:left w:val="nil"/>
                    <w:tl2br w:val="nil"/>
                    <w:tr2bl w:val="nil"/>
                  </w:tcBorders>
                  <w:shd w:val="clear" w:color="auto" w:fill="FFFFFF"/>
                  <w:noWrap w:val="0"/>
                  <w:vAlign w:val="center"/>
                </w:tcPr>
                <w:p w14:paraId="71EC60D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Ⅰ类堆料场</w:t>
                  </w:r>
                </w:p>
              </w:tc>
              <w:tc>
                <w:tcPr>
                  <w:tcW w:w="3318" w:type="pct"/>
                  <w:gridSpan w:val="2"/>
                  <w:tcBorders>
                    <w:right w:val="nil"/>
                    <w:tl2br w:val="nil"/>
                    <w:tr2bl w:val="nil"/>
                  </w:tcBorders>
                  <w:shd w:val="clear" w:color="auto" w:fill="FFFFFF"/>
                  <w:noWrap w:val="0"/>
                  <w:vAlign w:val="center"/>
                </w:tcPr>
                <w:p w14:paraId="0B0CD48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（1）筒仓</w:t>
                  </w:r>
                </w:p>
              </w:tc>
            </w:tr>
            <w:tr w14:paraId="58541978">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681" w:type="pct"/>
                  <w:vMerge w:val="continue"/>
                  <w:tcBorders>
                    <w:left w:val="nil"/>
                    <w:tl2br w:val="nil"/>
                    <w:tr2bl w:val="nil"/>
                  </w:tcBorders>
                  <w:shd w:val="clear" w:color="auto" w:fill="FFFFFF"/>
                  <w:noWrap w:val="0"/>
                  <w:vAlign w:val="center"/>
                </w:tcPr>
                <w:p w14:paraId="1E56C259">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3318" w:type="pct"/>
                  <w:gridSpan w:val="2"/>
                  <w:tcBorders>
                    <w:right w:val="nil"/>
                    <w:tl2br w:val="nil"/>
                    <w:tr2bl w:val="nil"/>
                  </w:tcBorders>
                  <w:shd w:val="clear" w:color="auto" w:fill="FFFFFF"/>
                  <w:noWrap w:val="0"/>
                  <w:vAlign w:val="center"/>
                </w:tcPr>
                <w:p w14:paraId="6B605B21">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（2）圆形料仓</w:t>
                  </w:r>
                </w:p>
              </w:tc>
            </w:tr>
            <w:tr w14:paraId="41B90DF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681" w:type="pct"/>
                  <w:vMerge w:val="continue"/>
                  <w:tcBorders>
                    <w:left w:val="nil"/>
                    <w:tl2br w:val="nil"/>
                    <w:tr2bl w:val="nil"/>
                  </w:tcBorders>
                  <w:shd w:val="clear" w:color="auto" w:fill="FFFFFF"/>
                  <w:noWrap w:val="0"/>
                  <w:vAlign w:val="center"/>
                </w:tcPr>
                <w:p w14:paraId="5FB2A585">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3318" w:type="pct"/>
                  <w:gridSpan w:val="2"/>
                  <w:tcBorders>
                    <w:right w:val="nil"/>
                    <w:tl2br w:val="nil"/>
                    <w:tr2bl w:val="nil"/>
                  </w:tcBorders>
                  <w:shd w:val="clear" w:color="auto" w:fill="FFFFFF"/>
                  <w:noWrap w:val="0"/>
                  <w:vAlign w:val="center"/>
                </w:tcPr>
                <w:p w14:paraId="32C31F8C">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（3）其他全封闭型仓库</w:t>
                  </w:r>
                </w:p>
              </w:tc>
            </w:tr>
            <w:tr w14:paraId="20A03EB0">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681" w:type="pct"/>
                  <w:vMerge w:val="restart"/>
                  <w:tcBorders>
                    <w:left w:val="nil"/>
                    <w:tl2br w:val="nil"/>
                    <w:tr2bl w:val="nil"/>
                  </w:tcBorders>
                  <w:shd w:val="clear" w:color="auto" w:fill="FFFFFF"/>
                  <w:noWrap w:val="0"/>
                  <w:vAlign w:val="center"/>
                </w:tcPr>
                <w:p w14:paraId="0306EC55">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Ⅱ类堆料场</w:t>
                  </w:r>
                </w:p>
              </w:tc>
              <w:tc>
                <w:tcPr>
                  <w:tcW w:w="3318" w:type="pct"/>
                  <w:gridSpan w:val="2"/>
                  <w:tcBorders>
                    <w:right w:val="nil"/>
                    <w:tl2br w:val="nil"/>
                    <w:tr2bl w:val="nil"/>
                  </w:tcBorders>
                  <w:shd w:val="clear" w:color="auto" w:fill="FFFFFF"/>
                  <w:noWrap w:val="0"/>
                  <w:vAlign w:val="center"/>
                </w:tcPr>
                <w:p w14:paraId="3EA62FE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（4）可用Ⅰ类料堆场防治方案</w:t>
                  </w:r>
                </w:p>
              </w:tc>
            </w:tr>
            <w:tr w14:paraId="0CA94FB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681" w:type="pct"/>
                  <w:vMerge w:val="continue"/>
                  <w:tcBorders>
                    <w:left w:val="nil"/>
                    <w:tl2br w:val="nil"/>
                    <w:tr2bl w:val="nil"/>
                  </w:tcBorders>
                  <w:shd w:val="clear" w:color="auto" w:fill="FFFFFF"/>
                  <w:noWrap w:val="0"/>
                  <w:vAlign w:val="center"/>
                </w:tcPr>
                <w:p w14:paraId="43270EA6">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983" w:type="pct"/>
                  <w:tcBorders>
                    <w:tl2br w:val="nil"/>
                    <w:tr2bl w:val="nil"/>
                  </w:tcBorders>
                  <w:shd w:val="clear" w:color="auto" w:fill="FFFFFF"/>
                  <w:noWrap w:val="0"/>
                  <w:vAlign w:val="center"/>
                </w:tcPr>
                <w:p w14:paraId="01053DDE">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（5）半封闭仓库+</w:t>
                  </w:r>
                </w:p>
              </w:tc>
              <w:tc>
                <w:tcPr>
                  <w:tcW w:w="1334" w:type="pct"/>
                  <w:vMerge w:val="restart"/>
                  <w:tcBorders>
                    <w:right w:val="nil"/>
                    <w:tl2br w:val="nil"/>
                    <w:tr2bl w:val="nil"/>
                  </w:tcBorders>
                  <w:shd w:val="clear" w:color="auto" w:fill="FFFFFF"/>
                  <w:noWrap w:val="0"/>
                  <w:vAlign w:val="center"/>
                </w:tcPr>
                <w:p w14:paraId="61A115F2">
                  <w:pPr>
                    <w:pStyle w:val="2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a）喷洒水</w:t>
                  </w:r>
                </w:p>
                <w:p w14:paraId="11B4ECE6">
                  <w:pPr>
                    <w:pStyle w:val="2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b）覆盖</w:t>
                  </w:r>
                </w:p>
                <w:p w14:paraId="7D902065">
                  <w:pPr>
                    <w:pStyle w:val="2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c）喷洒抑尘剂</w:t>
                  </w:r>
                </w:p>
                <w:p w14:paraId="58D1A427">
                  <w:pPr>
                    <w:pStyle w:val="2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d）干雾抑尘</w:t>
                  </w:r>
                </w:p>
              </w:tc>
            </w:tr>
            <w:tr w14:paraId="47DBFA7E">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822" w:hRule="atLeast"/>
                <w:jc w:val="center"/>
              </w:trPr>
              <w:tc>
                <w:tcPr>
                  <w:tcW w:w="1681" w:type="pct"/>
                  <w:vMerge w:val="continue"/>
                  <w:tcBorders>
                    <w:left w:val="nil"/>
                    <w:tl2br w:val="nil"/>
                    <w:tr2bl w:val="nil"/>
                  </w:tcBorders>
                  <w:shd w:val="clear" w:color="auto" w:fill="FFFFFF"/>
                  <w:noWrap w:val="0"/>
                  <w:vAlign w:val="center"/>
                </w:tcPr>
                <w:p w14:paraId="2DAF974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983" w:type="pct"/>
                  <w:tcBorders>
                    <w:tl2br w:val="nil"/>
                    <w:tr2bl w:val="nil"/>
                  </w:tcBorders>
                  <w:shd w:val="clear" w:color="auto" w:fill="FFFFFF"/>
                  <w:noWrap w:val="0"/>
                  <w:vAlign w:val="center"/>
                </w:tcPr>
                <w:p w14:paraId="47A7C78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（6）防风抑尘网（墙）+</w:t>
                  </w:r>
                </w:p>
              </w:tc>
              <w:tc>
                <w:tcPr>
                  <w:tcW w:w="1334" w:type="pct"/>
                  <w:vMerge w:val="continue"/>
                  <w:tcBorders>
                    <w:right w:val="nil"/>
                    <w:tl2br w:val="nil"/>
                    <w:tr2bl w:val="nil"/>
                  </w:tcBorders>
                  <w:shd w:val="clear" w:color="auto" w:fill="FFFFFF"/>
                  <w:noWrap w:val="0"/>
                  <w:vAlign w:val="center"/>
                </w:tcPr>
                <w:p w14:paraId="44179212">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r>
            <w:tr w14:paraId="3BB00696">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681" w:type="pct"/>
                  <w:vMerge w:val="restart"/>
                  <w:tcBorders>
                    <w:left w:val="nil"/>
                    <w:tl2br w:val="nil"/>
                    <w:tr2bl w:val="nil"/>
                  </w:tcBorders>
                  <w:shd w:val="clear" w:color="auto" w:fill="FFFFFF"/>
                  <w:noWrap w:val="0"/>
                  <w:vAlign w:val="center"/>
                </w:tcPr>
                <w:p w14:paraId="5E335048">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Ⅲ类堆料场</w:t>
                  </w:r>
                </w:p>
              </w:tc>
              <w:tc>
                <w:tcPr>
                  <w:tcW w:w="3318" w:type="pct"/>
                  <w:gridSpan w:val="2"/>
                  <w:tcBorders>
                    <w:right w:val="nil"/>
                    <w:tl2br w:val="nil"/>
                    <w:tr2bl w:val="nil"/>
                  </w:tcBorders>
                  <w:shd w:val="clear" w:color="auto" w:fill="FFFFFF"/>
                  <w:noWrap w:val="0"/>
                  <w:vAlign w:val="center"/>
                </w:tcPr>
                <w:p w14:paraId="69B7E577">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（7）可用Ⅰ和Ⅱ类料堆场防治方案</w:t>
                  </w:r>
                </w:p>
              </w:tc>
            </w:tr>
            <w:tr w14:paraId="34AC09DC">
              <w:tblPrEx>
                <w:tblBorders>
                  <w:top w:val="single" w:color="000000" w:sz="2" w:space="0"/>
                  <w:left w:val="single" w:color="000000" w:sz="2" w:space="0"/>
                  <w:bottom w:val="single" w:color="000000" w:sz="2" w:space="0"/>
                  <w:right w:val="single" w:color="000000" w:sz="2"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681" w:type="pct"/>
                  <w:vMerge w:val="continue"/>
                  <w:tcBorders>
                    <w:left w:val="nil"/>
                    <w:bottom w:val="single" w:color="000000" w:sz="12" w:space="0"/>
                    <w:tl2br w:val="nil"/>
                    <w:tr2bl w:val="nil"/>
                  </w:tcBorders>
                  <w:shd w:val="clear" w:color="auto" w:fill="FFFFFF"/>
                  <w:noWrap w:val="0"/>
                  <w:vAlign w:val="center"/>
                </w:tcPr>
                <w:p w14:paraId="34ACB24F">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p>
              </w:tc>
              <w:tc>
                <w:tcPr>
                  <w:tcW w:w="1983" w:type="pct"/>
                  <w:tcBorders>
                    <w:bottom w:val="single" w:color="000000" w:sz="12" w:space="0"/>
                    <w:tl2br w:val="nil"/>
                    <w:tr2bl w:val="nil"/>
                  </w:tcBorders>
                  <w:shd w:val="clear" w:color="auto" w:fill="FFFFFF"/>
                  <w:noWrap w:val="0"/>
                  <w:vAlign w:val="center"/>
                </w:tcPr>
                <w:p w14:paraId="5174D99A">
                  <w:pPr>
                    <w:pStyle w:val="246"/>
                    <w:keepNext w:val="0"/>
                    <w:keepLines w:val="0"/>
                    <w:suppressLineNumbers w:val="0"/>
                    <w:spacing w:before="0" w:beforeAutospacing="0" w:after="0" w:afterAutospacing="0"/>
                    <w:ind w:left="0" w:right="0"/>
                    <w:jc w:val="center"/>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（8）覆盖+</w:t>
                  </w:r>
                </w:p>
              </w:tc>
              <w:tc>
                <w:tcPr>
                  <w:tcW w:w="1334" w:type="pct"/>
                  <w:tcBorders>
                    <w:bottom w:val="single" w:color="000000" w:sz="12" w:space="0"/>
                    <w:right w:val="nil"/>
                    <w:tl2br w:val="nil"/>
                    <w:tr2bl w:val="nil"/>
                  </w:tcBorders>
                  <w:shd w:val="clear" w:color="auto" w:fill="FFFFFF"/>
                  <w:noWrap w:val="0"/>
                  <w:vAlign w:val="center"/>
                </w:tcPr>
                <w:p w14:paraId="6FC4CAE0">
                  <w:pPr>
                    <w:pStyle w:val="2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a）喷洒水</w:t>
                  </w:r>
                </w:p>
                <w:p w14:paraId="368DC0FF">
                  <w:pPr>
                    <w:pStyle w:val="2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b w:val="0"/>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b）喷洒抑尘剂</w:t>
                  </w:r>
                </w:p>
              </w:tc>
            </w:tr>
          </w:tbl>
          <w:p w14:paraId="3B2E7FCE">
            <w:pPr>
              <w:pStyle w:val="227"/>
              <w:keepNext w:val="0"/>
              <w:keepLines w:val="0"/>
              <w:suppressLineNumbers w:val="0"/>
              <w:spacing w:before="29" w:beforeAutospacing="0" w:after="0" w:afterAutospacing="0" w:line="356" w:lineRule="auto"/>
              <w:ind w:left="0" w:right="21" w:firstLine="480" w:firstLineChars="200"/>
              <w:jc w:val="both"/>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根据《工业料堆场扬尘整治规范》（DB65T4061—2017）防尘治理方案选择要求如下：</w:t>
            </w:r>
          </w:p>
          <w:p w14:paraId="329748E9">
            <w:pPr>
              <w:pStyle w:val="227"/>
              <w:keepNext w:val="0"/>
              <w:keepLines w:val="0"/>
              <w:suppressLineNumbers w:val="0"/>
              <w:spacing w:before="29" w:beforeAutospacing="0" w:after="0" w:afterAutospacing="0" w:line="356" w:lineRule="auto"/>
              <w:ind w:left="0" w:right="21" w:firstLine="480" w:firstLineChars="200"/>
              <w:jc w:val="both"/>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方案一：对于Ⅰ类料堆场，至少选取（1）、（2）和（3）三种措施之一。</w:t>
            </w:r>
          </w:p>
          <w:p w14:paraId="52DE5AC7">
            <w:pPr>
              <w:pStyle w:val="227"/>
              <w:keepNext w:val="0"/>
              <w:keepLines w:val="0"/>
              <w:suppressLineNumbers w:val="0"/>
              <w:spacing w:before="29" w:beforeAutospacing="0" w:after="0" w:afterAutospacing="0" w:line="356" w:lineRule="auto"/>
              <w:ind w:left="0" w:right="21" w:firstLine="480" w:firstLineChars="200"/>
              <w:jc w:val="both"/>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方案二：对于Ⅱ类料堆场，除选取（5）和（6）两种措施之一外，根据物料特性还应至少选取a、b、c和d四种防治措施之一。若条件许可，应选取方案一。</w:t>
            </w:r>
          </w:p>
          <w:p w14:paraId="4E8ACF13">
            <w:pPr>
              <w:pStyle w:val="227"/>
              <w:keepNext w:val="0"/>
              <w:keepLines w:val="0"/>
              <w:suppressLineNumbers w:val="0"/>
              <w:spacing w:before="29" w:beforeAutospacing="0" w:after="0" w:afterAutospacing="0" w:line="356" w:lineRule="auto"/>
              <w:ind w:left="0" w:right="21" w:firstLine="480" w:firstLineChars="200"/>
              <w:jc w:val="both"/>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方案三：对于Ⅲ类料堆场，除选取（8）措施外，根据物料特性还应至少选取a和b两种防治措施之一。若条件许可，应选取方案一或方案二。</w:t>
            </w:r>
          </w:p>
          <w:p w14:paraId="563A7B18">
            <w:pPr>
              <w:pStyle w:val="227"/>
              <w:keepNext w:val="0"/>
              <w:keepLines w:val="0"/>
              <w:suppressLineNumbers w:val="0"/>
              <w:spacing w:before="29" w:beforeAutospacing="0" w:after="0" w:afterAutospacing="0" w:line="356" w:lineRule="auto"/>
              <w:ind w:left="0" w:right="21" w:firstLine="480" w:firstLineChars="200"/>
              <w:jc w:val="both"/>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结合《工业料堆场扬尘整治规范》</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DB65/T4061-2017</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判定标准，所有堆场统一按Ⅱ类工业料堆场管控。规范要求Ⅱ类堆场可选用半封闭/防风抑尘设施，配套洒水、覆盖、干雾等任意一项抑尘措施</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本项目</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原料堆场、产品堆场均</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设置</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防风抑尘网</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+持续喷淋多重抑尘手段，</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各</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堆场治理措施均满足Ⅱ类堆场扬尘防治方案要求，符合地方扬尘整治规范相关规定。</w:t>
            </w:r>
          </w:p>
          <w:p w14:paraId="400151E8">
            <w:pPr>
              <w:keepNext w:val="0"/>
              <w:keepLines w:val="0"/>
              <w:widowControl/>
              <w:suppressLineNumbers w:val="0"/>
              <w:jc w:val="left"/>
              <w:rPr>
                <w:rFonts w:hint="eastAsia"/>
                <w:b/>
                <w:bCs/>
                <w:color w:val="000000" w:themeColor="text1"/>
                <w:kern w:val="2"/>
                <w:sz w:val="24"/>
                <w:szCs w:val="24"/>
                <w:lang w:val="en-US" w:eastAsia="zh-CN"/>
                <w14:textFill>
                  <w14:solidFill>
                    <w14:schemeClr w14:val="tx1"/>
                  </w14:solidFill>
                </w14:textFill>
              </w:rPr>
            </w:pPr>
            <w:r>
              <w:rPr>
                <w:rFonts w:hint="eastAsia" w:eastAsia="宋体"/>
                <w:b/>
                <w:bCs/>
                <w:color w:val="000000" w:themeColor="text1"/>
                <w:kern w:val="2"/>
                <w:sz w:val="24"/>
                <w:szCs w:val="24"/>
                <w:lang w:val="en-US" w:eastAsia="zh-CN"/>
                <w14:textFill>
                  <w14:solidFill>
                    <w14:schemeClr w14:val="tx1"/>
                  </w14:solidFill>
                </w14:textFill>
              </w:rPr>
              <w:t>（</w:t>
            </w:r>
            <w:r>
              <w:rPr>
                <w:rFonts w:hint="eastAsia"/>
                <w:b/>
                <w:bCs/>
                <w:color w:val="000000" w:themeColor="text1"/>
                <w:kern w:val="2"/>
                <w:sz w:val="24"/>
                <w:szCs w:val="24"/>
                <w:lang w:val="en-US" w:eastAsia="zh-CN"/>
                <w14:textFill>
                  <w14:solidFill>
                    <w14:schemeClr w14:val="tx1"/>
                  </w14:solidFill>
                </w14:textFill>
              </w:rPr>
              <w:t>十</w:t>
            </w:r>
            <w:r>
              <w:rPr>
                <w:rFonts w:hint="eastAsia" w:eastAsia="宋体"/>
                <w:b/>
                <w:bCs/>
                <w:color w:val="000000" w:themeColor="text1"/>
                <w:kern w:val="2"/>
                <w:sz w:val="24"/>
                <w:szCs w:val="24"/>
                <w:lang w:val="en-US" w:eastAsia="zh-CN"/>
                <w14:textFill>
                  <w14:solidFill>
                    <w14:schemeClr w14:val="tx1"/>
                  </w14:solidFill>
                </w14:textFill>
              </w:rPr>
              <w:t>）</w:t>
            </w:r>
            <w:r>
              <w:rPr>
                <w:rFonts w:hint="eastAsia"/>
                <w:b/>
                <w:bCs/>
                <w:color w:val="000000" w:themeColor="text1"/>
                <w:kern w:val="2"/>
                <w:sz w:val="24"/>
                <w:szCs w:val="24"/>
                <w:lang w:val="en-US" w:eastAsia="zh-CN"/>
                <w14:textFill>
                  <w14:solidFill>
                    <w14:schemeClr w14:val="tx1"/>
                  </w14:solidFill>
                </w14:textFill>
              </w:rPr>
              <w:t>项目选址合理性及外环境相容性分析</w:t>
            </w:r>
          </w:p>
          <w:p w14:paraId="464A0B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bookmarkStart w:id="1" w:name="bookmark2"/>
            <w:bookmarkEnd w:id="1"/>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本项目为砂厂固废制砂扩建项目，选址严格符合《昌吉市国土空间总体规划（2021</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2035年）</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》和</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《昌吉市三工镇国土空间总体规划（2021—2035年）</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》等</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相关管控要求。项目依托厂区现有</w:t>
            </w:r>
            <w:r>
              <w:rPr>
                <w:rFonts w:hint="eastAsia" w:eastAsia="宋体" w:cs="Times New Roman"/>
                <w:b w:val="0"/>
                <w:bCs w:val="0"/>
                <w:color w:val="000000" w:themeColor="text1"/>
                <w:kern w:val="0"/>
                <w:sz w:val="24"/>
                <w:szCs w:val="24"/>
                <w:highlight w:val="none"/>
                <w:lang w:val="en-US" w:eastAsia="zh-CN" w:bidi="ar-SA"/>
                <w14:textFill>
                  <w14:solidFill>
                    <w14:schemeClr w14:val="tx1"/>
                  </w14:solidFill>
                </w14:textFill>
              </w:rPr>
              <w:t>厂区</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实施扩建，不新增建设用地、不征用耕地，落实国土空间盘活存量、节约集约用地政策；未划入生态保护红线、永久基本农田、饮用水源保护区等各类国土空间禁建区域，用地性质与砂石固废资源化加工产业相适配，满足用途管制刚性要求。</w:t>
            </w:r>
          </w:p>
          <w:p w14:paraId="5741EB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对照区域</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“三区三线”</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地质防灾规划，场址地势平缓开阔，不存在滑坡、泥石流、活动断层等地质灾害隐患，水文及防洪条件均满足工矿项目建设标准。昌吉空港合作区、三工镇产业规划将非金属固废再生利用列为鼓励类建材配套产业，本项目依托砂厂固废生产再生骨料，契合片区循环经济布局导向。</w:t>
            </w:r>
          </w:p>
          <w:p w14:paraId="5D0843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区域常年主导风向为西南风，环境敏感点常胜村位于厂区东南侧侧风方位，厂区与村庄之间有连片耕地作为天然隔离缓冲带，粉尘向居民区扩散概率极低；厂界50米范围内无居住、文教类声敏感地块，工业与人居空间布局互不干扰。</w:t>
            </w:r>
          </w:p>
          <w:p w14:paraId="3F47EF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厂区按国土空间管控要求合理分区，办公生活区与生产堆场物理隔开，配套布袋除尘、喷淋抑尘、隔声减震、分区防渗、洗砂废水闭路循环等全套环保设施，堆场、危废库、生产区均落实防渗截流措施，可有效防控土壤、地下水污染。综合国土空间规划、</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“三区三线”</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约束、产业布局、地质安全、人居隔离及污染治理条件，本项目用地合规，无明显环境制约，选址合理，区域外环境相容性良好。</w:t>
            </w:r>
          </w:p>
          <w:p w14:paraId="6112E5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综上所述，本项目选址用地合规、地质水文条件达标，满足固体废物资源化处置场地全部选址硬性约束；结合风向条件、敏感目标相对位置、空间隔离条件及完善的污染防治措施，大气污染环境风险可控，厂区污染防控布局完善，区域环境相容性良好，评价范围内无明显环境制约因素。</w:t>
            </w:r>
          </w:p>
          <w:p w14:paraId="10BD61D6">
            <w:pPr>
              <w:keepNext w:val="0"/>
              <w:keepLines w:val="0"/>
              <w:widowControl/>
              <w:suppressLineNumbers w:val="0"/>
              <w:jc w:val="both"/>
              <w:rPr>
                <w:rFonts w:hint="default"/>
                <w:b/>
                <w:bCs/>
                <w:color w:val="000000" w:themeColor="text1"/>
                <w:kern w:val="2"/>
                <w:sz w:val="24"/>
                <w:szCs w:val="24"/>
                <w:lang w:val="en-US" w:eastAsia="zh-CN"/>
                <w14:textFill>
                  <w14:solidFill>
                    <w14:schemeClr w14:val="tx1"/>
                  </w14:solidFill>
                </w14:textFill>
              </w:rPr>
            </w:pPr>
            <w:r>
              <w:rPr>
                <w:rFonts w:hint="eastAsia"/>
                <w:b/>
                <w:bCs/>
                <w:color w:val="000000" w:themeColor="text1"/>
                <w:kern w:val="2"/>
                <w:sz w:val="24"/>
                <w:szCs w:val="24"/>
                <w:lang w:val="en-US" w:eastAsia="zh-CN"/>
                <w14:textFill>
                  <w14:solidFill>
                    <w14:schemeClr w14:val="tx1"/>
                  </w14:solidFill>
                </w14:textFill>
              </w:rPr>
              <w:t>（十一）与《固体废物综合治理行动计划》（国发</w:t>
            </w:r>
            <w:r>
              <w:rPr>
                <w:rFonts w:hint="default" w:ascii="Times New Roman" w:hAnsi="Times New Roman" w:eastAsia="黑体" w:cs="Times New Roman"/>
                <w:b/>
                <w:bCs/>
                <w:color w:val="000000" w:themeColor="text1"/>
                <w:kern w:val="2"/>
                <w:sz w:val="24"/>
                <w:szCs w:val="24"/>
                <w:lang w:val="en-US" w:eastAsia="zh-CN"/>
                <w14:textFill>
                  <w14:solidFill>
                    <w14:schemeClr w14:val="tx1"/>
                  </w14:solidFill>
                </w14:textFill>
              </w:rPr>
              <w:t>〔2025〕</w:t>
            </w:r>
            <w:r>
              <w:rPr>
                <w:rFonts w:hint="eastAsia"/>
                <w:b/>
                <w:bCs/>
                <w:color w:val="000000" w:themeColor="text1"/>
                <w:kern w:val="2"/>
                <w:sz w:val="24"/>
                <w:szCs w:val="24"/>
                <w:lang w:val="en-US" w:eastAsia="zh-CN"/>
                <w14:textFill>
                  <w14:solidFill>
                    <w14:schemeClr w14:val="tx1"/>
                  </w14:solidFill>
                </w14:textFill>
              </w:rPr>
              <w:t>14号）符合性分析</w:t>
            </w:r>
          </w:p>
          <w:p w14:paraId="11DAEED5">
            <w:pPr>
              <w:pStyle w:val="227"/>
              <w:keepNext w:val="0"/>
              <w:keepLines w:val="0"/>
              <w:suppressLineNumbers w:val="0"/>
              <w:spacing w:before="29" w:beforeAutospacing="0" w:after="0" w:afterAutospacing="0" w:line="356" w:lineRule="auto"/>
              <w:ind w:left="0" w:right="21" w:firstLine="480" w:firstLineChars="200"/>
              <w:jc w:val="both"/>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固体废物综合治理行动计划要求如下：</w:t>
            </w:r>
          </w:p>
          <w:p w14:paraId="20A4774B">
            <w:pPr>
              <w:pStyle w:val="227"/>
              <w:keepNext w:val="0"/>
              <w:keepLines w:val="0"/>
              <w:suppressLineNumbers w:val="0"/>
              <w:spacing w:before="29" w:beforeAutospacing="0" w:after="0" w:afterAutospacing="0" w:line="356" w:lineRule="auto"/>
              <w:ind w:left="0" w:right="21" w:firstLine="480" w:firstLineChars="200"/>
              <w:jc w:val="both"/>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一）加强工业固体废物源头减量。严格落实产业、环保、节能等政策，依法依规淘汰落后产能。强化工业园区固体废物源头管控。大力推行绿色设计，支持企业改进生产工艺和装备，强化工业生产精细化管控，降低固体废物产生强度。推动重有色金属矿采选一体化建设，促进尾矿就近充填回填，原则上不再批准建设无自建矿山、无配套尾矿利用处置设施的选矿项目。推动重点行业固体废物产生量与综合消纳量逐步实现动态平衡。</w:t>
            </w:r>
          </w:p>
          <w:p w14:paraId="00FF3035">
            <w:pPr>
              <w:pStyle w:val="227"/>
              <w:keepNext w:val="0"/>
              <w:keepLines w:val="0"/>
              <w:suppressLineNumbers w:val="0"/>
              <w:spacing w:before="29" w:beforeAutospacing="0" w:after="0" w:afterAutospacing="0" w:line="356" w:lineRule="auto"/>
              <w:ind w:left="0" w:right="21" w:firstLine="480" w:firstLineChars="200"/>
              <w:jc w:val="both"/>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（七）</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加强大宗固体废弃物综合利用。提升冶炼渣、尾矿、共伴生矿、赤泥、建筑垃圾</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综合</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利用能力，加强有价组分高效提取及整体利用，因地制宜推动煤矸石多元化利用。拓宽秸秆综合利用途径，提高秸秆还田科学化、规范化水平。推进畜禽养殖废弃物资源化利用。</w:t>
            </w:r>
          </w:p>
          <w:p w14:paraId="5F421341">
            <w:pPr>
              <w:pStyle w:val="227"/>
              <w:keepNext w:val="0"/>
              <w:keepLines w:val="0"/>
              <w:suppressLineNumbers w:val="0"/>
              <w:spacing w:before="29" w:beforeAutospacing="0" w:after="0" w:afterAutospacing="0" w:line="356" w:lineRule="auto"/>
              <w:ind w:left="0" w:right="21" w:firstLine="480" w:firstLineChars="200"/>
              <w:jc w:val="both"/>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本项目情况如下：</w:t>
            </w:r>
          </w:p>
          <w:p w14:paraId="1075E779">
            <w:pPr>
              <w:pStyle w:val="227"/>
              <w:keepNext w:val="0"/>
              <w:keepLines w:val="0"/>
              <w:suppressLineNumbers w:val="0"/>
              <w:spacing w:before="29" w:beforeAutospacing="0" w:after="0" w:afterAutospacing="0" w:line="356" w:lineRule="auto"/>
              <w:ind w:left="0" w:right="21" w:firstLine="480" w:firstLineChars="200"/>
              <w:jc w:val="both"/>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本项目为年产8万吨砂厂固废扩建加工项目，完全契合文件第七条、第十四条要求。项目以砂厂固废为原料水洗制砂，属于固废资源化利用设施，可实现物料整体回收、有价砂石组分高效利用，匹配提升</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固体废物</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综合利用的政策导向，生产大块废料回流生产线循环加工，水洗泥饼、除尘粉尘全部外销制砖，全物料无废弃填埋，完成大宗固废闭环利用。项目同步落实</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固废</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专项整治全链条管控要求，配套完整破碎、筛分、水洗处置生产线。原料进厂建立来源台账，生产车间全密闭收集粉尘，原料、成品堆场设置防风抑尘网与喷淋，成品移入密闭库房；厂区硬化道路、出入口</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配备</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洗车平台，严控运输抛洒扬尘。再生砂石、泥饼定向外销并留存转运单据，危废单独防渗库房规范贮存、委托资质单位处置。项目同步实施厂区原有露天堆存、排污设施不规范等问题整改，环评、备案、排污手续齐全，建立完整固废管理台账，可配合跨部门联合核查，全程无乱堆、乱运、非法处置等违规情形，符合全流程规范化整治要求。</w:t>
            </w:r>
          </w:p>
          <w:p w14:paraId="2F3963D0">
            <w:pPr>
              <w:pStyle w:val="227"/>
              <w:keepNext w:val="0"/>
              <w:keepLines w:val="0"/>
              <w:suppressLineNumbers w:val="0"/>
              <w:spacing w:before="29" w:beforeAutospacing="0" w:after="0" w:afterAutospacing="0" w:line="356" w:lineRule="auto"/>
              <w:ind w:left="0" w:right="21" w:firstLine="480" w:firstLineChars="200"/>
              <w:jc w:val="both"/>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综上所述，本项目符合《固体废物综合治理行动计划》中相关要求。</w:t>
            </w:r>
          </w:p>
          <w:p w14:paraId="75903655">
            <w:pPr>
              <w:pStyle w:val="227"/>
              <w:keepNext w:val="0"/>
              <w:keepLines w:val="0"/>
              <w:suppressLineNumbers w:val="0"/>
              <w:spacing w:before="29" w:beforeAutospacing="0" w:after="0" w:afterAutospacing="0" w:line="356" w:lineRule="auto"/>
              <w:ind w:left="0" w:right="21" w:firstLine="482" w:firstLineChars="200"/>
              <w:jc w:val="both"/>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p>
        </w:tc>
      </w:tr>
    </w:tbl>
    <w:p w14:paraId="5753CE56">
      <w:pPr>
        <w:ind w:firstLine="600"/>
        <w:outlineLvl w:val="0"/>
        <w:rPr>
          <w:rFonts w:eastAsia="黑体"/>
          <w:color w:val="000000" w:themeColor="text1"/>
          <w:sz w:val="30"/>
          <w14:textFill>
            <w14:solidFill>
              <w14:schemeClr w14:val="tx1"/>
            </w14:solidFill>
          </w14:textFill>
        </w:rPr>
        <w:sectPr>
          <w:headerReference r:id="rId5" w:type="default"/>
          <w:footerReference r:id="rId6" w:type="default"/>
          <w:pgSz w:w="11906" w:h="16838"/>
          <w:pgMar w:top="1440" w:right="1531" w:bottom="1440"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73D523E1">
      <w:pPr>
        <w:pStyle w:val="6"/>
        <w:keepNext w:val="0"/>
        <w:keepLines w:val="0"/>
        <w:pageBreakBefore w:val="0"/>
        <w:widowControl w:val="0"/>
        <w:kinsoku/>
        <w:wordWrap/>
        <w:overflowPunct w:val="0"/>
        <w:topLinePunct w:val="0"/>
        <w:autoSpaceDE/>
        <w:autoSpaceDN/>
        <w:bidi w:val="0"/>
        <w:adjustRightInd w:val="0"/>
        <w:snapToGrid w:val="0"/>
        <w:spacing w:line="240" w:lineRule="auto"/>
        <w:ind w:left="0" w:firstLine="0" w:firstLineChars="0"/>
        <w:jc w:val="center"/>
        <w:textAlignment w:val="auto"/>
      </w:pPr>
      <w:r>
        <w:rPr>
          <w:rFonts w:hint="eastAsia"/>
        </w:rPr>
        <w:t>二</w:t>
      </w:r>
      <w:r>
        <w:rPr>
          <w:rFonts w:hint="eastAsia"/>
          <w:color w:val="000000" w:themeColor="text1"/>
          <w14:textFill>
            <w14:solidFill>
              <w14:schemeClr w14:val="tx1"/>
            </w14:solidFill>
          </w14:textFill>
        </w:rPr>
        <w:t>、建设项目工程分析</w:t>
      </w:r>
    </w:p>
    <w:tbl>
      <w:tblPr>
        <w:tblStyle w:val="42"/>
        <w:tblW w:w="91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452"/>
      </w:tblGrid>
      <w:tr w14:paraId="6A4F7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6" w:type="dxa"/>
            <w:tcBorders>
              <w:tl2br w:val="nil"/>
              <w:tr2bl w:val="nil"/>
            </w:tcBorders>
            <w:vAlign w:val="center"/>
          </w:tcPr>
          <w:p w14:paraId="68F84BAD">
            <w:pPr>
              <w:pStyle w:val="37"/>
              <w:keepNext w:val="0"/>
              <w:keepLines w:val="0"/>
              <w:pageBreakBefore w:val="0"/>
              <w:widowControl w:val="0"/>
              <w:kinsoku/>
              <w:wordWrap/>
              <w:overflowPunct/>
              <w:topLinePunct w:val="0"/>
              <w:bidi w:val="0"/>
              <w:adjustRightInd w:val="0"/>
              <w:snapToGrid w:val="0"/>
              <w:spacing w:before="0" w:beforeAutospacing="0" w:after="0" w:afterAutospacing="0"/>
              <w:ind w:firstLine="0" w:firstLineChars="0"/>
              <w:jc w:val="center"/>
              <w:textAlignment w:val="auto"/>
              <w:rPr>
                <w:rFonts w:cs="宋体"/>
                <w:color w:val="000000" w:themeColor="text1"/>
                <w:sz w:val="21"/>
                <w:szCs w:val="21"/>
                <w14:textFill>
                  <w14:solidFill>
                    <w14:schemeClr w14:val="tx1"/>
                  </w14:solidFill>
                </w14:textFill>
              </w:rPr>
            </w:pPr>
            <w:r>
              <w:rPr>
                <w:rFonts w:hint="eastAsia" w:cs="宋体"/>
                <w:b/>
                <w:bCs/>
                <w:color w:val="000000" w:themeColor="text1"/>
                <w:sz w:val="21"/>
                <w:szCs w:val="21"/>
                <w14:textFill>
                  <w14:solidFill>
                    <w14:schemeClr w14:val="tx1"/>
                  </w14:solidFill>
                </w14:textFill>
              </w:rPr>
              <w:t>建设内容</w:t>
            </w:r>
          </w:p>
        </w:tc>
        <w:tc>
          <w:tcPr>
            <w:tcW w:w="8493" w:type="dxa"/>
            <w:tcBorders>
              <w:tl2br w:val="nil"/>
              <w:tr2bl w:val="nil"/>
            </w:tcBorders>
            <w:vAlign w:val="center"/>
          </w:tcPr>
          <w:p w14:paraId="5AEDB4B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b/>
                <w:bCs/>
                <w:color w:val="000000" w:themeColor="text1"/>
                <w:spacing w:val="0"/>
                <w:sz w:val="24"/>
                <w14:textFill>
                  <w14:solidFill>
                    <w14:schemeClr w14:val="tx1"/>
                  </w14:solidFill>
                </w14:textFill>
              </w:rPr>
            </w:pPr>
            <w:r>
              <w:rPr>
                <w:b/>
                <w:bCs/>
                <w:color w:val="000000" w:themeColor="text1"/>
                <w:spacing w:val="0"/>
                <w:sz w:val="24"/>
                <w14:textFill>
                  <w14:solidFill>
                    <w14:schemeClr w14:val="tx1"/>
                  </w14:solidFill>
                </w14:textFill>
              </w:rPr>
              <w:t>一、</w:t>
            </w:r>
            <w:r>
              <w:rPr>
                <w:rFonts w:hint="default" w:ascii="Times New Roman" w:hAnsi="Times New Roman" w:eastAsia="宋体" w:cs="Times New Roman"/>
                <w:b/>
                <w:color w:val="000000" w:themeColor="text1"/>
                <w:spacing w:val="0"/>
                <w:sz w:val="24"/>
                <w:szCs w:val="24"/>
                <w:highlight w:val="none"/>
                <w:lang w:val="en-US" w:eastAsia="zh-CN"/>
                <w14:textFill>
                  <w14:solidFill>
                    <w14:schemeClr w14:val="tx1"/>
                  </w14:solidFill>
                </w14:textFill>
              </w:rPr>
              <w:t>工程</w:t>
            </w:r>
            <w:r>
              <w:rPr>
                <w:rFonts w:hint="default" w:ascii="Times New Roman" w:hAnsi="Times New Roman" w:eastAsia="宋体" w:cs="Times New Roman"/>
                <w:b/>
                <w:color w:val="000000" w:themeColor="text1"/>
                <w:spacing w:val="0"/>
                <w:sz w:val="24"/>
                <w:szCs w:val="24"/>
                <w:highlight w:val="none"/>
                <w14:textFill>
                  <w14:solidFill>
                    <w14:schemeClr w14:val="tx1"/>
                  </w14:solidFill>
                </w14:textFill>
              </w:rPr>
              <w:t>内容及规模</w:t>
            </w:r>
          </w:p>
          <w:p w14:paraId="4921A5E1">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ascii="Times New Roman" w:hAnsi="Times New Roman" w:eastAsia="宋体" w:cs="Times New Roman"/>
                <w:color w:val="000000" w:themeColor="text1"/>
                <w:spacing w:val="0"/>
                <w:sz w:val="24"/>
                <w14:textFill>
                  <w14:solidFill>
                    <w14:schemeClr w14:val="tx1"/>
                  </w14:solidFill>
                </w14:textFill>
              </w:rPr>
            </w:pP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新疆森淼建筑工程有限公司年产8万吨砂厂固废处理加工扩建项目，项目位于新疆昌吉回族自治州昌吉市三工镇常胜四队99号。项目为扩建，属于私营企业自筹投资项目，已完成投资备案，备案证号：2606301648652301000105，项目代码：2606-652301-16-03-944997。</w:t>
            </w:r>
          </w:p>
          <w:p w14:paraId="37FFA301">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ascii="Times New Roman" w:hAnsi="Times New Roman" w:eastAsia="宋体" w:cs="Times New Roman"/>
                <w:color w:val="000000" w:themeColor="text1"/>
                <w:spacing w:val="0"/>
                <w:sz w:val="24"/>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项目地理位置及周边环境</w:t>
            </w:r>
            <w:r>
              <w:rPr>
                <w:rFonts w:hint="eastAsia" w:cs="Times New Roman"/>
                <w:color w:val="000000" w:themeColor="text1"/>
                <w:spacing w:val="0"/>
                <w:sz w:val="24"/>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本项目位于昌吉市，厂区用地总占地面积20亩。项目位于新疆昌吉回族自治州昌吉市三工镇常胜四队99号，常胜村位于厂区东南侧方向，项目厂界四周主要分布为耕地；项目周边无自然保护区、风景名胜区等环境敏感区域。区域主导风向条件下，项目废气主要影响区域为厂区西北方向，常胜村处于项目侧风向，距离厂界有一定间隔，耕地为项目周边主要地类。项目对外交通条件较好，可满足原料及成品砂石物料运输需求。</w:t>
            </w:r>
          </w:p>
          <w:p w14:paraId="39BD5CFE">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ascii="Times New Roman" w:hAnsi="Times New Roman" w:eastAsia="宋体" w:cs="Times New Roman"/>
                <w:color w:val="000000" w:themeColor="text1"/>
                <w:spacing w:val="0"/>
                <w:sz w:val="24"/>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建设项目工程概况：本项目建设于现有厂区范围内，以砂厂固废为原料开展水洗制砂加工，建成后年加工处理砂厂固废规模8万吨。项目配套建设完整水洗制砂生产线，主要生产设备包含料仓1座、传送带6条、振动筛1台、1.87m滚筒筛1台、绞龙1套、捞沙机1台、压滤机1台；同步修建水洗车间、筛分车间、上料平台，总建筑面积600m²。项目仅开展砂厂固废再生砂石加工活动，生产工序涵盖固废上料、筛分、水洗、压滤脱水，实现砂厂固废资源化处置。</w:t>
            </w:r>
          </w:p>
          <w:p w14:paraId="75016B68">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ascii="Times New Roman" w:hAnsi="Times New Roman" w:eastAsia="宋体" w:cs="Times New Roman"/>
                <w:color w:val="000000" w:themeColor="text1"/>
                <w:spacing w:val="0"/>
                <w:sz w:val="24"/>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根据《建设项目环境影响评价分类管理名录（2021年版）》中“三十九、废弃资源综合利用业</w:t>
            </w:r>
            <w:r>
              <w:rPr>
                <w:rFonts w:hint="eastAsia" w:cs="Times New Roman"/>
                <w:color w:val="000000" w:themeColor="text1"/>
                <w:spacing w:val="0"/>
                <w:sz w:val="24"/>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w:t>
            </w:r>
            <w:r>
              <w:rPr>
                <w:rFonts w:hint="default" w:ascii="Times New Roman" w:hAnsi="Times New Roman" w:eastAsia="宋体" w:cs="Times New Roman"/>
                <w:color w:val="000000" w:themeColor="text1"/>
                <w:spacing w:val="0"/>
                <w:sz w:val="24"/>
                <w:lang w:val="en-US" w:eastAsia="zh-CN"/>
                <w14:textFill>
                  <w14:solidFill>
                    <w14:schemeClr w14:val="tx1"/>
                  </w14:solidFill>
                </w14:textFill>
              </w:rPr>
              <w:t>85</w:t>
            </w: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、金属废料和碎屑加工处理</w:t>
            </w:r>
            <w:r>
              <w:rPr>
                <w:rFonts w:hint="default" w:ascii="Times New Roman" w:hAnsi="Times New Roman" w:eastAsia="宋体" w:cs="Times New Roman"/>
                <w:color w:val="000000" w:themeColor="text1"/>
                <w:spacing w:val="0"/>
                <w:sz w:val="24"/>
                <w:lang w:val="en-US" w:eastAsia="zh-CN"/>
                <w14:textFill>
                  <w14:solidFill>
                    <w14:schemeClr w14:val="tx1"/>
                  </w14:solidFill>
                </w14:textFill>
              </w:rPr>
              <w:t>421</w:t>
            </w: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w:t>
            </w:r>
            <w:r>
              <w:rPr>
                <w:rFonts w:hint="eastAsia" w:cs="Times New Roman"/>
                <w:color w:val="000000" w:themeColor="text1"/>
                <w:spacing w:val="0"/>
                <w:sz w:val="24"/>
                <w:lang w:val="en-US" w:eastAsia="zh-CN"/>
                <w14:textFill>
                  <w14:solidFill>
                    <w14:schemeClr w14:val="tx1"/>
                  </w14:solidFill>
                </w14:textFill>
              </w:rPr>
              <w:t>－</w:t>
            </w: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非金属废料和碎屑加工处理</w:t>
            </w:r>
            <w:r>
              <w:rPr>
                <w:rFonts w:hint="default" w:ascii="Times New Roman" w:hAnsi="Times New Roman" w:eastAsia="宋体" w:cs="Times New Roman"/>
                <w:color w:val="000000" w:themeColor="text1"/>
                <w:spacing w:val="0"/>
                <w:sz w:val="24"/>
                <w:lang w:val="en-US" w:eastAsia="zh-CN"/>
                <w14:textFill>
                  <w14:solidFill>
                    <w14:schemeClr w14:val="tx1"/>
                  </w14:solidFill>
                </w14:textFill>
              </w:rPr>
              <w:t>422</w:t>
            </w: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”，本项目应编制环境影响评价报告表。</w:t>
            </w:r>
          </w:p>
          <w:p w14:paraId="528267F2">
            <w:pPr>
              <w:keepNext w:val="0"/>
              <w:keepLines w:val="0"/>
              <w:pageBreakBefore w:val="0"/>
              <w:widowControl w:val="0"/>
              <w:kinsoku/>
              <w:wordWrap/>
              <w:overflowPunct/>
              <w:topLinePunct w:val="0"/>
              <w:autoSpaceDE/>
              <w:autoSpaceDN/>
              <w:bidi w:val="0"/>
              <w:adjustRightInd w:val="0"/>
              <w:snapToGrid w:val="0"/>
              <w:ind w:firstLine="482"/>
              <w:textAlignment w:val="auto"/>
              <w:rPr>
                <w:bCs/>
                <w:color w:val="000000" w:themeColor="text1"/>
                <w:spacing w:val="0"/>
                <w:sz w:val="24"/>
                <w14:textFill>
                  <w14:solidFill>
                    <w14:schemeClr w14:val="tx1"/>
                  </w14:solidFill>
                </w14:textFill>
              </w:rPr>
            </w:pPr>
            <w:r>
              <w:rPr>
                <w:rFonts w:hint="eastAsia"/>
                <w:b/>
                <w:color w:val="000000" w:themeColor="text1"/>
                <w:spacing w:val="0"/>
                <w:sz w:val="24"/>
                <w:lang w:eastAsia="zh-CN"/>
                <w14:textFill>
                  <w14:solidFill>
                    <w14:schemeClr w14:val="tx1"/>
                  </w14:solidFill>
                </w14:textFill>
              </w:rPr>
              <w:t>1.</w:t>
            </w:r>
            <w:r>
              <w:rPr>
                <w:rFonts w:hint="eastAsia"/>
                <w:b/>
                <w:color w:val="000000" w:themeColor="text1"/>
                <w:spacing w:val="0"/>
                <w:sz w:val="24"/>
                <w14:textFill>
                  <w14:solidFill>
                    <w14:schemeClr w14:val="tx1"/>
                  </w14:solidFill>
                </w14:textFill>
              </w:rPr>
              <w:t>工程内容</w:t>
            </w:r>
          </w:p>
          <w:p w14:paraId="4EFB961B">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eastAsia="宋体"/>
                <w:color w:val="000000" w:themeColor="text1"/>
                <w:spacing w:val="0"/>
                <w:sz w:val="24"/>
                <w:lang w:eastAsia="zh-CN"/>
                <w14:textFill>
                  <w14:solidFill>
                    <w14:schemeClr w14:val="tx1"/>
                  </w14:solidFill>
                </w14:textFill>
              </w:rPr>
            </w:pPr>
            <w:r>
              <w:rPr>
                <w:rFonts w:hint="eastAsia"/>
                <w:color w:val="000000" w:themeColor="text1"/>
                <w:spacing w:val="0"/>
                <w:sz w:val="24"/>
                <w14:textFill>
                  <w14:solidFill>
                    <w14:schemeClr w14:val="tx1"/>
                  </w14:solidFill>
                </w14:textFill>
              </w:rPr>
              <w:t>本项目由主体工程、辅助工程、公用工程、储运工程和环保工程</w:t>
            </w:r>
            <w:r>
              <w:rPr>
                <w:rFonts w:hint="eastAsia"/>
                <w:color w:val="000000" w:themeColor="text1"/>
                <w:spacing w:val="0"/>
                <w:sz w:val="24"/>
                <w:lang w:eastAsia="zh-CN"/>
                <w14:textFill>
                  <w14:solidFill>
                    <w14:schemeClr w14:val="tx1"/>
                  </w14:solidFill>
                </w14:textFill>
              </w:rPr>
              <w:t>：</w:t>
            </w:r>
          </w:p>
          <w:p w14:paraId="0244AB0A">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ascii="Times New Roman" w:hAnsi="Times New Roman" w:eastAsia="宋体" w:cs="Times New Roman"/>
                <w:color w:val="000000" w:themeColor="text1"/>
                <w:spacing w:val="0"/>
                <w:sz w:val="24"/>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主体工程：新建完整水洗制砂生产线，配套料仓、传送带、振动筛、滚筒筛、捞沙机、压滤机等全套加工设备，同步建设水洗车间、筛分车间、上料平台，总建筑面积600㎡，实现砂厂固废上料、干法筛分、湿式水洗、压滤脱水全流程资源化加工，年处理砂厂固废8万吨。</w:t>
            </w:r>
          </w:p>
          <w:p w14:paraId="6EE26D1B">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ascii="Times New Roman" w:hAnsi="Times New Roman" w:eastAsia="宋体" w:cs="Times New Roman"/>
                <w:color w:val="000000" w:themeColor="text1"/>
                <w:spacing w:val="0"/>
                <w:sz w:val="24"/>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辅助工程：厂区办公值守区域、设备检修区、车辆停放区，配套设备维修工具、物料转运铲车等设施，保障生产线日常运维与物料转运（依托）。</w:t>
            </w:r>
          </w:p>
          <w:p w14:paraId="3C63AF89">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ascii="Times New Roman" w:hAnsi="Times New Roman" w:eastAsia="宋体" w:cs="Times New Roman"/>
                <w:color w:val="000000" w:themeColor="text1"/>
                <w:spacing w:val="0"/>
                <w:sz w:val="24"/>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公用工程：供水系统（水车供给生产杂用水、城镇自来水管网供给生活用水，配套多级沉淀、清水循环池）；供电依托厂区现有供电线路扩容；无生产供热，依托现有卫生间、化粪池等生活配套设施。</w:t>
            </w:r>
          </w:p>
          <w:p w14:paraId="22154F5C">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ascii="Times New Roman" w:hAnsi="Times New Roman" w:eastAsia="宋体" w:cs="Times New Roman"/>
                <w:color w:val="000000" w:themeColor="text1"/>
                <w:spacing w:val="0"/>
                <w:sz w:val="24"/>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储运工程：划分原料堆场、碎石成品堆场、成品砂堆场，所有砂石物料分区规范堆存。</w:t>
            </w:r>
          </w:p>
          <w:p w14:paraId="0D3A8C48">
            <w:pPr>
              <w:keepNext w:val="0"/>
              <w:keepLines w:val="0"/>
              <w:pageBreakBefore w:val="0"/>
              <w:widowControl w:val="0"/>
              <w:kinsoku/>
              <w:wordWrap w:val="0"/>
              <w:overflowPunct/>
              <w:topLinePunct w:val="0"/>
              <w:autoSpaceDE/>
              <w:autoSpaceDN/>
              <w:bidi w:val="0"/>
              <w:adjustRightInd w:val="0"/>
              <w:snapToGrid w:val="0"/>
              <w:ind w:firstLine="480"/>
              <w:jc w:val="left"/>
              <w:textAlignment w:val="auto"/>
              <w:rPr>
                <w:rFonts w:hint="eastAsia" w:ascii="Times New Roman" w:hAnsi="Times New Roman" w:eastAsia="宋体" w:cs="Times New Roman"/>
                <w:color w:val="000000" w:themeColor="text1"/>
                <w:spacing w:val="0"/>
                <w:sz w:val="24"/>
                <w:lang w:val="en-US" w:eastAsia="zh-CN"/>
                <w14:textFill>
                  <w14:solidFill>
                    <w14:schemeClr w14:val="tx1"/>
                  </w14:solidFill>
                </w14:textFill>
              </w:rPr>
            </w:pPr>
            <w:r>
              <w:rPr>
                <w:rFonts w:hint="eastAsia" w:ascii="Times New Roman" w:hAnsi="Times New Roman" w:eastAsia="宋体" w:cs="Times New Roman"/>
                <w:color w:val="000000" w:themeColor="text1"/>
                <w:spacing w:val="0"/>
                <w:sz w:val="24"/>
                <w:lang w:val="en-US" w:eastAsia="zh-CN"/>
                <w14:textFill>
                  <w14:solidFill>
                    <w14:schemeClr w14:val="tx1"/>
                  </w14:solidFill>
                </w14:textFill>
              </w:rPr>
              <w:t>环保工程：废气治理配套密闭集气罩+布袋除尘器+15m排气筒；堆场、道路配套喷淋、防风抑尘网、洗车平台；废水配套沉降罐、二沉池实现闭路循环；设置一般固废暂存区、标准化危废贮存库，同步配套隔声、防渗、应急物资等污染防治设施。</w:t>
            </w:r>
          </w:p>
          <w:p w14:paraId="6FDA8FCB">
            <w:pPr>
              <w:keepNext w:val="0"/>
              <w:keepLines w:val="0"/>
              <w:pageBreakBefore w:val="0"/>
              <w:widowControl w:val="0"/>
              <w:kinsoku/>
              <w:wordWrap/>
              <w:overflowPunct/>
              <w:topLinePunct w:val="0"/>
              <w:autoSpaceDE/>
              <w:autoSpaceDN/>
              <w:bidi w:val="0"/>
              <w:adjustRightInd w:val="0"/>
              <w:snapToGrid w:val="0"/>
              <w:ind w:firstLine="520"/>
              <w:jc w:val="left"/>
              <w:textAlignment w:val="auto"/>
              <w:rPr>
                <w:b/>
                <w:bCs/>
                <w:color w:val="000000" w:themeColor="text1"/>
                <w:spacing w:val="0"/>
                <w:sz w:val="24"/>
                <w:szCs w:val="21"/>
                <w14:textFill>
                  <w14:solidFill>
                    <w14:schemeClr w14:val="tx1"/>
                  </w14:solidFill>
                </w14:textFill>
              </w:rPr>
            </w:pPr>
            <w:r>
              <w:rPr>
                <w:rFonts w:hint="eastAsia"/>
                <w:color w:val="000000" w:themeColor="text1"/>
                <w:spacing w:val="0"/>
                <w:sz w:val="24"/>
                <w14:textFill>
                  <w14:solidFill>
                    <w14:schemeClr w14:val="tx1"/>
                  </w14:solidFill>
                </w14:textFill>
              </w:rPr>
              <w:t>工程内容见表</w:t>
            </w:r>
            <w:r>
              <w:rPr>
                <w:color w:val="000000" w:themeColor="text1"/>
                <w:spacing w:val="0"/>
                <w:sz w:val="24"/>
                <w14:textFill>
                  <w14:solidFill>
                    <w14:schemeClr w14:val="tx1"/>
                  </w14:solidFill>
                </w14:textFill>
              </w:rPr>
              <w:t>2</w:t>
            </w:r>
            <w:r>
              <w:rPr>
                <w:rFonts w:hint="eastAsia"/>
                <w:color w:val="000000" w:themeColor="text1"/>
                <w:spacing w:val="0"/>
                <w:sz w:val="24"/>
                <w14:textFill>
                  <w14:solidFill>
                    <w14:schemeClr w14:val="tx1"/>
                  </w14:solidFill>
                </w14:textFill>
              </w:rPr>
              <w:t>-1。</w:t>
            </w:r>
          </w:p>
          <w:p w14:paraId="2ECB59A1">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表2-1</w:t>
            </w:r>
            <w:r>
              <w:rPr>
                <w:rFonts w:hint="eastAsia"/>
                <w:b/>
                <w:bCs/>
                <w:color w:val="000000" w:themeColor="text1"/>
                <w:sz w:val="21"/>
                <w:szCs w:val="21"/>
                <w14:textFill>
                  <w14:solidFill>
                    <w14:schemeClr w14:val="tx1"/>
                  </w14:solidFill>
                </w14:textFill>
              </w:rPr>
              <w:t xml:space="preserve">    工程内容一览表</w:t>
            </w:r>
          </w:p>
          <w:tbl>
            <w:tblPr>
              <w:tblStyle w:val="42"/>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932"/>
              <w:gridCol w:w="811"/>
              <w:gridCol w:w="861"/>
              <w:gridCol w:w="5014"/>
              <w:gridCol w:w="1614"/>
            </w:tblGrid>
            <w:tr w14:paraId="73E5C9F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1410" w:type="pct"/>
                  <w:gridSpan w:val="3"/>
                  <w:tcBorders>
                    <w:top w:val="single" w:color="000000" w:sz="12" w:space="0"/>
                    <w:tl2br w:val="nil"/>
                    <w:tr2bl w:val="nil"/>
                  </w:tcBorders>
                  <w:shd w:val="clear" w:color="auto" w:fill="FFFFFF"/>
                  <w:vAlign w:val="center"/>
                </w:tcPr>
                <w:p w14:paraId="4A3A4B2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bCs/>
                      <w:color w:val="000000" w:themeColor="text1"/>
                      <w:spacing w:val="0"/>
                      <w:sz w:val="21"/>
                      <w:szCs w:val="21"/>
                      <w14:textFill>
                        <w14:solidFill>
                          <w14:schemeClr w14:val="tx1"/>
                        </w14:solidFill>
                      </w14:textFill>
                    </w:rPr>
                  </w:pPr>
                  <w:r>
                    <w:rPr>
                      <w:rFonts w:hint="eastAsia" w:ascii="Times New Roman" w:hAnsi="Times New Roman" w:eastAsia="宋体"/>
                      <w:b w:val="0"/>
                      <w:bCs/>
                      <w:color w:val="000000" w:themeColor="text1"/>
                      <w:spacing w:val="0"/>
                      <w:sz w:val="21"/>
                      <w:szCs w:val="21"/>
                      <w14:textFill>
                        <w14:solidFill>
                          <w14:schemeClr w14:val="tx1"/>
                        </w14:solidFill>
                      </w14:textFill>
                    </w:rPr>
                    <w:t>项目名称</w:t>
                  </w:r>
                </w:p>
              </w:tc>
              <w:tc>
                <w:tcPr>
                  <w:tcW w:w="2715" w:type="pct"/>
                  <w:tcBorders>
                    <w:top w:val="single" w:color="000000" w:sz="12" w:space="0"/>
                    <w:tl2br w:val="nil"/>
                    <w:tr2bl w:val="nil"/>
                  </w:tcBorders>
                  <w:shd w:val="clear" w:color="auto" w:fill="FFFFFF"/>
                  <w:vAlign w:val="center"/>
                </w:tcPr>
                <w:p w14:paraId="691BDEB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textAlignment w:val="auto"/>
                    <w:rPr>
                      <w:rFonts w:hint="eastAsia" w:ascii="Times New Roman" w:hAnsi="Times New Roman" w:eastAsia="宋体"/>
                      <w:b w:val="0"/>
                      <w:bCs/>
                      <w:color w:val="000000" w:themeColor="text1"/>
                      <w:spacing w:val="0"/>
                      <w:sz w:val="21"/>
                      <w:szCs w:val="21"/>
                      <w14:textFill>
                        <w14:solidFill>
                          <w14:schemeClr w14:val="tx1"/>
                        </w14:solidFill>
                      </w14:textFill>
                    </w:rPr>
                  </w:pPr>
                  <w:r>
                    <w:rPr>
                      <w:rFonts w:hint="eastAsia" w:ascii="Times New Roman" w:hAnsi="Times New Roman" w:eastAsia="宋体"/>
                      <w:b w:val="0"/>
                      <w:bCs/>
                      <w:color w:val="000000" w:themeColor="text1"/>
                      <w:spacing w:val="0"/>
                      <w:sz w:val="21"/>
                      <w:szCs w:val="21"/>
                      <w:lang w:val="en-US" w:eastAsia="zh-CN"/>
                      <w14:textFill>
                        <w14:solidFill>
                          <w14:schemeClr w14:val="tx1"/>
                        </w14:solidFill>
                      </w14:textFill>
                    </w:rPr>
                    <w:t>本项目</w:t>
                  </w:r>
                  <w:r>
                    <w:rPr>
                      <w:rFonts w:hint="eastAsia" w:ascii="Times New Roman" w:hAnsi="Times New Roman" w:eastAsia="宋体"/>
                      <w:b w:val="0"/>
                      <w:bCs/>
                      <w:color w:val="000000" w:themeColor="text1"/>
                      <w:spacing w:val="0"/>
                      <w:sz w:val="21"/>
                      <w:szCs w:val="21"/>
                      <w14:textFill>
                        <w14:solidFill>
                          <w14:schemeClr w14:val="tx1"/>
                        </w14:solidFill>
                      </w14:textFill>
                    </w:rPr>
                    <w:t>内容及规模</w:t>
                  </w:r>
                </w:p>
              </w:tc>
              <w:tc>
                <w:tcPr>
                  <w:tcW w:w="874" w:type="pct"/>
                  <w:tcBorders>
                    <w:top w:val="single" w:color="000000" w:sz="12" w:space="0"/>
                    <w:tl2br w:val="nil"/>
                    <w:tr2bl w:val="nil"/>
                  </w:tcBorders>
                  <w:shd w:val="clear" w:color="auto" w:fill="FFFFFF"/>
                  <w:vAlign w:val="center"/>
                </w:tcPr>
                <w:p w14:paraId="5E72AFF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ascii="Times New Roman" w:hAnsi="Times New Roman" w:eastAsia="宋体"/>
                      <w:b w:val="0"/>
                      <w:bCs/>
                      <w:color w:val="000000" w:themeColor="text1"/>
                      <w:spacing w:val="0"/>
                      <w:sz w:val="21"/>
                      <w:szCs w:val="21"/>
                      <w14:textFill>
                        <w14:solidFill>
                          <w14:schemeClr w14:val="tx1"/>
                        </w14:solidFill>
                      </w14:textFill>
                    </w:rPr>
                  </w:pPr>
                  <w:r>
                    <w:rPr>
                      <w:rFonts w:hint="eastAsia" w:ascii="Times New Roman" w:hAnsi="Times New Roman" w:eastAsia="宋体"/>
                      <w:b w:val="0"/>
                      <w:bCs/>
                      <w:color w:val="000000" w:themeColor="text1"/>
                      <w:spacing w:val="0"/>
                      <w:sz w:val="21"/>
                      <w:szCs w:val="21"/>
                      <w14:textFill>
                        <w14:solidFill>
                          <w14:schemeClr w14:val="tx1"/>
                        </w14:solidFill>
                      </w14:textFill>
                    </w:rPr>
                    <w:t>备注</w:t>
                  </w:r>
                </w:p>
              </w:tc>
            </w:tr>
            <w:tr w14:paraId="20F9B01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505" w:type="pct"/>
                  <w:tcBorders>
                    <w:tl2br w:val="nil"/>
                    <w:tr2bl w:val="nil"/>
                  </w:tcBorders>
                  <w:shd w:val="clear" w:color="auto" w:fill="FFFFFF"/>
                  <w:vAlign w:val="center"/>
                </w:tcPr>
                <w:p w14:paraId="312AC19D">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主体</w:t>
                  </w:r>
                </w:p>
                <w:p w14:paraId="50527315">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工程</w:t>
                  </w:r>
                </w:p>
              </w:tc>
              <w:tc>
                <w:tcPr>
                  <w:tcW w:w="905" w:type="pct"/>
                  <w:gridSpan w:val="2"/>
                  <w:tcBorders>
                    <w:tl2br w:val="nil"/>
                    <w:tr2bl w:val="nil"/>
                  </w:tcBorders>
                  <w:shd w:val="clear" w:color="auto" w:fill="FFFFFF"/>
                  <w:vAlign w:val="center"/>
                </w:tcPr>
                <w:p w14:paraId="2FE34040">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生产车间</w:t>
                  </w:r>
                </w:p>
              </w:tc>
              <w:tc>
                <w:tcPr>
                  <w:tcW w:w="2715" w:type="pct"/>
                  <w:tcBorders>
                    <w:tl2br w:val="nil"/>
                    <w:tr2bl w:val="nil"/>
                  </w:tcBorders>
                  <w:shd w:val="clear" w:color="auto" w:fill="FFFFFF"/>
                  <w:vAlign w:val="center"/>
                </w:tcPr>
                <w:p w14:paraId="4F7EC29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水洗制砂生产线一条，包括上料平台一座、筛分车间一个、水机车间一个，占地面积分别为200m</w:t>
                  </w:r>
                  <w:r>
                    <w:rPr>
                      <w:rFonts w:hint="eastAsia"/>
                      <w:b w:val="0"/>
                      <w:color w:val="000000" w:themeColor="text1"/>
                      <w:spacing w:val="0"/>
                      <w:sz w:val="21"/>
                      <w:szCs w:val="21"/>
                      <w:vertAlign w:val="superscript"/>
                      <w:lang w:val="en-US" w:eastAsia="zh-CN"/>
                      <w14:textFill>
                        <w14:solidFill>
                          <w14:schemeClr w14:val="tx1"/>
                        </w14:solidFill>
                      </w14:textFill>
                    </w:rPr>
                    <w:t>2</w:t>
                  </w:r>
                </w:p>
              </w:tc>
              <w:tc>
                <w:tcPr>
                  <w:tcW w:w="874" w:type="pct"/>
                  <w:tcBorders>
                    <w:tl2br w:val="nil"/>
                    <w:tr2bl w:val="nil"/>
                  </w:tcBorders>
                  <w:shd w:val="clear" w:color="auto" w:fill="FFFFFF"/>
                  <w:vAlign w:val="center"/>
                </w:tcPr>
                <w:p w14:paraId="3ED393C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新建</w:t>
                  </w:r>
                </w:p>
              </w:tc>
            </w:tr>
            <w:tr w14:paraId="1DB22DA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505" w:type="pct"/>
                  <w:vMerge w:val="restart"/>
                  <w:tcBorders>
                    <w:tl2br w:val="nil"/>
                    <w:tr2bl w:val="nil"/>
                  </w:tcBorders>
                  <w:shd w:val="clear" w:color="auto" w:fill="FFFFFF"/>
                  <w:vAlign w:val="center"/>
                </w:tcPr>
                <w:p w14:paraId="0484927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储运工程</w:t>
                  </w:r>
                </w:p>
              </w:tc>
              <w:tc>
                <w:tcPr>
                  <w:tcW w:w="905" w:type="pct"/>
                  <w:gridSpan w:val="2"/>
                  <w:tcBorders>
                    <w:tl2br w:val="nil"/>
                    <w:tr2bl w:val="nil"/>
                  </w:tcBorders>
                  <w:shd w:val="clear" w:color="auto" w:fill="FFFFFF"/>
                  <w:vAlign w:val="center"/>
                </w:tcPr>
                <w:p w14:paraId="575093E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原料堆场</w:t>
                  </w:r>
                </w:p>
              </w:tc>
              <w:tc>
                <w:tcPr>
                  <w:tcW w:w="2715" w:type="pct"/>
                  <w:tcBorders>
                    <w:tl2br w:val="nil"/>
                    <w:tr2bl w:val="nil"/>
                  </w:tcBorders>
                  <w:shd w:val="clear" w:color="auto" w:fill="FFFFFF"/>
                  <w:vAlign w:val="center"/>
                </w:tcPr>
                <w:p w14:paraId="540BE55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both"/>
                    <w:textAlignment w:val="auto"/>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原料堆场一个，占地面积9000</w:t>
                  </w:r>
                  <w:r>
                    <w:rPr>
                      <w:rFonts w:hint="eastAsia"/>
                      <w:b w:val="0"/>
                      <w:color w:val="000000" w:themeColor="text1"/>
                      <w:spacing w:val="0"/>
                      <w:sz w:val="21"/>
                      <w:szCs w:val="21"/>
                      <w:lang w:val="en-US" w:eastAsia="zh-CN"/>
                      <w14:textFill>
                        <w14:solidFill>
                          <w14:schemeClr w14:val="tx1"/>
                        </w14:solidFill>
                      </w14:textFill>
                    </w:rPr>
                    <w:t>m</w:t>
                  </w:r>
                  <w:r>
                    <w:rPr>
                      <w:rFonts w:hint="eastAsia"/>
                      <w:b w:val="0"/>
                      <w:color w:val="000000" w:themeColor="text1"/>
                      <w:spacing w:val="0"/>
                      <w:sz w:val="21"/>
                      <w:szCs w:val="21"/>
                      <w:vertAlign w:val="superscript"/>
                      <w:lang w:val="en-US" w:eastAsia="zh-CN"/>
                      <w14:textFill>
                        <w14:solidFill>
                          <w14:schemeClr w14:val="tx1"/>
                        </w14:solidFill>
                      </w14:textFill>
                    </w:rPr>
                    <w:t>2</w:t>
                  </w:r>
                </w:p>
              </w:tc>
              <w:tc>
                <w:tcPr>
                  <w:tcW w:w="874" w:type="pct"/>
                  <w:tcBorders>
                    <w:tl2br w:val="nil"/>
                    <w:tr2bl w:val="nil"/>
                  </w:tcBorders>
                  <w:shd w:val="clear" w:color="auto" w:fill="FFFFFF"/>
                  <w:vAlign w:val="center"/>
                </w:tcPr>
                <w:p w14:paraId="336BB96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新建</w:t>
                  </w:r>
                </w:p>
              </w:tc>
            </w:tr>
            <w:tr w14:paraId="48B9936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505" w:type="pct"/>
                  <w:vMerge w:val="continue"/>
                  <w:tcBorders>
                    <w:tl2br w:val="nil"/>
                    <w:tr2bl w:val="nil"/>
                  </w:tcBorders>
                  <w:shd w:val="clear" w:color="auto" w:fill="FFFFFF"/>
                  <w:vAlign w:val="center"/>
                </w:tcPr>
                <w:p w14:paraId="67846D90">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eastAsia" w:ascii="Times New Roman" w:hAnsi="Times New Roman" w:eastAsia="宋体"/>
                      <w:b w:val="0"/>
                      <w:color w:val="000000" w:themeColor="text1"/>
                      <w:spacing w:val="0"/>
                      <w:sz w:val="21"/>
                      <w:szCs w:val="21"/>
                      <w:lang w:val="en-US" w:eastAsia="zh-CN"/>
                      <w14:textFill>
                        <w14:solidFill>
                          <w14:schemeClr w14:val="tx1"/>
                        </w14:solidFill>
                      </w14:textFill>
                    </w:rPr>
                  </w:pPr>
                </w:p>
              </w:tc>
              <w:tc>
                <w:tcPr>
                  <w:tcW w:w="905" w:type="pct"/>
                  <w:gridSpan w:val="2"/>
                  <w:tcBorders>
                    <w:tl2br w:val="nil"/>
                    <w:tr2bl w:val="nil"/>
                  </w:tcBorders>
                  <w:shd w:val="clear" w:color="auto" w:fill="FFFFFF"/>
                  <w:vAlign w:val="center"/>
                </w:tcPr>
                <w:p w14:paraId="6823865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成品堆场</w:t>
                  </w:r>
                </w:p>
              </w:tc>
              <w:tc>
                <w:tcPr>
                  <w:tcW w:w="2715" w:type="pct"/>
                  <w:tcBorders>
                    <w:tl2br w:val="nil"/>
                    <w:tr2bl w:val="nil"/>
                  </w:tcBorders>
                  <w:shd w:val="clear" w:color="auto" w:fill="FFFFFF"/>
                  <w:vAlign w:val="center"/>
                </w:tcPr>
                <w:p w14:paraId="380B836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both"/>
                    <w:textAlignment w:val="auto"/>
                    <w:rPr>
                      <w:rFonts w:hint="eastAsia"/>
                      <w:b w:val="0"/>
                      <w:color w:val="000000" w:themeColor="text1"/>
                      <w:sz w:val="21"/>
                      <w:szCs w:val="21"/>
                      <w:lang w:val="en-US" w:eastAsia="zh-CN"/>
                      <w14:textFill>
                        <w14:solidFill>
                          <w14:schemeClr w14:val="tx1"/>
                        </w14:solidFill>
                      </w14:textFill>
                    </w:rPr>
                  </w:pPr>
                  <w:r>
                    <w:rPr>
                      <w:rFonts w:hint="eastAsia" w:eastAsia="宋体"/>
                      <w:b w:val="0"/>
                      <w:color w:val="000000" w:themeColor="text1"/>
                      <w:sz w:val="21"/>
                      <w:szCs w:val="21"/>
                      <w:lang w:val="en-US" w:eastAsia="zh-CN"/>
                      <w14:textFill>
                        <w14:solidFill>
                          <w14:schemeClr w14:val="tx1"/>
                        </w14:solidFill>
                      </w14:textFill>
                    </w:rPr>
                    <w:t>两处砂子成品堆场单块占地面积均为300m²，</w:t>
                  </w:r>
                  <w:r>
                    <w:rPr>
                      <w:rFonts w:hint="eastAsia"/>
                      <w:b w:val="0"/>
                      <w:color w:val="000000" w:themeColor="text1"/>
                      <w:sz w:val="21"/>
                      <w:szCs w:val="21"/>
                      <w:lang w:val="en-US" w:eastAsia="zh-CN"/>
                      <w14:textFill>
                        <w14:solidFill>
                          <w14:schemeClr w14:val="tx1"/>
                        </w14:solidFill>
                      </w14:textFill>
                    </w:rPr>
                    <w:t>石子堆场一个占地面积8000</w:t>
                  </w:r>
                  <w:r>
                    <w:rPr>
                      <w:rFonts w:hint="eastAsia"/>
                      <w:b w:val="0"/>
                      <w:color w:val="000000" w:themeColor="text1"/>
                      <w:spacing w:val="0"/>
                      <w:sz w:val="21"/>
                      <w:szCs w:val="21"/>
                      <w:lang w:val="en-US" w:eastAsia="zh-CN"/>
                      <w14:textFill>
                        <w14:solidFill>
                          <w14:schemeClr w14:val="tx1"/>
                        </w14:solidFill>
                      </w14:textFill>
                    </w:rPr>
                    <w:t>m</w:t>
                  </w:r>
                  <w:r>
                    <w:rPr>
                      <w:rFonts w:hint="eastAsia"/>
                      <w:b w:val="0"/>
                      <w:color w:val="000000" w:themeColor="text1"/>
                      <w:spacing w:val="0"/>
                      <w:sz w:val="21"/>
                      <w:szCs w:val="21"/>
                      <w:vertAlign w:val="superscript"/>
                      <w:lang w:val="en-US" w:eastAsia="zh-CN"/>
                      <w14:textFill>
                        <w14:solidFill>
                          <w14:schemeClr w14:val="tx1"/>
                        </w14:solidFill>
                      </w14:textFill>
                    </w:rPr>
                    <w:t>2</w:t>
                  </w:r>
                </w:p>
              </w:tc>
              <w:tc>
                <w:tcPr>
                  <w:tcW w:w="874" w:type="pct"/>
                  <w:tcBorders>
                    <w:tl2br w:val="nil"/>
                    <w:tr2bl w:val="nil"/>
                  </w:tcBorders>
                  <w:shd w:val="clear" w:color="auto" w:fill="FFFFFF"/>
                  <w:vAlign w:val="center"/>
                </w:tcPr>
                <w:p w14:paraId="6C9F44E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新建</w:t>
                  </w:r>
                </w:p>
              </w:tc>
            </w:tr>
            <w:tr w14:paraId="29C8F2F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5" w:type="pct"/>
                  <w:tcBorders>
                    <w:tl2br w:val="nil"/>
                    <w:tr2bl w:val="nil"/>
                  </w:tcBorders>
                  <w:shd w:val="clear" w:color="auto" w:fill="FFFFFF"/>
                  <w:vAlign w:val="center"/>
                </w:tcPr>
                <w:p w14:paraId="1B88EAD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eastAsia"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辅助工程</w:t>
                  </w:r>
                </w:p>
              </w:tc>
              <w:tc>
                <w:tcPr>
                  <w:tcW w:w="905" w:type="pct"/>
                  <w:gridSpan w:val="2"/>
                  <w:tcBorders>
                    <w:tl2br w:val="nil"/>
                    <w:tr2bl w:val="nil"/>
                  </w:tcBorders>
                  <w:shd w:val="clear" w:color="auto" w:fill="FFFFFF"/>
                  <w:vAlign w:val="center"/>
                </w:tcPr>
                <w:p w14:paraId="3887419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highlight w:val="none"/>
                      <w:lang w:val="en-US" w:eastAsia="zh-CN"/>
                      <w14:textFill>
                        <w14:solidFill>
                          <w14:schemeClr w14:val="tx1"/>
                        </w14:solidFill>
                      </w14:textFill>
                    </w:rPr>
                    <w:t>办公</w:t>
                  </w:r>
                  <w:r>
                    <w:rPr>
                      <w:rFonts w:hint="eastAsia"/>
                      <w:b w:val="0"/>
                      <w:color w:val="000000" w:themeColor="text1"/>
                      <w:spacing w:val="0"/>
                      <w:sz w:val="21"/>
                      <w:szCs w:val="21"/>
                      <w:highlight w:val="none"/>
                      <w:lang w:val="en-US" w:eastAsia="zh-CN"/>
                      <w14:textFill>
                        <w14:solidFill>
                          <w14:schemeClr w14:val="tx1"/>
                        </w14:solidFill>
                      </w14:textFill>
                    </w:rPr>
                    <w:t>区</w:t>
                  </w:r>
                  <w:r>
                    <w:rPr>
                      <w:rFonts w:hint="eastAsia" w:ascii="Times New Roman" w:hAnsi="Times New Roman" w:eastAsia="宋体"/>
                      <w:b w:val="0"/>
                      <w:color w:val="000000" w:themeColor="text1"/>
                      <w:spacing w:val="0"/>
                      <w:sz w:val="21"/>
                      <w:szCs w:val="21"/>
                      <w:highlight w:val="none"/>
                      <w:lang w:val="en-US" w:eastAsia="zh-CN"/>
                      <w14:textFill>
                        <w14:solidFill>
                          <w14:schemeClr w14:val="tx1"/>
                        </w14:solidFill>
                      </w14:textFill>
                    </w:rPr>
                    <w:t>及宿舍</w:t>
                  </w:r>
                </w:p>
              </w:tc>
              <w:tc>
                <w:tcPr>
                  <w:tcW w:w="2715" w:type="pct"/>
                  <w:tcBorders>
                    <w:tl2br w:val="nil"/>
                    <w:tr2bl w:val="nil"/>
                  </w:tcBorders>
                  <w:shd w:val="clear" w:color="auto" w:fill="FFFFFF"/>
                  <w:vAlign w:val="center"/>
                </w:tcPr>
                <w:p w14:paraId="3F11AC5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textAlignment w:val="auto"/>
                    <w:rPr>
                      <w:rFonts w:hint="default" w:ascii="Times New Roman" w:hAnsi="Times New Roman" w:eastAsia="宋体"/>
                      <w:b w:val="0"/>
                      <w:color w:val="000000" w:themeColor="text1"/>
                      <w:spacing w:val="0"/>
                      <w:sz w:val="21"/>
                      <w:szCs w:val="21"/>
                      <w:highlight w:val="none"/>
                      <w:lang w:val="en-US" w:eastAsia="zh-CN"/>
                      <w14:textFill>
                        <w14:solidFill>
                          <w14:schemeClr w14:val="tx1"/>
                        </w14:solidFill>
                      </w14:textFill>
                    </w:rPr>
                  </w:pPr>
                  <w:r>
                    <w:rPr>
                      <w:rFonts w:hint="eastAsia"/>
                      <w:b w:val="0"/>
                      <w:color w:val="000000" w:themeColor="text1"/>
                      <w:spacing w:val="0"/>
                      <w:sz w:val="21"/>
                      <w:szCs w:val="21"/>
                      <w:highlight w:val="none"/>
                      <w:lang w:val="en-US" w:eastAsia="zh-CN"/>
                      <w14:textFill>
                        <w14:solidFill>
                          <w14:schemeClr w14:val="tx1"/>
                        </w14:solidFill>
                      </w14:textFill>
                    </w:rPr>
                    <w:t>依托现有</w:t>
                  </w:r>
                </w:p>
              </w:tc>
              <w:tc>
                <w:tcPr>
                  <w:tcW w:w="874" w:type="pct"/>
                  <w:tcBorders>
                    <w:tl2br w:val="nil"/>
                    <w:tr2bl w:val="nil"/>
                  </w:tcBorders>
                  <w:shd w:val="clear" w:color="auto" w:fill="FFFFFF"/>
                  <w:vAlign w:val="center"/>
                </w:tcPr>
                <w:p w14:paraId="48EAE65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color w:val="000000" w:themeColor="text1"/>
                      <w:spacing w:val="0"/>
                      <w:sz w:val="21"/>
                      <w:szCs w:val="21"/>
                      <w:highlight w:val="none"/>
                      <w:lang w:val="en-US" w:eastAsia="zh-CN"/>
                      <w14:textFill>
                        <w14:solidFill>
                          <w14:schemeClr w14:val="tx1"/>
                        </w14:solidFill>
                      </w14:textFill>
                    </w:rPr>
                  </w:pPr>
                  <w:r>
                    <w:rPr>
                      <w:rFonts w:hint="eastAsia"/>
                      <w:b w:val="0"/>
                      <w:color w:val="000000" w:themeColor="text1"/>
                      <w:spacing w:val="0"/>
                      <w:sz w:val="21"/>
                      <w:szCs w:val="21"/>
                      <w:highlight w:val="none"/>
                      <w:lang w:val="en-US" w:eastAsia="zh-CN"/>
                      <w14:textFill>
                        <w14:solidFill>
                          <w14:schemeClr w14:val="tx1"/>
                        </w14:solidFill>
                      </w14:textFill>
                    </w:rPr>
                    <w:t>依托</w:t>
                  </w:r>
                </w:p>
              </w:tc>
            </w:tr>
            <w:tr w14:paraId="1B83B90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505" w:type="pct"/>
                  <w:vMerge w:val="restart"/>
                  <w:tcBorders>
                    <w:tl2br w:val="nil"/>
                    <w:tr2bl w:val="nil"/>
                  </w:tcBorders>
                  <w:shd w:val="clear" w:color="auto" w:fill="FFFFFF"/>
                  <w:vAlign w:val="center"/>
                </w:tcPr>
                <w:p w14:paraId="5D5417D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公用</w:t>
                  </w:r>
                </w:p>
                <w:p w14:paraId="7E230BF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工程</w:t>
                  </w:r>
                </w:p>
              </w:tc>
              <w:tc>
                <w:tcPr>
                  <w:tcW w:w="905" w:type="pct"/>
                  <w:gridSpan w:val="2"/>
                  <w:tcBorders>
                    <w:tl2br w:val="nil"/>
                    <w:tr2bl w:val="nil"/>
                  </w:tcBorders>
                  <w:shd w:val="clear" w:color="auto" w:fill="FFFFFF"/>
                  <w:vAlign w:val="center"/>
                </w:tcPr>
                <w:p w14:paraId="218FB8F0">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ascii="Times New Roman" w:hAnsi="Times New Roman" w:eastAsia="宋体"/>
                      <w:b w:val="0"/>
                      <w:color w:val="000000" w:themeColor="text1"/>
                      <w:spacing w:val="0"/>
                      <w:sz w:val="21"/>
                      <w:szCs w:val="21"/>
                      <w14:textFill>
                        <w14:solidFill>
                          <w14:schemeClr w14:val="tx1"/>
                        </w14:solidFill>
                      </w14:textFill>
                    </w:rPr>
                    <w:t>供水</w:t>
                  </w:r>
                </w:p>
              </w:tc>
              <w:tc>
                <w:tcPr>
                  <w:tcW w:w="2715" w:type="pct"/>
                  <w:tcBorders>
                    <w:tl2br w:val="nil"/>
                    <w:tr2bl w:val="nil"/>
                  </w:tcBorders>
                  <w:shd w:val="clear" w:color="auto" w:fill="FFFFFF"/>
                  <w:vAlign w:val="center"/>
                </w:tcPr>
                <w:p w14:paraId="0E20F51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textAlignment w:val="auto"/>
                    <w:rPr>
                      <w:rFonts w:hint="default" w:ascii="Times New Roman" w:hAnsi="Times New Roman" w:eastAsia="宋体"/>
                      <w:b w:val="0"/>
                      <w:color w:val="000000" w:themeColor="text1"/>
                      <w:spacing w:val="0"/>
                      <w:sz w:val="21"/>
                      <w:szCs w:val="21"/>
                      <w:highlight w:val="none"/>
                      <w:lang w:val="en-US" w:eastAsia="zh-CN"/>
                      <w14:textFill>
                        <w14:solidFill>
                          <w14:schemeClr w14:val="tx1"/>
                        </w14:solidFill>
                      </w14:textFill>
                    </w:rPr>
                  </w:pPr>
                  <w:r>
                    <w:rPr>
                      <w:rFonts w:hint="eastAsia" w:cs="Times New Roman"/>
                      <w:b w:val="0"/>
                      <w:color w:val="000000" w:themeColor="text1"/>
                      <w:lang w:eastAsia="zh-CN"/>
                      <w14:textFill>
                        <w14:solidFill>
                          <w14:schemeClr w14:val="tx1"/>
                        </w14:solidFill>
                      </w14:textFill>
                    </w:rPr>
                    <w:t>生产用水由水车拉运至项目区，水质为城市杂用水，</w:t>
                  </w:r>
                  <w:r>
                    <w:rPr>
                      <w:rFonts w:hint="eastAsia" w:cs="Times New Roman"/>
                      <w:b w:val="0"/>
                      <w:color w:val="000000" w:themeColor="text1"/>
                      <w:lang w:val="en-US" w:eastAsia="zh-CN"/>
                      <w14:textFill>
                        <w14:solidFill>
                          <w14:schemeClr w14:val="tx1"/>
                        </w14:solidFill>
                      </w14:textFill>
                    </w:rPr>
                    <w:t>生活用水由</w:t>
                  </w:r>
                  <w:r>
                    <w:rPr>
                      <w:rFonts w:hint="eastAsia" w:cs="Times New Roman"/>
                      <w:b w:val="0"/>
                      <w:color w:val="000000" w:themeColor="text1"/>
                      <w:lang w:eastAsia="zh-CN"/>
                      <w14:textFill>
                        <w14:solidFill>
                          <w14:schemeClr w14:val="tx1"/>
                        </w14:solidFill>
                      </w14:textFill>
                    </w:rPr>
                    <w:t>城镇管网供给</w:t>
                  </w:r>
                </w:p>
              </w:tc>
              <w:tc>
                <w:tcPr>
                  <w:tcW w:w="874" w:type="pct"/>
                  <w:tcBorders>
                    <w:tl2br w:val="nil"/>
                    <w:tr2bl w:val="nil"/>
                  </w:tcBorders>
                  <w:shd w:val="clear" w:color="auto" w:fill="FFFFFF"/>
                  <w:vAlign w:val="center"/>
                </w:tcPr>
                <w:p w14:paraId="71B405F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color w:val="000000" w:themeColor="text1"/>
                      <w:spacing w:val="0"/>
                      <w:sz w:val="21"/>
                      <w:szCs w:val="21"/>
                      <w:highlight w:val="red"/>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依托</w:t>
                  </w:r>
                  <w:r>
                    <w:rPr>
                      <w:rFonts w:hint="eastAsia"/>
                      <w:b w:val="0"/>
                      <w:color w:val="000000" w:themeColor="text1"/>
                      <w:spacing w:val="0"/>
                      <w:sz w:val="21"/>
                      <w:szCs w:val="21"/>
                      <w:lang w:val="en-US" w:eastAsia="zh-CN"/>
                      <w14:textFill>
                        <w14:solidFill>
                          <w14:schemeClr w14:val="tx1"/>
                        </w14:solidFill>
                      </w14:textFill>
                    </w:rPr>
                    <w:t>+新建</w:t>
                  </w:r>
                </w:p>
              </w:tc>
            </w:tr>
            <w:tr w14:paraId="2A1E0AE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5" w:type="pct"/>
                  <w:vMerge w:val="continue"/>
                  <w:tcBorders>
                    <w:tl2br w:val="nil"/>
                    <w:tr2bl w:val="nil"/>
                  </w:tcBorders>
                  <w:shd w:val="clear" w:color="auto" w:fill="FFFFFF"/>
                  <w:vAlign w:val="center"/>
                </w:tcPr>
                <w:p w14:paraId="31BF582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tc>
              <w:tc>
                <w:tcPr>
                  <w:tcW w:w="905" w:type="pct"/>
                  <w:gridSpan w:val="2"/>
                  <w:tcBorders>
                    <w:tl2br w:val="nil"/>
                    <w:tr2bl w:val="nil"/>
                  </w:tcBorders>
                  <w:shd w:val="clear" w:color="auto" w:fill="FFFFFF"/>
                  <w:vAlign w:val="center"/>
                </w:tcPr>
                <w:p w14:paraId="14A6E3E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ascii="Times New Roman" w:hAnsi="Times New Roman" w:eastAsia="宋体"/>
                      <w:b w:val="0"/>
                      <w:color w:val="000000" w:themeColor="text1"/>
                      <w:spacing w:val="0"/>
                      <w:sz w:val="21"/>
                      <w:szCs w:val="21"/>
                      <w14:textFill>
                        <w14:solidFill>
                          <w14:schemeClr w14:val="tx1"/>
                        </w14:solidFill>
                      </w14:textFill>
                    </w:rPr>
                    <w:t>排水</w:t>
                  </w:r>
                </w:p>
              </w:tc>
              <w:tc>
                <w:tcPr>
                  <w:tcW w:w="2715" w:type="pct"/>
                  <w:tcBorders>
                    <w:tl2br w:val="nil"/>
                    <w:tr2bl w:val="nil"/>
                  </w:tcBorders>
                  <w:shd w:val="clear" w:color="auto" w:fill="FFFFFF"/>
                  <w:vAlign w:val="center"/>
                </w:tcPr>
                <w:p w14:paraId="1A8EDE60">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default" w:ascii="Times New Roman" w:hAnsi="Times New Roman" w:cs="Times New Roman"/>
                      <w:b w:val="0"/>
                      <w:color w:val="000000" w:themeColor="text1"/>
                      <w14:textFill>
                        <w14:solidFill>
                          <w14:schemeClr w14:val="tx1"/>
                        </w14:solidFill>
                      </w14:textFill>
                    </w:rPr>
                    <w:t>生产废水</w:t>
                  </w:r>
                  <w:r>
                    <w:rPr>
                      <w:rFonts w:hint="eastAsia" w:cs="Times New Roman"/>
                      <w:b w:val="0"/>
                      <w:color w:val="000000" w:themeColor="text1"/>
                      <w:lang w:val="en-US" w:eastAsia="zh-CN"/>
                      <w14:textFill>
                        <w14:solidFill>
                          <w14:schemeClr w14:val="tx1"/>
                        </w14:solidFill>
                      </w14:textFill>
                    </w:rPr>
                    <w:t>全部循环使用不外排</w:t>
                  </w:r>
                  <w:r>
                    <w:rPr>
                      <w:rFonts w:hint="default" w:ascii="Times New Roman" w:hAnsi="Times New Roman" w:cs="Times New Roman"/>
                      <w:b w:val="0"/>
                      <w:color w:val="000000" w:themeColor="text1"/>
                      <w14:textFill>
                        <w14:solidFill>
                          <w14:schemeClr w14:val="tx1"/>
                        </w14:solidFill>
                      </w14:textFill>
                    </w:rPr>
                    <w:t>，生活污水</w:t>
                  </w:r>
                  <w:r>
                    <w:rPr>
                      <w:rFonts w:hint="default" w:ascii="Times New Roman" w:hAnsi="Times New Roman" w:cs="Times New Roman"/>
                      <w:b w:val="0"/>
                      <w:color w:val="000000" w:themeColor="text1"/>
                      <w:lang w:eastAsia="zh-CN"/>
                      <w14:textFill>
                        <w14:solidFill>
                          <w14:schemeClr w14:val="tx1"/>
                        </w14:solidFill>
                      </w14:textFill>
                    </w:rPr>
                    <w:t>经</w:t>
                  </w:r>
                  <w:r>
                    <w:rPr>
                      <w:rFonts w:hint="eastAsia" w:cs="Times New Roman"/>
                      <w:b w:val="0"/>
                      <w:color w:val="000000" w:themeColor="text1"/>
                      <w:lang w:eastAsia="zh-CN"/>
                      <w14:textFill>
                        <w14:solidFill>
                          <w14:schemeClr w14:val="tx1"/>
                        </w14:solidFill>
                      </w14:textFill>
                    </w:rPr>
                    <w:t>化粪池</w:t>
                  </w:r>
                  <w:r>
                    <w:rPr>
                      <w:rFonts w:hint="eastAsia" w:cs="Times New Roman"/>
                      <w:b w:val="0"/>
                      <w:color w:val="000000" w:themeColor="text1"/>
                      <w:lang w:val="en-US" w:eastAsia="zh-CN"/>
                      <w14:textFill>
                        <w14:solidFill>
                          <w14:schemeClr w14:val="tx1"/>
                        </w14:solidFill>
                      </w14:textFill>
                    </w:rPr>
                    <w:t>收集</w:t>
                  </w:r>
                  <w:r>
                    <w:rPr>
                      <w:rFonts w:hint="eastAsia" w:cs="Times New Roman"/>
                      <w:b w:val="0"/>
                      <w:color w:val="000000" w:themeColor="text1"/>
                      <w:lang w:eastAsia="zh-CN"/>
                      <w14:textFill>
                        <w14:solidFill>
                          <w14:schemeClr w14:val="tx1"/>
                        </w14:solidFill>
                      </w14:textFill>
                    </w:rPr>
                    <w:t>后由吸污车运往</w:t>
                  </w:r>
                  <w:r>
                    <w:rPr>
                      <w:rFonts w:hint="default" w:ascii="Times New Roman" w:hAnsi="Times New Roman" w:cs="Times New Roman"/>
                      <w:b w:val="0"/>
                      <w:color w:val="000000" w:themeColor="text1"/>
                      <w:lang w:eastAsia="zh-CN"/>
                      <w14:textFill>
                        <w14:solidFill>
                          <w14:schemeClr w14:val="tx1"/>
                        </w14:solidFill>
                      </w14:textFill>
                    </w:rPr>
                    <w:t>昌吉市第二污水处理厂</w:t>
                  </w:r>
                  <w:r>
                    <w:rPr>
                      <w:rFonts w:hint="eastAsia" w:cs="Times New Roman"/>
                      <w:b w:val="0"/>
                      <w:color w:val="000000" w:themeColor="text1"/>
                      <w:lang w:eastAsia="zh-CN"/>
                      <w14:textFill>
                        <w14:solidFill>
                          <w14:schemeClr w14:val="tx1"/>
                        </w14:solidFill>
                      </w14:textFill>
                    </w:rPr>
                    <w:t>，</w:t>
                  </w:r>
                  <w:r>
                    <w:rPr>
                      <w:rFonts w:hint="default" w:ascii="Times New Roman" w:hAnsi="Times New Roman" w:cs="Times New Roman"/>
                      <w:b w:val="0"/>
                      <w:color w:val="000000" w:themeColor="text1"/>
                      <w14:textFill>
                        <w14:solidFill>
                          <w14:schemeClr w14:val="tx1"/>
                        </w14:solidFill>
                      </w14:textFill>
                    </w:rPr>
                    <w:t>洗车废水配套沉淀池，沉淀后全部回用。</w:t>
                  </w:r>
                </w:p>
              </w:tc>
              <w:tc>
                <w:tcPr>
                  <w:tcW w:w="874" w:type="pct"/>
                  <w:tcBorders>
                    <w:tl2br w:val="nil"/>
                    <w:tr2bl w:val="nil"/>
                  </w:tcBorders>
                  <w:shd w:val="clear" w:color="auto" w:fill="FFFFFF"/>
                  <w:vAlign w:val="center"/>
                </w:tcPr>
                <w:p w14:paraId="321B3A6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color w:val="000000" w:themeColor="text1"/>
                      <w:spacing w:val="0"/>
                      <w:sz w:val="21"/>
                      <w:szCs w:val="21"/>
                      <w:lang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依托</w:t>
                  </w:r>
                  <w:r>
                    <w:rPr>
                      <w:rFonts w:hint="eastAsia"/>
                      <w:b w:val="0"/>
                      <w:color w:val="000000" w:themeColor="text1"/>
                      <w:spacing w:val="0"/>
                      <w:sz w:val="21"/>
                      <w:szCs w:val="21"/>
                      <w:lang w:val="en-US" w:eastAsia="zh-CN"/>
                      <w14:textFill>
                        <w14:solidFill>
                          <w14:schemeClr w14:val="tx1"/>
                        </w14:solidFill>
                      </w14:textFill>
                    </w:rPr>
                    <w:t>+新建</w:t>
                  </w:r>
                </w:p>
              </w:tc>
            </w:tr>
            <w:tr w14:paraId="5F0B877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05" w:type="pct"/>
                  <w:vMerge w:val="continue"/>
                  <w:tcBorders>
                    <w:tl2br w:val="nil"/>
                    <w:tr2bl w:val="nil"/>
                  </w:tcBorders>
                  <w:shd w:val="clear" w:color="auto" w:fill="FFFFFF"/>
                  <w:vAlign w:val="center"/>
                </w:tcPr>
                <w:p w14:paraId="0A1F0D0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tc>
              <w:tc>
                <w:tcPr>
                  <w:tcW w:w="905" w:type="pct"/>
                  <w:gridSpan w:val="2"/>
                  <w:tcBorders>
                    <w:tl2br w:val="nil"/>
                    <w:tr2bl w:val="nil"/>
                  </w:tcBorders>
                  <w:shd w:val="clear" w:color="auto" w:fill="FFFFFF"/>
                  <w:vAlign w:val="center"/>
                </w:tcPr>
                <w:p w14:paraId="64449FE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ascii="Times New Roman" w:hAnsi="Times New Roman" w:eastAsia="宋体"/>
                      <w:b w:val="0"/>
                      <w:color w:val="000000" w:themeColor="text1"/>
                      <w:spacing w:val="0"/>
                      <w:sz w:val="21"/>
                      <w:szCs w:val="21"/>
                      <w14:textFill>
                        <w14:solidFill>
                          <w14:schemeClr w14:val="tx1"/>
                        </w14:solidFill>
                      </w14:textFill>
                    </w:rPr>
                    <w:t>供电</w:t>
                  </w:r>
                </w:p>
              </w:tc>
              <w:tc>
                <w:tcPr>
                  <w:tcW w:w="2715" w:type="pct"/>
                  <w:tcBorders>
                    <w:tl2br w:val="nil"/>
                    <w:tr2bl w:val="nil"/>
                  </w:tcBorders>
                  <w:shd w:val="clear" w:color="auto" w:fill="FFFFFF"/>
                  <w:vAlign w:val="center"/>
                </w:tcPr>
                <w:p w14:paraId="4D81595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eastAsia" w:ascii="Times New Roman" w:hAnsi="Times New Roman" w:eastAsia="宋体"/>
                      <w:b w:val="0"/>
                      <w:color w:val="000000" w:themeColor="text1"/>
                      <w:spacing w:val="0"/>
                      <w:sz w:val="21"/>
                      <w:szCs w:val="2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昌吉市</w:t>
                  </w:r>
                  <w:r>
                    <w:rPr>
                      <w:rFonts w:hint="eastAsia" w:cs="Times New Roman"/>
                      <w:b w:val="0"/>
                      <w:bCs/>
                      <w:color w:val="000000" w:themeColor="text1"/>
                      <w:lang w:eastAsia="zh-CN"/>
                      <w14:textFill>
                        <w14:solidFill>
                          <w14:schemeClr w14:val="tx1"/>
                        </w14:solidFill>
                      </w14:textFill>
                    </w:rPr>
                    <w:t>三工供电所</w:t>
                  </w:r>
                  <w:r>
                    <w:rPr>
                      <w:rFonts w:hint="default" w:ascii="Times New Roman" w:hAnsi="Times New Roman" w:cs="Times New Roman"/>
                      <w:b w:val="0"/>
                      <w:bCs/>
                      <w:color w:val="000000" w:themeColor="text1"/>
                      <w:lang w:eastAsia="zh-CN"/>
                      <w14:textFill>
                        <w14:solidFill>
                          <w14:schemeClr w14:val="tx1"/>
                        </w14:solidFill>
                      </w14:textFill>
                    </w:rPr>
                    <w:t>供给</w:t>
                  </w:r>
                </w:p>
              </w:tc>
              <w:tc>
                <w:tcPr>
                  <w:tcW w:w="874" w:type="pct"/>
                  <w:tcBorders>
                    <w:tl2br w:val="nil"/>
                    <w:tr2bl w:val="nil"/>
                  </w:tcBorders>
                  <w:shd w:val="clear" w:color="auto" w:fill="FFFFFF"/>
                  <w:vAlign w:val="center"/>
                </w:tcPr>
                <w:p w14:paraId="3D7E547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color w:val="000000" w:themeColor="text1"/>
                      <w:spacing w:val="0"/>
                      <w:sz w:val="21"/>
                      <w:szCs w:val="21"/>
                      <w:lang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依托</w:t>
                  </w:r>
                </w:p>
              </w:tc>
            </w:tr>
            <w:tr w14:paraId="5DD36F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5" w:type="pct"/>
                  <w:vMerge w:val="continue"/>
                  <w:tcBorders>
                    <w:tl2br w:val="nil"/>
                    <w:tr2bl w:val="nil"/>
                  </w:tcBorders>
                  <w:shd w:val="clear" w:color="auto" w:fill="FFFFFF"/>
                  <w:vAlign w:val="center"/>
                </w:tcPr>
                <w:p w14:paraId="57BC03AD">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tc>
              <w:tc>
                <w:tcPr>
                  <w:tcW w:w="905" w:type="pct"/>
                  <w:gridSpan w:val="2"/>
                  <w:tcBorders>
                    <w:tl2br w:val="nil"/>
                    <w:tr2bl w:val="nil"/>
                  </w:tcBorders>
                  <w:shd w:val="clear" w:color="auto" w:fill="FFFFFF"/>
                  <w:vAlign w:val="center"/>
                </w:tcPr>
                <w:p w14:paraId="2CF700B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供热</w:t>
                  </w:r>
                </w:p>
              </w:tc>
              <w:tc>
                <w:tcPr>
                  <w:tcW w:w="2715" w:type="pct"/>
                  <w:tcBorders>
                    <w:tl2br w:val="nil"/>
                    <w:tr2bl w:val="nil"/>
                  </w:tcBorders>
                  <w:shd w:val="clear" w:color="auto" w:fill="FFFFFF"/>
                  <w:vAlign w:val="center"/>
                </w:tcPr>
                <w:p w14:paraId="373FB2B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本项目冬季不生产，生产过程无需加热，不需要热源</w:t>
                  </w:r>
                </w:p>
              </w:tc>
              <w:tc>
                <w:tcPr>
                  <w:tcW w:w="874" w:type="pct"/>
                  <w:tcBorders>
                    <w:tl2br w:val="nil"/>
                    <w:tr2bl w:val="nil"/>
                  </w:tcBorders>
                  <w:shd w:val="clear" w:color="auto" w:fill="FFFFFF"/>
                  <w:vAlign w:val="center"/>
                </w:tcPr>
                <w:p w14:paraId="5B8FCE0A">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w:t>
                  </w:r>
                </w:p>
              </w:tc>
            </w:tr>
            <w:tr w14:paraId="57301B3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50" w:hRule="atLeast"/>
                <w:jc w:val="center"/>
              </w:trPr>
              <w:tc>
                <w:tcPr>
                  <w:tcW w:w="505" w:type="pct"/>
                  <w:vMerge w:val="restart"/>
                  <w:tcBorders>
                    <w:tl2br w:val="nil"/>
                    <w:tr2bl w:val="nil"/>
                  </w:tcBorders>
                  <w:shd w:val="clear" w:color="auto" w:fill="FFFFFF"/>
                  <w:vAlign w:val="center"/>
                </w:tcPr>
                <w:p w14:paraId="618906C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p w14:paraId="675D5A6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环保</w:t>
                  </w:r>
                </w:p>
                <w:p w14:paraId="036149AE">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工程</w:t>
                  </w:r>
                </w:p>
              </w:tc>
              <w:tc>
                <w:tcPr>
                  <w:tcW w:w="905" w:type="pct"/>
                  <w:gridSpan w:val="2"/>
                  <w:tcBorders>
                    <w:tl2br w:val="nil"/>
                    <w:tr2bl w:val="nil"/>
                  </w:tcBorders>
                  <w:shd w:val="clear" w:color="auto" w:fill="FFFFFF"/>
                  <w:vAlign w:val="center"/>
                </w:tcPr>
                <w:p w14:paraId="4654572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废气治理</w:t>
                  </w:r>
                </w:p>
              </w:tc>
              <w:tc>
                <w:tcPr>
                  <w:tcW w:w="2715" w:type="pct"/>
                  <w:tcBorders>
                    <w:tl2br w:val="nil"/>
                    <w:tr2bl w:val="nil"/>
                  </w:tcBorders>
                  <w:shd w:val="clear" w:color="auto" w:fill="FFFFFF"/>
                  <w:vAlign w:val="center"/>
                </w:tcPr>
                <w:p w14:paraId="18216EA1">
                  <w:pPr>
                    <w:pStyle w:val="2"/>
                    <w:keepNext w:val="0"/>
                    <w:keepLines w:val="0"/>
                    <w:pageBreakBefore w:val="0"/>
                    <w:widowControl w:val="0"/>
                    <w:kinsoku/>
                    <w:wordWrap w:val="0"/>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eastAsia"/>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1.工艺生产粉尘（有组织废气DA002）</w:t>
                  </w:r>
                </w:p>
                <w:p w14:paraId="5569517E">
                  <w:pPr>
                    <w:pStyle w:val="2"/>
                    <w:keepNext w:val="0"/>
                    <w:keepLines w:val="0"/>
                    <w:pageBreakBefore w:val="0"/>
                    <w:widowControl w:val="0"/>
                    <w:kinsoku/>
                    <w:wordWrap w:val="0"/>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eastAsia"/>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新建配套治理设施，针对上料、振动筛分工序粉尘，采用车间洒水预降尘+密闭集气罩负压收集+布袋除尘器深度净化，处理后废气经15m高排气筒（DA002）稳定达标排放，有效削减工序有组织颗粒物。</w:t>
                  </w:r>
                </w:p>
                <w:p w14:paraId="071F9FAD">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eastAsia"/>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2.堆场无组织扬尘（原料堆场、成品堆场）</w:t>
                  </w:r>
                </w:p>
                <w:p w14:paraId="77A17B0B">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eastAsia"/>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新建堆场抑尘配套设施，双重防控：全场布设全覆盖防风抑尘网，同步配套自动化持续喷淋系统，双重抑尘手段管控物料堆放起尘，削减堆场无组织颗粒物逸散。</w:t>
                  </w:r>
                </w:p>
                <w:p w14:paraId="4FD059A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eastAsia"/>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3.厂区运输无组织扬尘（场内转运+场外外运）</w:t>
                  </w:r>
                </w:p>
                <w:p w14:paraId="621ECE0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default"/>
                      <w:b w:val="0"/>
                      <w:color w:val="000000" w:themeColor="text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新增运输扬尘防控措施：厂区全部运输道路硬化处理，定时洒水保湿；厂区出入口配套全自动车辆冲洗平台，车辆出场彻底冲洗、密闭加盖，杜绝车辆带泥上路、沿途物料遗撒、轮胎底盘起尘；场内转运车辆低速行驶，减少路面扬尘产生。</w:t>
                  </w:r>
                </w:p>
              </w:tc>
              <w:tc>
                <w:tcPr>
                  <w:tcW w:w="874" w:type="pct"/>
                  <w:tcBorders>
                    <w:tl2br w:val="nil"/>
                    <w:tr2bl w:val="nil"/>
                  </w:tcBorders>
                  <w:shd w:val="clear" w:color="auto" w:fill="FFFFFF"/>
                  <w:vAlign w:val="center"/>
                </w:tcPr>
                <w:p w14:paraId="1A4A335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新建</w:t>
                  </w:r>
                </w:p>
              </w:tc>
            </w:tr>
            <w:tr w14:paraId="3A4602F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jc w:val="center"/>
              </w:trPr>
              <w:tc>
                <w:tcPr>
                  <w:tcW w:w="505" w:type="pct"/>
                  <w:vMerge w:val="continue"/>
                  <w:tcBorders>
                    <w:tl2br w:val="nil"/>
                    <w:tr2bl w:val="nil"/>
                  </w:tcBorders>
                  <w:shd w:val="clear" w:color="auto" w:fill="FFFFFF"/>
                  <w:vAlign w:val="center"/>
                </w:tcPr>
                <w:p w14:paraId="39BAA0D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tc>
              <w:tc>
                <w:tcPr>
                  <w:tcW w:w="439" w:type="pct"/>
                  <w:vMerge w:val="restart"/>
                  <w:tcBorders>
                    <w:tl2br w:val="nil"/>
                    <w:tr2bl w:val="nil"/>
                  </w:tcBorders>
                  <w:shd w:val="clear" w:color="auto" w:fill="FFFFFF"/>
                  <w:vAlign w:val="center"/>
                </w:tcPr>
                <w:p w14:paraId="47B943A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废水治理</w:t>
                  </w:r>
                </w:p>
              </w:tc>
              <w:tc>
                <w:tcPr>
                  <w:tcW w:w="465" w:type="pct"/>
                  <w:tcBorders>
                    <w:tl2br w:val="nil"/>
                    <w:tr2bl w:val="nil"/>
                  </w:tcBorders>
                  <w:shd w:val="clear" w:color="auto" w:fill="FFFFFF"/>
                  <w:vAlign w:val="center"/>
                </w:tcPr>
                <w:p w14:paraId="6714E7C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eastAsia" w:ascii="Times New Roman" w:hAnsi="Times New Roman" w:eastAsia="宋体"/>
                      <w:b w:val="0"/>
                      <w:color w:val="000000" w:themeColor="text1"/>
                      <w:spacing w:val="0"/>
                      <w:sz w:val="21"/>
                      <w:szCs w:val="21"/>
                      <w:lang w:eastAsia="zh-CN"/>
                      <w14:textFill>
                        <w14:solidFill>
                          <w14:schemeClr w14:val="tx1"/>
                        </w14:solidFill>
                      </w14:textFill>
                    </w:rPr>
                  </w:pPr>
                  <w:r>
                    <w:rPr>
                      <w:rFonts w:hint="eastAsia" w:ascii="Times New Roman" w:hAnsi="Times New Roman" w:eastAsia="宋体"/>
                      <w:b w:val="0"/>
                      <w:color w:val="000000" w:themeColor="text1"/>
                      <w:spacing w:val="0"/>
                      <w:sz w:val="21"/>
                      <w:szCs w:val="21"/>
                      <w:lang w:eastAsia="zh-CN"/>
                      <w14:textFill>
                        <w14:solidFill>
                          <w14:schemeClr w14:val="tx1"/>
                        </w14:solidFill>
                      </w14:textFill>
                    </w:rPr>
                    <w:t>生产废水</w:t>
                  </w:r>
                </w:p>
              </w:tc>
              <w:tc>
                <w:tcPr>
                  <w:tcW w:w="2715" w:type="pct"/>
                  <w:tcBorders>
                    <w:tl2br w:val="nil"/>
                    <w:tr2bl w:val="nil"/>
                  </w:tcBorders>
                  <w:shd w:val="clear" w:color="auto" w:fill="FFFFFF"/>
                  <w:vAlign w:val="center"/>
                </w:tcPr>
                <w:p w14:paraId="22C8C32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本项目生产废水经过沉淀后循环使用不外排</w:t>
                  </w:r>
                </w:p>
              </w:tc>
              <w:tc>
                <w:tcPr>
                  <w:tcW w:w="874" w:type="pct"/>
                  <w:tcBorders>
                    <w:tl2br w:val="nil"/>
                    <w:tr2bl w:val="nil"/>
                  </w:tcBorders>
                  <w:shd w:val="clear" w:color="auto" w:fill="FFFFFF"/>
                  <w:vAlign w:val="center"/>
                </w:tcPr>
                <w:p w14:paraId="06940C15">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新建</w:t>
                  </w:r>
                </w:p>
              </w:tc>
            </w:tr>
            <w:tr w14:paraId="12F8AE7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jc w:val="center"/>
              </w:trPr>
              <w:tc>
                <w:tcPr>
                  <w:tcW w:w="505" w:type="pct"/>
                  <w:vMerge w:val="continue"/>
                  <w:tcBorders>
                    <w:tl2br w:val="nil"/>
                    <w:tr2bl w:val="nil"/>
                  </w:tcBorders>
                  <w:shd w:val="clear" w:color="auto" w:fill="FFFFFF"/>
                  <w:vAlign w:val="center"/>
                </w:tcPr>
                <w:p w14:paraId="1137AE4D">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tc>
              <w:tc>
                <w:tcPr>
                  <w:tcW w:w="439" w:type="pct"/>
                  <w:vMerge w:val="continue"/>
                  <w:tcBorders>
                    <w:tl2br w:val="nil"/>
                    <w:tr2bl w:val="nil"/>
                  </w:tcBorders>
                  <w:shd w:val="clear" w:color="auto" w:fill="FFFFFF"/>
                  <w:vAlign w:val="center"/>
                </w:tcPr>
                <w:p w14:paraId="24EB262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eastAsia" w:ascii="Times New Roman" w:hAnsi="Times New Roman" w:eastAsia="宋体"/>
                      <w:b w:val="0"/>
                      <w:color w:val="000000" w:themeColor="text1"/>
                      <w:spacing w:val="0"/>
                      <w:sz w:val="21"/>
                      <w:szCs w:val="21"/>
                      <w14:textFill>
                        <w14:solidFill>
                          <w14:schemeClr w14:val="tx1"/>
                        </w14:solidFill>
                      </w14:textFill>
                    </w:rPr>
                  </w:pPr>
                </w:p>
              </w:tc>
              <w:tc>
                <w:tcPr>
                  <w:tcW w:w="465" w:type="pct"/>
                  <w:tcBorders>
                    <w:tl2br w:val="nil"/>
                    <w:tr2bl w:val="nil"/>
                  </w:tcBorders>
                  <w:shd w:val="clear" w:color="auto" w:fill="FFFFFF"/>
                  <w:vAlign w:val="center"/>
                </w:tcPr>
                <w:p w14:paraId="769C631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洗车废水</w:t>
                  </w:r>
                </w:p>
              </w:tc>
              <w:tc>
                <w:tcPr>
                  <w:tcW w:w="2715" w:type="pct"/>
                  <w:tcBorders>
                    <w:tl2br w:val="nil"/>
                    <w:tr2bl w:val="nil"/>
                  </w:tcBorders>
                  <w:shd w:val="clear" w:color="auto" w:fill="FFFFFF"/>
                  <w:vAlign w:val="center"/>
                </w:tcPr>
                <w:p w14:paraId="2AB3CE5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eastAsia"/>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经过沉淀后循环使用不外排</w:t>
                  </w:r>
                </w:p>
              </w:tc>
              <w:tc>
                <w:tcPr>
                  <w:tcW w:w="874" w:type="pct"/>
                  <w:tcBorders>
                    <w:tl2br w:val="nil"/>
                    <w:tr2bl w:val="nil"/>
                  </w:tcBorders>
                  <w:shd w:val="clear" w:color="auto" w:fill="FFFFFF"/>
                  <w:vAlign w:val="center"/>
                </w:tcPr>
                <w:p w14:paraId="41D42C3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依托</w:t>
                  </w:r>
                </w:p>
              </w:tc>
            </w:tr>
            <w:tr w14:paraId="50348B4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68" w:hRule="atLeast"/>
                <w:jc w:val="center"/>
              </w:trPr>
              <w:tc>
                <w:tcPr>
                  <w:tcW w:w="505" w:type="pct"/>
                  <w:vMerge w:val="continue"/>
                  <w:tcBorders>
                    <w:tl2br w:val="nil"/>
                    <w:tr2bl w:val="nil"/>
                  </w:tcBorders>
                  <w:shd w:val="clear" w:color="auto" w:fill="FFFFFF"/>
                  <w:vAlign w:val="center"/>
                </w:tcPr>
                <w:p w14:paraId="3A208DD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tc>
              <w:tc>
                <w:tcPr>
                  <w:tcW w:w="439" w:type="pct"/>
                  <w:vMerge w:val="continue"/>
                  <w:tcBorders>
                    <w:tl2br w:val="nil"/>
                    <w:tr2bl w:val="nil"/>
                  </w:tcBorders>
                  <w:shd w:val="clear" w:color="auto" w:fill="FFFFFF"/>
                  <w:vAlign w:val="center"/>
                </w:tcPr>
                <w:p w14:paraId="00A2D515">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eastAsia" w:ascii="Times New Roman" w:hAnsi="Times New Roman" w:eastAsia="宋体"/>
                      <w:b w:val="0"/>
                      <w:color w:val="000000" w:themeColor="text1"/>
                      <w:spacing w:val="0"/>
                      <w:sz w:val="21"/>
                      <w:szCs w:val="21"/>
                      <w14:textFill>
                        <w14:solidFill>
                          <w14:schemeClr w14:val="tx1"/>
                        </w14:solidFill>
                      </w14:textFill>
                    </w:rPr>
                  </w:pPr>
                </w:p>
              </w:tc>
              <w:tc>
                <w:tcPr>
                  <w:tcW w:w="465" w:type="pct"/>
                  <w:tcBorders>
                    <w:tl2br w:val="nil"/>
                    <w:tr2bl w:val="nil"/>
                  </w:tcBorders>
                  <w:shd w:val="clear" w:color="auto" w:fill="FFFFFF"/>
                  <w:vAlign w:val="center"/>
                </w:tcPr>
                <w:p w14:paraId="18CCC58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eastAsia" w:ascii="Times New Roman" w:hAnsi="Times New Roman" w:eastAsia="宋体"/>
                      <w:b w:val="0"/>
                      <w:color w:val="000000" w:themeColor="text1"/>
                      <w:spacing w:val="0"/>
                      <w:sz w:val="21"/>
                      <w:szCs w:val="21"/>
                      <w:lang w:eastAsia="zh-CN"/>
                      <w14:textFill>
                        <w14:solidFill>
                          <w14:schemeClr w14:val="tx1"/>
                        </w14:solidFill>
                      </w14:textFill>
                    </w:rPr>
                  </w:pPr>
                  <w:r>
                    <w:rPr>
                      <w:rFonts w:hint="eastAsia" w:ascii="Times New Roman" w:hAnsi="Times New Roman" w:eastAsia="宋体"/>
                      <w:b w:val="0"/>
                      <w:color w:val="000000" w:themeColor="text1"/>
                      <w:spacing w:val="0"/>
                      <w:sz w:val="21"/>
                      <w:szCs w:val="21"/>
                      <w:lang w:eastAsia="zh-CN"/>
                      <w14:textFill>
                        <w14:solidFill>
                          <w14:schemeClr w14:val="tx1"/>
                        </w14:solidFill>
                      </w14:textFill>
                    </w:rPr>
                    <w:t>生活污水</w:t>
                  </w:r>
                </w:p>
              </w:tc>
              <w:tc>
                <w:tcPr>
                  <w:tcW w:w="2715" w:type="pct"/>
                  <w:tcBorders>
                    <w:tl2br w:val="nil"/>
                    <w:tr2bl w:val="nil"/>
                  </w:tcBorders>
                  <w:shd w:val="clear" w:color="auto" w:fill="FFFFFF"/>
                  <w:vAlign w:val="center"/>
                </w:tcPr>
                <w:p w14:paraId="2B3F2C4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jc w:val="center"/>
                    <w:textAlignment w:val="auto"/>
                    <w:rPr>
                      <w:rFonts w:hint="default" w:ascii="Times New Roman" w:hAnsi="Times New Roman" w:eastAsia="宋体"/>
                      <w:b w:val="0"/>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pacing w:val="0"/>
                      <w:sz w:val="21"/>
                      <w:szCs w:val="21"/>
                      <w:lang w:val="en-US" w:eastAsia="zh-CN"/>
                      <w14:textFill>
                        <w14:solidFill>
                          <w14:schemeClr w14:val="tx1"/>
                        </w14:solidFill>
                      </w14:textFill>
                    </w:rPr>
                    <w:t>生活污水经</w:t>
                  </w:r>
                  <w:r>
                    <w:rPr>
                      <w:rFonts w:hint="eastAsia" w:ascii="Times New Roman" w:hAnsi="Times New Roman" w:eastAsia="宋体" w:cs="Times New Roman"/>
                      <w:b w:val="0"/>
                      <w:color w:val="000000" w:themeColor="text1"/>
                      <w:spacing w:val="0"/>
                      <w:sz w:val="21"/>
                      <w:szCs w:val="21"/>
                      <w:lang w:val="en-US" w:eastAsia="zh-CN"/>
                      <w14:textFill>
                        <w14:solidFill>
                          <w14:schemeClr w14:val="tx1"/>
                        </w14:solidFill>
                      </w14:textFill>
                    </w:rPr>
                    <w:t>化粪池</w:t>
                  </w:r>
                  <w:r>
                    <w:rPr>
                      <w:rFonts w:hint="eastAsia" w:cs="Times New Roman"/>
                      <w:b w:val="0"/>
                      <w:color w:val="000000" w:themeColor="text1"/>
                      <w:spacing w:val="0"/>
                      <w:sz w:val="21"/>
                      <w:szCs w:val="21"/>
                      <w:lang w:val="en-US" w:eastAsia="zh-CN"/>
                      <w14:textFill>
                        <w14:solidFill>
                          <w14:schemeClr w14:val="tx1"/>
                        </w14:solidFill>
                      </w14:textFill>
                    </w:rPr>
                    <w:t>收集</w:t>
                  </w:r>
                  <w:r>
                    <w:rPr>
                      <w:rFonts w:hint="eastAsia" w:ascii="Times New Roman" w:hAnsi="Times New Roman" w:eastAsia="宋体" w:cs="Times New Roman"/>
                      <w:b w:val="0"/>
                      <w:color w:val="000000" w:themeColor="text1"/>
                      <w:spacing w:val="0"/>
                      <w:sz w:val="21"/>
                      <w:szCs w:val="21"/>
                      <w:lang w:val="en-US" w:eastAsia="zh-CN"/>
                      <w14:textFill>
                        <w14:solidFill>
                          <w14:schemeClr w14:val="tx1"/>
                        </w14:solidFill>
                      </w14:textFill>
                    </w:rPr>
                    <w:t>后由吸污车运往</w:t>
                  </w:r>
                  <w:r>
                    <w:rPr>
                      <w:rFonts w:hint="default" w:ascii="Times New Roman" w:hAnsi="Times New Roman" w:eastAsia="宋体" w:cs="Times New Roman"/>
                      <w:b w:val="0"/>
                      <w:color w:val="000000" w:themeColor="text1"/>
                      <w:spacing w:val="0"/>
                      <w:sz w:val="21"/>
                      <w:szCs w:val="21"/>
                      <w:lang w:val="en-US" w:eastAsia="zh-CN"/>
                      <w14:textFill>
                        <w14:solidFill>
                          <w14:schemeClr w14:val="tx1"/>
                        </w14:solidFill>
                      </w14:textFill>
                    </w:rPr>
                    <w:t>昌吉市第二污水处理厂</w:t>
                  </w:r>
                </w:p>
              </w:tc>
              <w:tc>
                <w:tcPr>
                  <w:tcW w:w="874" w:type="pct"/>
                  <w:tcBorders>
                    <w:tl2br w:val="nil"/>
                    <w:tr2bl w:val="nil"/>
                  </w:tcBorders>
                  <w:shd w:val="clear" w:color="auto" w:fill="FFFFFF"/>
                  <w:vAlign w:val="center"/>
                </w:tcPr>
                <w:p w14:paraId="5A316C7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color w:val="000000" w:themeColor="text1"/>
                      <w:spacing w:val="0"/>
                      <w:sz w:val="21"/>
                      <w:szCs w:val="21"/>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依托</w:t>
                  </w:r>
                </w:p>
              </w:tc>
            </w:tr>
            <w:tr w14:paraId="5B67222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5" w:type="pct"/>
                  <w:vMerge w:val="continue"/>
                  <w:tcBorders>
                    <w:tl2br w:val="nil"/>
                    <w:tr2bl w:val="nil"/>
                  </w:tcBorders>
                  <w:shd w:val="clear" w:color="auto" w:fill="FFFFFF"/>
                  <w:vAlign w:val="center"/>
                </w:tcPr>
                <w:p w14:paraId="7B4EA8D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tc>
              <w:tc>
                <w:tcPr>
                  <w:tcW w:w="905" w:type="pct"/>
                  <w:gridSpan w:val="2"/>
                  <w:tcBorders>
                    <w:tl2br w:val="nil"/>
                    <w:tr2bl w:val="nil"/>
                  </w:tcBorders>
                  <w:shd w:val="clear" w:color="auto" w:fill="FFFFFF"/>
                  <w:vAlign w:val="center"/>
                </w:tcPr>
                <w:p w14:paraId="673E980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噪声治理</w:t>
                  </w:r>
                </w:p>
              </w:tc>
              <w:tc>
                <w:tcPr>
                  <w:tcW w:w="2715" w:type="pct"/>
                  <w:tcBorders>
                    <w:tl2br w:val="nil"/>
                    <w:tr2bl w:val="nil"/>
                  </w:tcBorders>
                  <w:shd w:val="clear" w:color="auto" w:fill="FFFFFF"/>
                  <w:vAlign w:val="center"/>
                </w:tcPr>
                <w:p w14:paraId="2C2B7D2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textAlignment w:val="auto"/>
                    <w:rPr>
                      <w:rFonts w:hint="eastAsia"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选用低噪声设备、减振、隔声、消声等措施</w:t>
                  </w:r>
                </w:p>
              </w:tc>
              <w:tc>
                <w:tcPr>
                  <w:tcW w:w="874" w:type="pct"/>
                  <w:tcBorders>
                    <w:tl2br w:val="nil"/>
                    <w:tr2bl w:val="nil"/>
                  </w:tcBorders>
                  <w:shd w:val="clear" w:color="auto" w:fill="FFFFFF"/>
                  <w:vAlign w:val="center"/>
                </w:tcPr>
                <w:p w14:paraId="3E44C800">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color w:val="000000" w:themeColor="text1"/>
                      <w:spacing w:val="0"/>
                      <w:sz w:val="21"/>
                      <w:szCs w:val="21"/>
                      <w:lang w:eastAsia="zh-CN"/>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新</w:t>
                  </w: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建</w:t>
                  </w:r>
                </w:p>
              </w:tc>
            </w:tr>
            <w:tr w14:paraId="1F968F3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5" w:type="pct"/>
                  <w:vMerge w:val="continue"/>
                  <w:tcBorders>
                    <w:tl2br w:val="nil"/>
                    <w:tr2bl w:val="nil"/>
                  </w:tcBorders>
                  <w:shd w:val="clear" w:color="auto" w:fill="FFFFFF"/>
                  <w:vAlign w:val="center"/>
                </w:tcPr>
                <w:p w14:paraId="3B5ABF6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tc>
              <w:tc>
                <w:tcPr>
                  <w:tcW w:w="905" w:type="pct"/>
                  <w:gridSpan w:val="2"/>
                  <w:tcBorders>
                    <w:tl2br w:val="nil"/>
                    <w:tr2bl w:val="nil"/>
                  </w:tcBorders>
                  <w:shd w:val="clear" w:color="auto" w:fill="FFFFFF"/>
                  <w:vAlign w:val="center"/>
                </w:tcPr>
                <w:p w14:paraId="236DCD8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一般固废治理</w:t>
                  </w:r>
                </w:p>
              </w:tc>
              <w:tc>
                <w:tcPr>
                  <w:tcW w:w="2715" w:type="pct"/>
                  <w:tcBorders>
                    <w:tl2br w:val="nil"/>
                    <w:tr2bl w:val="nil"/>
                  </w:tcBorders>
                  <w:shd w:val="clear" w:color="auto" w:fill="FFFFFF"/>
                  <w:vAlign w:val="center"/>
                </w:tcPr>
                <w:p w14:paraId="51D2BFB0">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textAlignment w:val="auto"/>
                    <w:rPr>
                      <w:rFonts w:hint="default" w:ascii="Times New Roman" w:hAnsi="Times New Roman" w:eastAsia="宋体"/>
                      <w:b w:val="0"/>
                      <w:color w:val="000000" w:themeColor="text1"/>
                      <w:spacing w:val="0"/>
                      <w:sz w:val="21"/>
                      <w:szCs w:val="21"/>
                      <w:highlight w:val="magenta"/>
                      <w:lang w:val="en-US"/>
                      <w14:textFill>
                        <w14:solidFill>
                          <w14:schemeClr w14:val="tx1"/>
                        </w14:solidFill>
                      </w14:textFill>
                    </w:rPr>
                  </w:pPr>
                  <w:r>
                    <w:rPr>
                      <w:rFonts w:hint="eastAsia" w:ascii="Times New Roman" w:hAnsi="Times New Roman" w:eastAsia="宋体" w:cs="宋体"/>
                      <w:b w:val="0"/>
                      <w:i w:val="0"/>
                      <w:iCs w:val="0"/>
                      <w:color w:val="000000" w:themeColor="text1"/>
                      <w:kern w:val="0"/>
                      <w:sz w:val="21"/>
                      <w:szCs w:val="21"/>
                      <w:u w:val="none"/>
                      <w:lang w:val="en-US" w:eastAsia="zh-CN" w:bidi="ar"/>
                      <w14:textFill>
                        <w14:solidFill>
                          <w14:schemeClr w14:val="tx1"/>
                        </w14:solidFill>
                      </w14:textFill>
                    </w:rPr>
                    <w:t>一般固废治理设置一般固废暂存</w:t>
                  </w:r>
                  <w:r>
                    <w:rPr>
                      <w:rFonts w:hint="eastAsia" w:cs="宋体"/>
                      <w:b w:val="0"/>
                      <w:i w:val="0"/>
                      <w:iCs w:val="0"/>
                      <w:color w:val="000000" w:themeColor="text1"/>
                      <w:kern w:val="0"/>
                      <w:sz w:val="21"/>
                      <w:szCs w:val="21"/>
                      <w:u w:val="none"/>
                      <w:lang w:val="en-US" w:eastAsia="zh-CN" w:bidi="ar"/>
                      <w14:textFill>
                        <w14:solidFill>
                          <w14:schemeClr w14:val="tx1"/>
                        </w14:solidFill>
                      </w14:textFill>
                    </w:rPr>
                    <w:t>库</w:t>
                  </w:r>
                  <w:r>
                    <w:rPr>
                      <w:rFonts w:hint="eastAsia" w:ascii="Times New Roman" w:hAnsi="Times New Roman" w:eastAsia="宋体" w:cs="宋体"/>
                      <w:b w:val="0"/>
                      <w:i w:val="0"/>
                      <w:iCs w:val="0"/>
                      <w:color w:val="000000" w:themeColor="text1"/>
                      <w:kern w:val="0"/>
                      <w:sz w:val="21"/>
                      <w:szCs w:val="21"/>
                      <w:u w:val="none"/>
                      <w:lang w:val="en-US" w:eastAsia="zh-CN" w:bidi="ar"/>
                      <w14:textFill>
                        <w14:solidFill>
                          <w14:schemeClr w14:val="tx1"/>
                        </w14:solidFill>
                      </w14:textFill>
                    </w:rPr>
                    <w:t>，废</w:t>
                  </w:r>
                  <w:r>
                    <w:rPr>
                      <w:rFonts w:hint="eastAsia" w:cs="宋体"/>
                      <w:b w:val="0"/>
                      <w:i w:val="0"/>
                      <w:iCs w:val="0"/>
                      <w:color w:val="000000" w:themeColor="text1"/>
                      <w:kern w:val="0"/>
                      <w:sz w:val="21"/>
                      <w:szCs w:val="21"/>
                      <w:u w:val="none"/>
                      <w:lang w:val="en-US" w:eastAsia="zh-CN" w:bidi="ar"/>
                      <w14:textFill>
                        <w14:solidFill>
                          <w14:schemeClr w14:val="tx1"/>
                        </w14:solidFill>
                      </w14:textFill>
                    </w:rPr>
                    <w:t>布袋</w:t>
                  </w:r>
                  <w:r>
                    <w:rPr>
                      <w:rFonts w:hint="eastAsia" w:ascii="Times New Roman" w:hAnsi="Times New Roman" w:eastAsia="宋体" w:cs="宋体"/>
                      <w:b w:val="0"/>
                      <w:i w:val="0"/>
                      <w:iCs w:val="0"/>
                      <w:color w:val="000000" w:themeColor="text1"/>
                      <w:kern w:val="0"/>
                      <w:sz w:val="21"/>
                      <w:szCs w:val="21"/>
                      <w:u w:val="none"/>
                      <w:lang w:val="en-US" w:eastAsia="zh-CN" w:bidi="ar"/>
                      <w14:textFill>
                        <w14:solidFill>
                          <w14:schemeClr w14:val="tx1"/>
                        </w14:solidFill>
                      </w14:textFill>
                    </w:rPr>
                    <w:t>、</w:t>
                  </w:r>
                  <w:r>
                    <w:rPr>
                      <w:rFonts w:hint="eastAsia" w:cs="宋体"/>
                      <w:b w:val="0"/>
                      <w:i w:val="0"/>
                      <w:iCs w:val="0"/>
                      <w:color w:val="000000" w:themeColor="text1"/>
                      <w:kern w:val="0"/>
                      <w:sz w:val="21"/>
                      <w:szCs w:val="21"/>
                      <w:u w:val="none"/>
                      <w:lang w:val="en-US" w:eastAsia="zh-CN" w:bidi="ar"/>
                      <w14:textFill>
                        <w14:solidFill>
                          <w14:schemeClr w14:val="tx1"/>
                        </w14:solidFill>
                      </w14:textFill>
                    </w:rPr>
                    <w:t>压滤机产生的滤布由厂家单位进行回收；收集的粉尘、污泥集中收集后外售；</w:t>
                  </w:r>
                  <w:r>
                    <w:rPr>
                      <w:rFonts w:hint="eastAsia" w:cs="宋体"/>
                      <w:b w:val="0"/>
                      <w:i w:val="0"/>
                      <w:iCs w:val="0"/>
                      <w:color w:val="000000" w:themeColor="text1"/>
                      <w:kern w:val="0"/>
                      <w:sz w:val="21"/>
                      <w:szCs w:val="21"/>
                      <w:highlight w:val="none"/>
                      <w:u w:val="none"/>
                      <w:lang w:val="en-US" w:eastAsia="zh-CN" w:bidi="ar"/>
                      <w14:textFill>
                        <w14:solidFill>
                          <w14:schemeClr w14:val="tx1"/>
                        </w14:solidFill>
                      </w14:textFill>
                    </w:rPr>
                    <w:t>防尘网交由厂家回收处置</w:t>
                  </w:r>
                </w:p>
              </w:tc>
              <w:tc>
                <w:tcPr>
                  <w:tcW w:w="874" w:type="pct"/>
                  <w:tcBorders>
                    <w:tl2br w:val="nil"/>
                    <w:tr2bl w:val="nil"/>
                  </w:tcBorders>
                  <w:shd w:val="clear" w:color="auto" w:fill="FFFFFF"/>
                  <w:vAlign w:val="center"/>
                </w:tcPr>
                <w:p w14:paraId="307B2E2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color w:val="000000" w:themeColor="text1"/>
                      <w:spacing w:val="0"/>
                      <w:sz w:val="21"/>
                      <w:szCs w:val="21"/>
                      <w:highlight w:val="none"/>
                      <w:lang w:val="en-US" w:eastAsia="zh-CN"/>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新</w:t>
                  </w:r>
                  <w:r>
                    <w:rPr>
                      <w:rFonts w:hint="eastAsia" w:ascii="Times New Roman" w:hAnsi="Times New Roman" w:eastAsia="宋体"/>
                      <w:b w:val="0"/>
                      <w:color w:val="000000" w:themeColor="text1"/>
                      <w:spacing w:val="0"/>
                      <w:sz w:val="21"/>
                      <w:szCs w:val="21"/>
                      <w:lang w:val="en-US" w:eastAsia="zh-CN"/>
                      <w14:textFill>
                        <w14:solidFill>
                          <w14:schemeClr w14:val="tx1"/>
                        </w14:solidFill>
                      </w14:textFill>
                    </w:rPr>
                    <w:t>建</w:t>
                  </w:r>
                </w:p>
              </w:tc>
            </w:tr>
            <w:tr w14:paraId="0BA8369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505" w:type="pct"/>
                  <w:vMerge w:val="continue"/>
                  <w:tcBorders>
                    <w:bottom w:val="single" w:color="000000" w:sz="12" w:space="0"/>
                    <w:tl2br w:val="nil"/>
                    <w:tr2bl w:val="nil"/>
                  </w:tcBorders>
                  <w:shd w:val="clear" w:color="auto" w:fill="FFFFFF"/>
                  <w:vAlign w:val="center"/>
                </w:tcPr>
                <w:p w14:paraId="0562066B">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p>
              </w:tc>
              <w:tc>
                <w:tcPr>
                  <w:tcW w:w="905" w:type="pct"/>
                  <w:gridSpan w:val="2"/>
                  <w:tcBorders>
                    <w:bottom w:val="single" w:color="000000" w:sz="12" w:space="0"/>
                    <w:tl2br w:val="nil"/>
                    <w:tr2bl w:val="nil"/>
                  </w:tcBorders>
                  <w:shd w:val="clear" w:color="auto" w:fill="FFFFFF"/>
                  <w:vAlign w:val="center"/>
                </w:tcPr>
                <w:p w14:paraId="1C9CF09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pacing w:val="0"/>
                      <w:sz w:val="21"/>
                      <w:szCs w:val="21"/>
                      <w14:textFill>
                        <w14:solidFill>
                          <w14:schemeClr w14:val="tx1"/>
                        </w14:solidFill>
                      </w14:textFill>
                    </w:rPr>
                  </w:pPr>
                  <w:r>
                    <w:rPr>
                      <w:rFonts w:hint="eastAsia" w:ascii="Times New Roman" w:hAnsi="Times New Roman" w:eastAsia="宋体"/>
                      <w:b w:val="0"/>
                      <w:color w:val="000000" w:themeColor="text1"/>
                      <w:spacing w:val="0"/>
                      <w:sz w:val="21"/>
                      <w:szCs w:val="21"/>
                      <w14:textFill>
                        <w14:solidFill>
                          <w14:schemeClr w14:val="tx1"/>
                        </w14:solidFill>
                      </w14:textFill>
                    </w:rPr>
                    <w:t>危险废物治理</w:t>
                  </w:r>
                </w:p>
              </w:tc>
              <w:tc>
                <w:tcPr>
                  <w:tcW w:w="2715" w:type="pct"/>
                  <w:tcBorders>
                    <w:bottom w:val="single" w:color="000000" w:sz="12" w:space="0"/>
                    <w:tl2br w:val="nil"/>
                    <w:tr2bl w:val="nil"/>
                  </w:tcBorders>
                  <w:shd w:val="clear" w:color="auto" w:fill="FFFFFF"/>
                  <w:vAlign w:val="center"/>
                </w:tcPr>
                <w:p w14:paraId="21BE8C4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ind w:firstLine="0" w:firstLineChars="0"/>
                    <w:textAlignment w:val="auto"/>
                    <w:rPr>
                      <w:rFonts w:hint="eastAsia" w:ascii="Times New Roman" w:hAnsi="Times New Roman" w:eastAsia="宋体"/>
                      <w:b w:val="0"/>
                      <w:color w:val="000000" w:themeColor="text1"/>
                      <w:spacing w:val="0"/>
                      <w:sz w:val="21"/>
                      <w:szCs w:val="21"/>
                      <w:highlight w:val="none"/>
                      <w14:textFill>
                        <w14:solidFill>
                          <w14:schemeClr w14:val="tx1"/>
                        </w14:solidFill>
                      </w14:textFill>
                    </w:rPr>
                  </w:pPr>
                  <w:r>
                    <w:rPr>
                      <w:rFonts w:hint="eastAsia" w:ascii="Times New Roman" w:hAnsi="Times New Roman" w:eastAsia="宋体" w:cs="宋体"/>
                      <w:b w:val="0"/>
                      <w:i w:val="0"/>
                      <w:iCs w:val="0"/>
                      <w:color w:val="000000" w:themeColor="text1"/>
                      <w:kern w:val="0"/>
                      <w:sz w:val="21"/>
                      <w:szCs w:val="21"/>
                      <w:u w:val="none"/>
                      <w:lang w:val="en-US" w:eastAsia="zh-CN" w:bidi="ar"/>
                      <w14:textFill>
                        <w14:solidFill>
                          <w14:schemeClr w14:val="tx1"/>
                        </w14:solidFill>
                      </w14:textFill>
                    </w:rPr>
                    <w:t>废</w:t>
                  </w:r>
                  <w:r>
                    <w:rPr>
                      <w:rFonts w:hint="eastAsia" w:cs="宋体"/>
                      <w:b w:val="0"/>
                      <w:i w:val="0"/>
                      <w:iCs w:val="0"/>
                      <w:color w:val="000000" w:themeColor="text1"/>
                      <w:kern w:val="0"/>
                      <w:sz w:val="21"/>
                      <w:szCs w:val="21"/>
                      <w:u w:val="none"/>
                      <w:lang w:val="en-US" w:eastAsia="zh-CN" w:bidi="ar"/>
                      <w14:textFill>
                        <w14:solidFill>
                          <w14:schemeClr w14:val="tx1"/>
                        </w14:solidFill>
                      </w14:textFill>
                    </w:rPr>
                    <w:t>润滑油、废润滑油桶</w:t>
                  </w:r>
                  <w:r>
                    <w:rPr>
                      <w:rFonts w:hint="eastAsia" w:ascii="Times New Roman" w:hAnsi="Times New Roman" w:eastAsia="宋体" w:cs="宋体"/>
                      <w:b w:val="0"/>
                      <w:i w:val="0"/>
                      <w:iCs w:val="0"/>
                      <w:color w:val="000000" w:themeColor="text1"/>
                      <w:kern w:val="0"/>
                      <w:sz w:val="21"/>
                      <w:szCs w:val="21"/>
                      <w:u w:val="none"/>
                      <w:lang w:val="en-US" w:eastAsia="zh-CN" w:bidi="ar"/>
                      <w14:textFill>
                        <w14:solidFill>
                          <w14:schemeClr w14:val="tx1"/>
                        </w14:solidFill>
                      </w14:textFill>
                    </w:rPr>
                    <w:t>等分类暂存，委托有资质单位处置</w:t>
                  </w:r>
                </w:p>
              </w:tc>
              <w:tc>
                <w:tcPr>
                  <w:tcW w:w="874" w:type="pct"/>
                  <w:tcBorders>
                    <w:bottom w:val="single" w:color="000000" w:sz="12" w:space="0"/>
                    <w:tl2br w:val="nil"/>
                    <w:tr2bl w:val="nil"/>
                  </w:tcBorders>
                  <w:shd w:val="clear" w:color="auto" w:fill="FFFFFF"/>
                  <w:vAlign w:val="center"/>
                </w:tcPr>
                <w:p w14:paraId="7E00A4D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color w:val="000000" w:themeColor="text1"/>
                      <w:spacing w:val="0"/>
                      <w:sz w:val="21"/>
                      <w:szCs w:val="21"/>
                      <w:highlight w:val="none"/>
                      <w:lang w:eastAsia="zh-CN"/>
                      <w14:textFill>
                        <w14:solidFill>
                          <w14:schemeClr w14:val="tx1"/>
                        </w14:solidFill>
                      </w14:textFill>
                    </w:rPr>
                  </w:pPr>
                  <w:r>
                    <w:rPr>
                      <w:rFonts w:hint="eastAsia"/>
                      <w:b w:val="0"/>
                      <w:color w:val="000000" w:themeColor="text1"/>
                      <w:spacing w:val="0"/>
                      <w:sz w:val="21"/>
                      <w:szCs w:val="21"/>
                      <w:lang w:val="en-US" w:eastAsia="zh-CN"/>
                      <w14:textFill>
                        <w14:solidFill>
                          <w14:schemeClr w14:val="tx1"/>
                        </w14:solidFill>
                      </w14:textFill>
                    </w:rPr>
                    <w:t>依托</w:t>
                  </w:r>
                </w:p>
              </w:tc>
            </w:tr>
          </w:tbl>
          <w:p w14:paraId="51DDF275">
            <w:pPr>
              <w:keepNext w:val="0"/>
              <w:keepLines w:val="0"/>
              <w:pageBreakBefore w:val="0"/>
              <w:widowControl w:val="0"/>
              <w:kinsoku/>
              <w:wordWrap/>
              <w:overflowPunct/>
              <w:topLinePunct w:val="0"/>
              <w:autoSpaceDE/>
              <w:autoSpaceDN/>
              <w:bidi w:val="0"/>
              <w:adjustRightInd w:val="0"/>
              <w:snapToGrid w:val="0"/>
              <w:ind w:firstLine="482"/>
              <w:textAlignment w:val="auto"/>
              <w:rPr>
                <w:rFonts w:hint="eastAsia" w:ascii="Times New Roman" w:hAnsi="Times New Roman" w:eastAsia="宋体" w:cs="Times New Roman"/>
                <w:b/>
                <w:color w:val="000000" w:themeColor="text1"/>
                <w:spacing w:val="0"/>
                <w:sz w:val="24"/>
                <w:lang w:val="en-US" w:eastAsia="zh-CN"/>
                <w14:textFill>
                  <w14:solidFill>
                    <w14:schemeClr w14:val="tx1"/>
                  </w14:solidFill>
                </w14:textFill>
              </w:rPr>
            </w:pPr>
            <w:r>
              <w:rPr>
                <w:rFonts w:hint="eastAsia" w:ascii="Times New Roman" w:hAnsi="Times New Roman" w:eastAsia="宋体" w:cs="Times New Roman"/>
                <w:b/>
                <w:color w:val="000000" w:themeColor="text1"/>
                <w:spacing w:val="0"/>
                <w:sz w:val="24"/>
                <w:lang w:val="en-US" w:eastAsia="zh-CN"/>
                <w14:textFill>
                  <w14:solidFill>
                    <w14:schemeClr w14:val="tx1"/>
                  </w14:solidFill>
                </w14:textFill>
              </w:rPr>
              <w:t>2.主要设备</w:t>
            </w:r>
          </w:p>
          <w:p w14:paraId="3CC69CFD">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spacing w:val="0"/>
                <w:sz w:val="24"/>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4"/>
                <w:lang w:val="en-US" w:eastAsia="zh-CN"/>
                <w14:textFill>
                  <w14:solidFill>
                    <w14:schemeClr w14:val="tx1"/>
                  </w14:solidFill>
                </w14:textFill>
              </w:rPr>
              <w:t>本项目主要设备见表2-2。</w:t>
            </w:r>
          </w:p>
          <w:p w14:paraId="28CF81CF">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eastAsia="宋体"/>
                <w:b/>
                <w:bCs/>
                <w:color w:val="000000" w:themeColor="text1"/>
                <w:sz w:val="21"/>
                <w:szCs w:val="21"/>
                <w:highlight w:val="none"/>
                <w:lang w:val="en-US" w:eastAsia="zh-CN"/>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表2-</w:t>
            </w:r>
            <w:r>
              <w:rPr>
                <w:rFonts w:hint="eastAsia"/>
                <w:b/>
                <w:bCs/>
                <w:color w:val="000000" w:themeColor="text1"/>
                <w:sz w:val="21"/>
                <w:szCs w:val="21"/>
                <w:highlight w:val="none"/>
                <w:lang w:val="en-US" w:eastAsia="zh-CN"/>
                <w14:textFill>
                  <w14:solidFill>
                    <w14:schemeClr w14:val="tx1"/>
                  </w14:solidFill>
                </w14:textFill>
              </w:rPr>
              <w:t>2</w:t>
            </w:r>
            <w:r>
              <w:rPr>
                <w:rFonts w:hint="eastAsia"/>
                <w:b/>
                <w:bCs/>
                <w:color w:val="000000" w:themeColor="text1"/>
                <w:sz w:val="21"/>
                <w:szCs w:val="21"/>
                <w:highlight w:val="none"/>
                <w14:textFill>
                  <w14:solidFill>
                    <w14:schemeClr w14:val="tx1"/>
                  </w14:solidFill>
                </w14:textFill>
              </w:rPr>
              <w:t xml:space="preserve">    项目主要</w:t>
            </w:r>
            <w:r>
              <w:rPr>
                <w:rFonts w:hint="eastAsia"/>
                <w:b/>
                <w:bCs/>
                <w:color w:val="000000" w:themeColor="text1"/>
                <w:sz w:val="21"/>
                <w:szCs w:val="21"/>
                <w:highlight w:val="none"/>
                <w:lang w:val="en-US" w:eastAsia="zh-CN"/>
                <w14:textFill>
                  <w14:solidFill>
                    <w14:schemeClr w14:val="tx1"/>
                  </w14:solidFill>
                </w14:textFill>
              </w:rPr>
              <w:t>设备一览表</w:t>
            </w:r>
          </w:p>
          <w:tbl>
            <w:tblPr>
              <w:tblStyle w:val="4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7"/>
              <w:gridCol w:w="1537"/>
              <w:gridCol w:w="1537"/>
              <w:gridCol w:w="1537"/>
              <w:gridCol w:w="1537"/>
              <w:gridCol w:w="1537"/>
            </w:tblGrid>
            <w:tr w14:paraId="5CC7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Borders>
                    <w:top w:val="single" w:color="000000" w:sz="12" w:space="0"/>
                    <w:left w:val="nil"/>
                    <w:tl2br w:val="nil"/>
                  </w:tcBorders>
                  <w:shd w:val="clear" w:color="auto" w:fill="auto"/>
                  <w:vAlign w:val="center"/>
                </w:tcPr>
                <w:p w14:paraId="12569F36">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val="0"/>
                      <w:color w:val="000000" w:themeColor="text1"/>
                      <w:spacing w:val="0"/>
                      <w:kern w:val="0"/>
                      <w:sz w:val="21"/>
                      <w:szCs w:val="21"/>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spacing w:val="0"/>
                      <w:sz w:val="21"/>
                      <w:szCs w:val="21"/>
                      <w:lang w:val="en-US" w:eastAsia="zh-CN"/>
                      <w14:textFill>
                        <w14:solidFill>
                          <w14:schemeClr w14:val="tx1"/>
                        </w14:solidFill>
                      </w14:textFill>
                    </w:rPr>
                    <w:t>序号</w:t>
                  </w:r>
                </w:p>
              </w:tc>
              <w:tc>
                <w:tcPr>
                  <w:tcW w:w="833" w:type="pct"/>
                  <w:tcBorders>
                    <w:top w:val="single" w:color="000000" w:sz="12" w:space="0"/>
                  </w:tcBorders>
                  <w:shd w:val="clear" w:color="auto" w:fill="auto"/>
                  <w:vAlign w:val="center"/>
                </w:tcPr>
                <w:p w14:paraId="5DC9FDF9">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val="0"/>
                      <w:color w:val="000000" w:themeColor="text1"/>
                      <w:spacing w:val="0"/>
                      <w:kern w:val="0"/>
                      <w:sz w:val="21"/>
                      <w:szCs w:val="21"/>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spacing w:val="0"/>
                      <w:sz w:val="21"/>
                      <w:szCs w:val="21"/>
                      <w:lang w:val="en-US" w:eastAsia="zh-CN"/>
                      <w14:textFill>
                        <w14:solidFill>
                          <w14:schemeClr w14:val="tx1"/>
                        </w14:solidFill>
                      </w14:textFill>
                    </w:rPr>
                    <w:t>名称</w:t>
                  </w:r>
                </w:p>
              </w:tc>
              <w:tc>
                <w:tcPr>
                  <w:tcW w:w="833" w:type="pct"/>
                  <w:tcBorders>
                    <w:top w:val="single" w:color="000000" w:sz="12" w:space="0"/>
                  </w:tcBorders>
                  <w:shd w:val="clear" w:color="auto" w:fill="auto"/>
                  <w:vAlign w:val="center"/>
                </w:tcPr>
                <w:p w14:paraId="68CC04A7">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val="0"/>
                      <w:color w:val="000000" w:themeColor="text1"/>
                      <w:spacing w:val="0"/>
                      <w:kern w:val="0"/>
                      <w:sz w:val="21"/>
                      <w:szCs w:val="21"/>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spacing w:val="0"/>
                      <w:sz w:val="21"/>
                      <w:szCs w:val="21"/>
                      <w:lang w:val="en-US" w:eastAsia="zh-CN"/>
                      <w14:textFill>
                        <w14:solidFill>
                          <w14:schemeClr w14:val="tx1"/>
                        </w14:solidFill>
                      </w14:textFill>
                    </w:rPr>
                    <w:t>规格型号</w:t>
                  </w:r>
                </w:p>
              </w:tc>
              <w:tc>
                <w:tcPr>
                  <w:tcW w:w="833" w:type="pct"/>
                  <w:tcBorders>
                    <w:top w:val="single" w:color="000000" w:sz="12" w:space="0"/>
                  </w:tcBorders>
                  <w:shd w:val="clear" w:color="auto" w:fill="auto"/>
                  <w:vAlign w:val="center"/>
                </w:tcPr>
                <w:p w14:paraId="5A728208">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val="0"/>
                      <w:color w:val="000000" w:themeColor="text1"/>
                      <w:spacing w:val="0"/>
                      <w:kern w:val="0"/>
                      <w:sz w:val="21"/>
                      <w:szCs w:val="21"/>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spacing w:val="0"/>
                      <w:sz w:val="21"/>
                      <w:szCs w:val="21"/>
                      <w:lang w:val="en-US" w:eastAsia="zh-CN"/>
                      <w14:textFill>
                        <w14:solidFill>
                          <w14:schemeClr w14:val="tx1"/>
                        </w14:solidFill>
                      </w14:textFill>
                    </w:rPr>
                    <w:t>单位</w:t>
                  </w:r>
                </w:p>
              </w:tc>
              <w:tc>
                <w:tcPr>
                  <w:tcW w:w="833" w:type="pct"/>
                  <w:tcBorders>
                    <w:top w:val="single" w:color="000000" w:sz="12" w:space="0"/>
                  </w:tcBorders>
                  <w:shd w:val="clear" w:color="auto" w:fill="auto"/>
                  <w:vAlign w:val="center"/>
                </w:tcPr>
                <w:p w14:paraId="41A39A66">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val="0"/>
                      <w:color w:val="000000" w:themeColor="text1"/>
                      <w:spacing w:val="0"/>
                      <w:kern w:val="0"/>
                      <w:sz w:val="21"/>
                      <w:szCs w:val="21"/>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spacing w:val="0"/>
                      <w:sz w:val="21"/>
                      <w:szCs w:val="21"/>
                      <w:lang w:val="en-US" w:eastAsia="zh-CN"/>
                      <w14:textFill>
                        <w14:solidFill>
                          <w14:schemeClr w14:val="tx1"/>
                        </w14:solidFill>
                      </w14:textFill>
                    </w:rPr>
                    <w:t>数量</w:t>
                  </w:r>
                </w:p>
              </w:tc>
              <w:tc>
                <w:tcPr>
                  <w:tcW w:w="833" w:type="pct"/>
                  <w:tcBorders>
                    <w:top w:val="single" w:color="000000" w:sz="12" w:space="0"/>
                    <w:right w:val="nil"/>
                  </w:tcBorders>
                  <w:shd w:val="clear" w:color="auto" w:fill="auto"/>
                  <w:vAlign w:val="center"/>
                </w:tcPr>
                <w:p w14:paraId="065B5E89">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val="0"/>
                      <w:color w:val="000000" w:themeColor="text1"/>
                      <w:spacing w:val="0"/>
                      <w:kern w:val="0"/>
                      <w:sz w:val="21"/>
                      <w:szCs w:val="21"/>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spacing w:val="0"/>
                      <w:sz w:val="21"/>
                      <w:szCs w:val="21"/>
                      <w:lang w:val="en-US" w:eastAsia="zh-CN"/>
                      <w14:textFill>
                        <w14:solidFill>
                          <w14:schemeClr w14:val="tx1"/>
                        </w14:solidFill>
                      </w14:textFill>
                    </w:rPr>
                    <w:t>备注</w:t>
                  </w:r>
                </w:p>
              </w:tc>
            </w:tr>
            <w:tr w14:paraId="15B7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Borders>
                    <w:left w:val="nil"/>
                  </w:tcBorders>
                  <w:shd w:val="clear" w:color="auto" w:fill="auto"/>
                  <w:vAlign w:val="center"/>
                </w:tcPr>
                <w:p w14:paraId="12CE4EF7">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1</w:t>
                  </w:r>
                </w:p>
              </w:tc>
              <w:tc>
                <w:tcPr>
                  <w:tcW w:w="833" w:type="pct"/>
                  <w:shd w:val="clear" w:color="auto" w:fill="FFFFFF"/>
                </w:tcPr>
                <w:p w14:paraId="0FC42679">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料仓</w:t>
                  </w:r>
                </w:p>
              </w:tc>
              <w:tc>
                <w:tcPr>
                  <w:tcW w:w="833" w:type="pct"/>
                  <w:shd w:val="clear" w:color="auto" w:fill="FFFFFF"/>
                </w:tcPr>
                <w:p w14:paraId="6AD1E10A">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c>
                <w:tcPr>
                  <w:tcW w:w="833" w:type="pct"/>
                  <w:shd w:val="clear" w:color="auto" w:fill="FFFFFF"/>
                </w:tcPr>
                <w:p w14:paraId="4C1CC80B">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1</w:t>
                  </w:r>
                </w:p>
              </w:tc>
              <w:tc>
                <w:tcPr>
                  <w:tcW w:w="833" w:type="pct"/>
                  <w:shd w:val="clear" w:color="auto" w:fill="FFFFFF"/>
                </w:tcPr>
                <w:p w14:paraId="43A8EFE2">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个</w:t>
                  </w:r>
                </w:p>
              </w:tc>
              <w:tc>
                <w:tcPr>
                  <w:tcW w:w="833" w:type="pct"/>
                  <w:tcBorders>
                    <w:right w:val="nil"/>
                  </w:tcBorders>
                  <w:shd w:val="clear" w:color="auto" w:fill="FFFFFF"/>
                </w:tcPr>
                <w:p w14:paraId="0F349A7E">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r>
            <w:tr w14:paraId="5800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Borders>
                    <w:left w:val="nil"/>
                  </w:tcBorders>
                  <w:shd w:val="clear" w:color="auto" w:fill="auto"/>
                  <w:vAlign w:val="center"/>
                </w:tcPr>
                <w:p w14:paraId="4A4F4B66">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2</w:t>
                  </w:r>
                </w:p>
              </w:tc>
              <w:tc>
                <w:tcPr>
                  <w:tcW w:w="833" w:type="pct"/>
                  <w:shd w:val="clear" w:color="auto" w:fill="FFFFFF"/>
                </w:tcPr>
                <w:p w14:paraId="43E98365">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振动筛</w:t>
                  </w:r>
                </w:p>
              </w:tc>
              <w:tc>
                <w:tcPr>
                  <w:tcW w:w="833" w:type="pct"/>
                  <w:shd w:val="clear" w:color="auto" w:fill="FFFFFF"/>
                </w:tcPr>
                <w:p w14:paraId="31D102FF">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1.8*4.5</w:t>
                  </w:r>
                </w:p>
              </w:tc>
              <w:tc>
                <w:tcPr>
                  <w:tcW w:w="833" w:type="pct"/>
                  <w:shd w:val="clear" w:color="auto" w:fill="FFFFFF"/>
                </w:tcPr>
                <w:p w14:paraId="6901C587">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1</w:t>
                  </w:r>
                </w:p>
              </w:tc>
              <w:tc>
                <w:tcPr>
                  <w:tcW w:w="833" w:type="pct"/>
                  <w:shd w:val="clear" w:color="auto" w:fill="FFFFFF"/>
                </w:tcPr>
                <w:p w14:paraId="487A1CD4">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个</w:t>
                  </w:r>
                </w:p>
              </w:tc>
              <w:tc>
                <w:tcPr>
                  <w:tcW w:w="833" w:type="pct"/>
                  <w:tcBorders>
                    <w:right w:val="nil"/>
                  </w:tcBorders>
                  <w:shd w:val="clear" w:color="auto" w:fill="FFFFFF"/>
                </w:tcPr>
                <w:p w14:paraId="3E61BC02">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r>
            <w:tr w14:paraId="7844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Borders>
                    <w:left w:val="nil"/>
                  </w:tcBorders>
                  <w:shd w:val="clear" w:color="auto" w:fill="auto"/>
                  <w:vAlign w:val="center"/>
                </w:tcPr>
                <w:p w14:paraId="6AE4A6AF">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eastAsia" w:ascii="Times New Roman" w:hAnsi="Times New Roman" w:eastAsia="宋体" w:cs="Times New Roman"/>
                      <w:b w:val="0"/>
                      <w:bCs/>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3</w:t>
                  </w:r>
                </w:p>
              </w:tc>
              <w:tc>
                <w:tcPr>
                  <w:tcW w:w="833" w:type="pct"/>
                  <w:shd w:val="clear" w:color="auto" w:fill="FFFFFF"/>
                </w:tcPr>
                <w:p w14:paraId="6590FC87">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滚筒筛</w:t>
                  </w:r>
                </w:p>
              </w:tc>
              <w:tc>
                <w:tcPr>
                  <w:tcW w:w="833" w:type="pct"/>
                  <w:shd w:val="clear" w:color="auto" w:fill="FFFFFF"/>
                </w:tcPr>
                <w:p w14:paraId="38405434">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1.8*7</w:t>
                  </w:r>
                </w:p>
              </w:tc>
              <w:tc>
                <w:tcPr>
                  <w:tcW w:w="833" w:type="pct"/>
                  <w:shd w:val="clear" w:color="auto" w:fill="FFFFFF"/>
                </w:tcPr>
                <w:p w14:paraId="01D1330A">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1</w:t>
                  </w:r>
                </w:p>
              </w:tc>
              <w:tc>
                <w:tcPr>
                  <w:tcW w:w="833" w:type="pct"/>
                  <w:shd w:val="clear" w:color="auto" w:fill="FFFFFF"/>
                </w:tcPr>
                <w:p w14:paraId="426F40DA">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个</w:t>
                  </w:r>
                </w:p>
              </w:tc>
              <w:tc>
                <w:tcPr>
                  <w:tcW w:w="833" w:type="pct"/>
                  <w:tcBorders>
                    <w:right w:val="nil"/>
                  </w:tcBorders>
                  <w:shd w:val="clear" w:color="auto" w:fill="FFFFFF"/>
                </w:tcPr>
                <w:p w14:paraId="22067159">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r>
            <w:tr w14:paraId="73BD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Borders>
                    <w:left w:val="nil"/>
                  </w:tcBorders>
                  <w:shd w:val="clear" w:color="auto" w:fill="auto"/>
                  <w:vAlign w:val="center"/>
                </w:tcPr>
                <w:p w14:paraId="555FB0ED">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val="0"/>
                      <w:bCs/>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4</w:t>
                  </w:r>
                </w:p>
              </w:tc>
              <w:tc>
                <w:tcPr>
                  <w:tcW w:w="833" w:type="pct"/>
                  <w:shd w:val="clear" w:color="auto" w:fill="FFFFFF"/>
                </w:tcPr>
                <w:p w14:paraId="05C179CF">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绞龙</w:t>
                  </w:r>
                </w:p>
              </w:tc>
              <w:tc>
                <w:tcPr>
                  <w:tcW w:w="833" w:type="pct"/>
                  <w:shd w:val="clear" w:color="auto" w:fill="FFFFFF"/>
                </w:tcPr>
                <w:p w14:paraId="74A9F939">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c>
                <w:tcPr>
                  <w:tcW w:w="833" w:type="pct"/>
                  <w:shd w:val="clear" w:color="auto" w:fill="FFFFFF"/>
                </w:tcPr>
                <w:p w14:paraId="0B1428FC">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1</w:t>
                  </w:r>
                </w:p>
              </w:tc>
              <w:tc>
                <w:tcPr>
                  <w:tcW w:w="833" w:type="pct"/>
                  <w:shd w:val="clear" w:color="auto" w:fill="FFFFFF"/>
                </w:tcPr>
                <w:p w14:paraId="7DD3FC3C">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个</w:t>
                  </w:r>
                </w:p>
              </w:tc>
              <w:tc>
                <w:tcPr>
                  <w:tcW w:w="833" w:type="pct"/>
                  <w:tcBorders>
                    <w:right w:val="nil"/>
                  </w:tcBorders>
                  <w:shd w:val="clear" w:color="auto" w:fill="FFFFFF"/>
                </w:tcPr>
                <w:p w14:paraId="3E1AB449">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r>
            <w:tr w14:paraId="1335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Borders>
                    <w:left w:val="nil"/>
                  </w:tcBorders>
                  <w:shd w:val="clear" w:color="auto" w:fill="auto"/>
                  <w:vAlign w:val="center"/>
                </w:tcPr>
                <w:p w14:paraId="1C6DA252">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val="0"/>
                      <w:bCs/>
                      <w:color w:val="000000" w:themeColor="text1"/>
                      <w:spacing w:val="0"/>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5</w:t>
                  </w:r>
                </w:p>
              </w:tc>
              <w:tc>
                <w:tcPr>
                  <w:tcW w:w="833" w:type="pct"/>
                  <w:shd w:val="clear" w:color="auto" w:fill="FFFFFF"/>
                </w:tcPr>
                <w:p w14:paraId="2C37C037">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捞沙机</w:t>
                  </w:r>
                </w:p>
              </w:tc>
              <w:tc>
                <w:tcPr>
                  <w:tcW w:w="833" w:type="pct"/>
                  <w:shd w:val="clear" w:color="auto" w:fill="FFFFFF"/>
                </w:tcPr>
                <w:p w14:paraId="132CFC34">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c>
                <w:tcPr>
                  <w:tcW w:w="833" w:type="pct"/>
                  <w:shd w:val="clear" w:color="auto" w:fill="FFFFFF"/>
                </w:tcPr>
                <w:p w14:paraId="24B1B5D0">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1</w:t>
                  </w:r>
                </w:p>
              </w:tc>
              <w:tc>
                <w:tcPr>
                  <w:tcW w:w="833" w:type="pct"/>
                  <w:shd w:val="clear" w:color="auto" w:fill="FFFFFF"/>
                </w:tcPr>
                <w:p w14:paraId="40B40B7C">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个</w:t>
                  </w:r>
                </w:p>
              </w:tc>
              <w:tc>
                <w:tcPr>
                  <w:tcW w:w="833" w:type="pct"/>
                  <w:tcBorders>
                    <w:right w:val="nil"/>
                  </w:tcBorders>
                  <w:shd w:val="clear" w:color="auto" w:fill="FFFFFF"/>
                </w:tcPr>
                <w:p w14:paraId="058C0DBE">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r>
            <w:tr w14:paraId="23C7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Borders>
                    <w:left w:val="nil"/>
                  </w:tcBorders>
                  <w:shd w:val="clear" w:color="auto" w:fill="auto"/>
                  <w:vAlign w:val="center"/>
                </w:tcPr>
                <w:p w14:paraId="44CD4ED8">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6</w:t>
                  </w:r>
                </w:p>
              </w:tc>
              <w:tc>
                <w:tcPr>
                  <w:tcW w:w="833" w:type="pct"/>
                  <w:shd w:val="clear" w:color="auto" w:fill="FFFFFF"/>
                </w:tcPr>
                <w:p w14:paraId="1C27F2B3">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压滤机</w:t>
                  </w:r>
                </w:p>
              </w:tc>
              <w:tc>
                <w:tcPr>
                  <w:tcW w:w="833" w:type="pct"/>
                  <w:shd w:val="clear" w:color="auto" w:fill="FFFFFF"/>
                </w:tcPr>
                <w:p w14:paraId="546B67A0">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13.5*3</w:t>
                  </w:r>
                </w:p>
              </w:tc>
              <w:tc>
                <w:tcPr>
                  <w:tcW w:w="833" w:type="pct"/>
                  <w:shd w:val="clear" w:color="auto" w:fill="FFFFFF"/>
                </w:tcPr>
                <w:p w14:paraId="59305741">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1</w:t>
                  </w:r>
                </w:p>
              </w:tc>
              <w:tc>
                <w:tcPr>
                  <w:tcW w:w="833" w:type="pct"/>
                  <w:shd w:val="clear" w:color="auto" w:fill="FFFFFF"/>
                </w:tcPr>
                <w:p w14:paraId="16AB4415">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个</w:t>
                  </w:r>
                </w:p>
              </w:tc>
              <w:tc>
                <w:tcPr>
                  <w:tcW w:w="833" w:type="pct"/>
                  <w:tcBorders>
                    <w:right w:val="nil"/>
                  </w:tcBorders>
                  <w:shd w:val="clear" w:color="auto" w:fill="FFFFFF"/>
                </w:tcPr>
                <w:p w14:paraId="555DDAD8">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r>
            <w:tr w14:paraId="4C17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Borders>
                    <w:left w:val="nil"/>
                  </w:tcBorders>
                  <w:shd w:val="clear" w:color="auto" w:fill="auto"/>
                  <w:vAlign w:val="center"/>
                </w:tcPr>
                <w:p w14:paraId="3C9DE489">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b/>
                      <w:bCs/>
                      <w:color w:val="000000" w:themeColor="text1"/>
                      <w:spacing w:val="0"/>
                      <w:kern w:val="0"/>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7</w:t>
                  </w:r>
                </w:p>
              </w:tc>
              <w:tc>
                <w:tcPr>
                  <w:tcW w:w="833" w:type="pct"/>
                  <w:shd w:val="clear" w:color="auto" w:fill="FFFFFF"/>
                </w:tcPr>
                <w:p w14:paraId="7FBE8116">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装载机</w:t>
                  </w:r>
                </w:p>
              </w:tc>
              <w:tc>
                <w:tcPr>
                  <w:tcW w:w="833" w:type="pct"/>
                  <w:shd w:val="clear" w:color="auto" w:fill="FFFFFF"/>
                </w:tcPr>
                <w:p w14:paraId="3F8EB011">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c>
                <w:tcPr>
                  <w:tcW w:w="833" w:type="pct"/>
                  <w:shd w:val="clear" w:color="auto" w:fill="FFFFFF"/>
                </w:tcPr>
                <w:p w14:paraId="04544635">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5</w:t>
                  </w:r>
                </w:p>
              </w:tc>
              <w:tc>
                <w:tcPr>
                  <w:tcW w:w="833" w:type="pct"/>
                  <w:shd w:val="clear" w:color="auto" w:fill="FFFFFF"/>
                </w:tcPr>
                <w:p w14:paraId="24D45FD1">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台</w:t>
                  </w:r>
                </w:p>
              </w:tc>
              <w:tc>
                <w:tcPr>
                  <w:tcW w:w="833" w:type="pct"/>
                  <w:tcBorders>
                    <w:right w:val="nil"/>
                  </w:tcBorders>
                  <w:shd w:val="clear" w:color="auto" w:fill="FFFFFF"/>
                </w:tcPr>
                <w:p w14:paraId="5859C549">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r>
            <w:tr w14:paraId="6461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tcBorders>
                    <w:left w:val="nil"/>
                    <w:bottom w:val="single" w:color="000000" w:sz="12" w:space="0"/>
                  </w:tcBorders>
                  <w:shd w:val="clear" w:color="auto" w:fill="auto"/>
                  <w:vAlign w:val="center"/>
                </w:tcPr>
                <w:p w14:paraId="6E951AD5">
                  <w:pPr>
                    <w:pStyle w:val="235"/>
                    <w:keepNext w:val="0"/>
                    <w:keepLines w:val="0"/>
                    <w:pageBreakBefore w:val="0"/>
                    <w:widowControl w:val="0"/>
                    <w:kinsoku/>
                    <w:wordWrap/>
                    <w:overflowPunct/>
                    <w:topLinePunct w:val="0"/>
                    <w:autoSpaceDE/>
                    <w:autoSpaceDN/>
                    <w:bidi w:val="0"/>
                    <w:adjustRightInd w:val="0"/>
                    <w:snapToGrid w:val="0"/>
                    <w:spacing w:line="240" w:lineRule="auto"/>
                    <w:ind w:left="-72" w:leftChars="-30" w:right="-72" w:rightChars="-3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hAnsi="Times New Roman" w:eastAsia="宋体" w:cs="Times New Roman"/>
                      <w:color w:val="000000" w:themeColor="text1"/>
                      <w:spacing w:val="0"/>
                      <w:sz w:val="21"/>
                      <w:szCs w:val="21"/>
                      <w:lang w:val="en-US" w:eastAsia="zh-CN"/>
                      <w14:textFill>
                        <w14:solidFill>
                          <w14:schemeClr w14:val="tx1"/>
                        </w14:solidFill>
                      </w14:textFill>
                    </w:rPr>
                    <w:t>8</w:t>
                  </w:r>
                </w:p>
              </w:tc>
              <w:tc>
                <w:tcPr>
                  <w:tcW w:w="833" w:type="pct"/>
                  <w:tcBorders>
                    <w:bottom w:val="single" w:color="000000" w:sz="12" w:space="0"/>
                  </w:tcBorders>
                  <w:shd w:val="clear" w:color="auto" w:fill="FFFFFF"/>
                </w:tcPr>
                <w:p w14:paraId="213E9103">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输送带</w:t>
                  </w:r>
                </w:p>
              </w:tc>
              <w:tc>
                <w:tcPr>
                  <w:tcW w:w="833" w:type="pct"/>
                  <w:tcBorders>
                    <w:bottom w:val="single" w:color="000000" w:sz="12" w:space="0"/>
                  </w:tcBorders>
                  <w:shd w:val="clear" w:color="auto" w:fill="FFFFFF"/>
                </w:tcPr>
                <w:p w14:paraId="371B5E64">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c>
                <w:tcPr>
                  <w:tcW w:w="833" w:type="pct"/>
                  <w:tcBorders>
                    <w:bottom w:val="single" w:color="000000" w:sz="12" w:space="0"/>
                  </w:tcBorders>
                  <w:shd w:val="clear" w:color="auto" w:fill="FFFFFF"/>
                </w:tcPr>
                <w:p w14:paraId="75584CD1">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6</w:t>
                  </w:r>
                </w:p>
              </w:tc>
              <w:tc>
                <w:tcPr>
                  <w:tcW w:w="833" w:type="pct"/>
                  <w:tcBorders>
                    <w:bottom w:val="single" w:color="000000" w:sz="12" w:space="0"/>
                  </w:tcBorders>
                  <w:shd w:val="clear" w:color="auto" w:fill="FFFFFF"/>
                </w:tcPr>
                <w:p w14:paraId="591A120B">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条</w:t>
                  </w:r>
                </w:p>
              </w:tc>
              <w:tc>
                <w:tcPr>
                  <w:tcW w:w="833" w:type="pct"/>
                  <w:tcBorders>
                    <w:bottom w:val="single" w:color="000000" w:sz="12" w:space="0"/>
                    <w:right w:val="nil"/>
                  </w:tcBorders>
                  <w:shd w:val="clear" w:color="auto" w:fill="FFFFFF"/>
                </w:tcPr>
                <w:p w14:paraId="58227A4C">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w:t>
                  </w:r>
                </w:p>
              </w:tc>
            </w:tr>
          </w:tbl>
          <w:p w14:paraId="5AD8B661">
            <w:pPr>
              <w:keepNext w:val="0"/>
              <w:keepLines w:val="0"/>
              <w:pageBreakBefore w:val="0"/>
              <w:widowControl w:val="0"/>
              <w:kinsoku/>
              <w:wordWrap/>
              <w:overflowPunct/>
              <w:topLinePunct w:val="0"/>
              <w:autoSpaceDE w:val="0"/>
              <w:autoSpaceDN w:val="0"/>
              <w:bidi w:val="0"/>
              <w:adjustRightInd w:val="0"/>
              <w:snapToGrid w:val="0"/>
              <w:spacing w:line="520" w:lineRule="atLeast"/>
              <w:ind w:firstLine="482"/>
              <w:textAlignment w:val="auto"/>
              <w:rPr>
                <w:b/>
                <w:bCs/>
                <w:color w:val="000000" w:themeColor="text1"/>
                <w:szCs w:val="21"/>
                <w14:textFill>
                  <w14:solidFill>
                    <w14:schemeClr w14:val="tx1"/>
                  </w14:solidFill>
                </w14:textFill>
              </w:rPr>
            </w:pPr>
            <w:r>
              <w:rPr>
                <w:rFonts w:hint="eastAsia"/>
                <w:b/>
                <w:bCs/>
                <w:color w:val="000000" w:themeColor="text1"/>
                <w:lang w:eastAsia="zh-CN"/>
                <w14:textFill>
                  <w14:solidFill>
                    <w14:schemeClr w14:val="tx1"/>
                  </w14:solidFill>
                </w14:textFill>
              </w:rPr>
              <w:t>3.</w:t>
            </w:r>
            <w:r>
              <w:rPr>
                <w:b/>
                <w:bCs/>
                <w:color w:val="000000" w:themeColor="text1"/>
                <w14:textFill>
                  <w14:solidFill>
                    <w14:schemeClr w14:val="tx1"/>
                  </w14:solidFill>
                </w14:textFill>
              </w:rPr>
              <w:t>主要原辅材料及能源</w:t>
            </w:r>
            <w:r>
              <w:rPr>
                <w:rFonts w:hint="eastAsia"/>
                <w:b/>
                <w:bCs/>
                <w:color w:val="000000" w:themeColor="text1"/>
                <w14:textFill>
                  <w14:solidFill>
                    <w14:schemeClr w14:val="tx1"/>
                  </w14:solidFill>
                </w14:textFill>
              </w:rPr>
              <w:t>消耗</w:t>
            </w:r>
          </w:p>
          <w:p w14:paraId="2CF88F47">
            <w:pPr>
              <w:keepNext w:val="0"/>
              <w:keepLines w:val="0"/>
              <w:pageBreakBefore w:val="0"/>
              <w:widowControl w:val="0"/>
              <w:kinsoku/>
              <w:wordWrap/>
              <w:overflowPunct/>
              <w:topLinePunct w:val="0"/>
              <w:bidi w:val="0"/>
              <w:adjustRightInd w:val="0"/>
              <w:snapToGrid w:val="0"/>
              <w:spacing w:before="120" w:beforeLines="50"/>
              <w:ind w:firstLine="520"/>
              <w:textAlignment w:val="auto"/>
              <w:rPr>
                <w:rFonts w:hint="eastAsia"/>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pacing w:val="10"/>
                <w14:textFill>
                  <w14:solidFill>
                    <w14:schemeClr w14:val="tx1"/>
                  </w14:solidFill>
                </w14:textFill>
              </w:rPr>
              <w:t>本项目主要原辅材料和能源消耗情况详见表2-</w:t>
            </w:r>
            <w:r>
              <w:rPr>
                <w:rFonts w:hint="eastAsia" w:ascii="Times New Roman" w:hAnsi="Times New Roman" w:eastAsia="宋体" w:cs="Times New Roman"/>
                <w:color w:val="000000" w:themeColor="text1"/>
                <w:spacing w:val="10"/>
                <w:lang w:val="en-US" w:eastAsia="zh-CN"/>
                <w14:textFill>
                  <w14:solidFill>
                    <w14:schemeClr w14:val="tx1"/>
                  </w14:solidFill>
                </w14:textFill>
              </w:rPr>
              <w:t>3</w:t>
            </w:r>
            <w:r>
              <w:rPr>
                <w:rFonts w:hint="eastAsia" w:ascii="Times New Roman" w:hAnsi="Times New Roman" w:eastAsia="宋体" w:cs="Times New Roman"/>
                <w:color w:val="000000" w:themeColor="text1"/>
                <w:spacing w:val="10"/>
                <w14:textFill>
                  <w14:solidFill>
                    <w14:schemeClr w14:val="tx1"/>
                  </w14:solidFill>
                </w14:textFill>
              </w:rPr>
              <w:t>。</w:t>
            </w:r>
          </w:p>
          <w:p w14:paraId="2214241C">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eastAsia"/>
                <w:b/>
                <w:bCs/>
                <w:color w:val="000000" w:themeColor="text1"/>
                <w:sz w:val="21"/>
                <w:szCs w:val="21"/>
                <w:highlight w:val="none"/>
                <w14:textFill>
                  <w14:solidFill>
                    <w14:schemeClr w14:val="tx1"/>
                  </w14:solidFill>
                </w14:textFill>
              </w:rPr>
            </w:pPr>
            <w:r>
              <w:rPr>
                <w:rFonts w:hint="eastAsia"/>
                <w:b/>
                <w:bCs/>
                <w:color w:val="000000" w:themeColor="text1"/>
                <w:sz w:val="21"/>
                <w:szCs w:val="21"/>
                <w:highlight w:val="none"/>
                <w14:textFill>
                  <w14:solidFill>
                    <w14:schemeClr w14:val="tx1"/>
                  </w14:solidFill>
                </w14:textFill>
              </w:rPr>
              <w:t>表2-</w:t>
            </w:r>
            <w:r>
              <w:rPr>
                <w:rFonts w:hint="eastAsia"/>
                <w:b/>
                <w:bCs/>
                <w:color w:val="000000" w:themeColor="text1"/>
                <w:sz w:val="21"/>
                <w:szCs w:val="21"/>
                <w:highlight w:val="none"/>
                <w:lang w:val="en-US" w:eastAsia="zh-CN"/>
                <w14:textFill>
                  <w14:solidFill>
                    <w14:schemeClr w14:val="tx1"/>
                  </w14:solidFill>
                </w14:textFill>
              </w:rPr>
              <w:t>3</w:t>
            </w:r>
            <w:r>
              <w:rPr>
                <w:rFonts w:hint="eastAsia"/>
                <w:b/>
                <w:bCs/>
                <w:color w:val="000000" w:themeColor="text1"/>
                <w:sz w:val="21"/>
                <w:szCs w:val="21"/>
                <w:highlight w:val="none"/>
                <w14:textFill>
                  <w14:solidFill>
                    <w14:schemeClr w14:val="tx1"/>
                  </w14:solidFill>
                </w14:textFill>
              </w:rPr>
              <w:t xml:space="preserve">    项目主要原辅材料消耗情况</w:t>
            </w:r>
          </w:p>
          <w:tbl>
            <w:tblPr>
              <w:tblStyle w:val="42"/>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1451"/>
              <w:gridCol w:w="1492"/>
              <w:gridCol w:w="1342"/>
              <w:gridCol w:w="1533"/>
              <w:gridCol w:w="1257"/>
              <w:gridCol w:w="1258"/>
            </w:tblGrid>
            <w:tr w14:paraId="4681878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87" w:type="pct"/>
                  <w:tcBorders>
                    <w:top w:val="single" w:color="000000" w:sz="12" w:space="0"/>
                    <w:tl2br w:val="nil"/>
                    <w:tr2bl w:val="nil"/>
                  </w:tcBorders>
                  <w:shd w:val="clear" w:color="auto" w:fill="FFFFFF"/>
                  <w:vAlign w:val="center"/>
                </w:tcPr>
                <w:p w14:paraId="7F15AC1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14:textFill>
                        <w14:solidFill>
                          <w14:schemeClr w14:val="tx1"/>
                        </w14:solidFill>
                      </w14:textFill>
                    </w:rPr>
                    <w:t>序号</w:t>
                  </w:r>
                </w:p>
              </w:tc>
              <w:tc>
                <w:tcPr>
                  <w:tcW w:w="786" w:type="pct"/>
                  <w:tcBorders>
                    <w:top w:val="single" w:color="000000" w:sz="12" w:space="0"/>
                    <w:tl2br w:val="nil"/>
                    <w:tr2bl w:val="nil"/>
                  </w:tcBorders>
                  <w:shd w:val="clear" w:color="auto" w:fill="FFFFFF"/>
                  <w:vAlign w:val="center"/>
                </w:tcPr>
                <w:p w14:paraId="7D77017B">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14:textFill>
                        <w14:solidFill>
                          <w14:schemeClr w14:val="tx1"/>
                        </w14:solidFill>
                      </w14:textFill>
                    </w:rPr>
                    <w:t>原辅材料名称</w:t>
                  </w:r>
                </w:p>
              </w:tc>
              <w:tc>
                <w:tcPr>
                  <w:tcW w:w="808" w:type="pct"/>
                  <w:tcBorders>
                    <w:top w:val="single" w:color="000000" w:sz="12" w:space="0"/>
                    <w:tl2br w:val="nil"/>
                    <w:tr2bl w:val="nil"/>
                  </w:tcBorders>
                  <w:shd w:val="clear" w:color="auto" w:fill="FFFFFF"/>
                  <w:vAlign w:val="center"/>
                </w:tcPr>
                <w:p w14:paraId="002F655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14:textFill>
                        <w14:solidFill>
                          <w14:schemeClr w14:val="tx1"/>
                        </w14:solidFill>
                      </w14:textFill>
                    </w:rPr>
                    <w:t>来源</w:t>
                  </w:r>
                </w:p>
              </w:tc>
              <w:tc>
                <w:tcPr>
                  <w:tcW w:w="727" w:type="pct"/>
                  <w:tcBorders>
                    <w:top w:val="single" w:color="000000" w:sz="12" w:space="0"/>
                    <w:tl2br w:val="nil"/>
                    <w:tr2bl w:val="nil"/>
                  </w:tcBorders>
                  <w:shd w:val="clear" w:color="auto" w:fill="FFFFFF"/>
                  <w:vAlign w:val="center"/>
                </w:tcPr>
                <w:p w14:paraId="38D2A47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一期建设项目消耗量</w:t>
                  </w:r>
                </w:p>
              </w:tc>
              <w:tc>
                <w:tcPr>
                  <w:tcW w:w="830" w:type="pct"/>
                  <w:tcBorders>
                    <w:top w:val="single" w:color="000000" w:sz="12" w:space="0"/>
                    <w:tl2br w:val="nil"/>
                    <w:tr2bl w:val="nil"/>
                  </w:tcBorders>
                  <w:shd w:val="clear" w:color="auto" w:fill="FFFFFF"/>
                  <w:vAlign w:val="center"/>
                </w:tcPr>
                <w:p w14:paraId="5746810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二期建设项目（本项目）消耗量</w:t>
                  </w:r>
                </w:p>
              </w:tc>
              <w:tc>
                <w:tcPr>
                  <w:tcW w:w="681" w:type="pct"/>
                  <w:tcBorders>
                    <w:top w:val="single" w:color="000000" w:sz="12" w:space="0"/>
                    <w:right w:val="nil"/>
                    <w:tl2br w:val="nil"/>
                    <w:tr2bl w:val="nil"/>
                  </w:tcBorders>
                  <w:shd w:val="clear" w:color="auto" w:fill="FFFFFF"/>
                  <w:vAlign w:val="center"/>
                </w:tcPr>
                <w:p w14:paraId="46D8EA1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变化情况</w:t>
                  </w:r>
                </w:p>
              </w:tc>
              <w:tc>
                <w:tcPr>
                  <w:tcW w:w="678" w:type="pct"/>
                  <w:tcBorders>
                    <w:top w:val="single" w:color="000000" w:sz="12" w:space="0"/>
                    <w:right w:val="nil"/>
                    <w:tl2br w:val="nil"/>
                    <w:tr2bl w:val="nil"/>
                  </w:tcBorders>
                  <w:shd w:val="clear" w:color="auto" w:fill="FFFFFF"/>
                  <w:vAlign w:val="center"/>
                </w:tcPr>
                <w:p w14:paraId="543D58D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扩建后全场消耗量</w:t>
                  </w:r>
                </w:p>
              </w:tc>
            </w:tr>
            <w:tr w14:paraId="02DEFA7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7" w:type="pct"/>
                  <w:tcBorders>
                    <w:tl2br w:val="nil"/>
                    <w:tr2bl w:val="nil"/>
                  </w:tcBorders>
                  <w:shd w:val="clear" w:color="auto" w:fill="FFFFFF"/>
                  <w:vAlign w:val="center"/>
                </w:tcPr>
                <w:p w14:paraId="5D3B95A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ascii="Times New Roman" w:hAnsi="Times New Roman" w:eastAsia="宋体"/>
                      <w:b w:val="0"/>
                      <w:color w:val="000000" w:themeColor="text1"/>
                      <w:sz w:val="21"/>
                      <w:szCs w:val="21"/>
                      <w:highlight w:val="green"/>
                      <w14:textFill>
                        <w14:solidFill>
                          <w14:schemeClr w14:val="tx1"/>
                        </w14:solidFill>
                      </w14:textFill>
                    </w:rPr>
                  </w:pPr>
                  <w:r>
                    <w:rPr>
                      <w:rFonts w:hint="eastAsia" w:ascii="Times New Roman" w:hAnsi="Times New Roman" w:eastAsia="宋体"/>
                      <w:b w:val="0"/>
                      <w:color w:val="000000" w:themeColor="text1"/>
                      <w:sz w:val="21"/>
                      <w:szCs w:val="21"/>
                      <w:highlight w:val="none"/>
                      <w14:textFill>
                        <w14:solidFill>
                          <w14:schemeClr w14:val="tx1"/>
                        </w14:solidFill>
                      </w14:textFill>
                    </w:rPr>
                    <w:t>1</w:t>
                  </w:r>
                </w:p>
              </w:tc>
              <w:tc>
                <w:tcPr>
                  <w:tcW w:w="786" w:type="pct"/>
                  <w:tcBorders>
                    <w:tl2br w:val="nil"/>
                    <w:tr2bl w:val="nil"/>
                  </w:tcBorders>
                  <w:shd w:val="clear" w:color="auto" w:fill="FFFFFF"/>
                  <w:vAlign w:val="center"/>
                </w:tcPr>
                <w:p w14:paraId="51E9146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ascii="Times New Roman" w:hAnsi="Times New Roman" w:eastAsia="宋体"/>
                      <w:b w:val="0"/>
                      <w:color w:val="000000" w:themeColor="text1"/>
                      <w:sz w:val="21"/>
                      <w:szCs w:val="21"/>
                      <w:highlight w:val="yellow"/>
                      <w:lang w:val="en-US" w:eastAsia="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砂厂固废</w:t>
                  </w:r>
                </w:p>
              </w:tc>
              <w:tc>
                <w:tcPr>
                  <w:tcW w:w="808" w:type="pct"/>
                  <w:tcBorders>
                    <w:tl2br w:val="nil"/>
                    <w:tr2bl w:val="nil"/>
                  </w:tcBorders>
                  <w:shd w:val="clear" w:color="auto" w:fill="FFFFFF"/>
                  <w:vAlign w:val="center"/>
                </w:tcPr>
                <w:p w14:paraId="576798C4">
                  <w:pPr>
                    <w:pStyle w:val="2"/>
                    <w:ind w:firstLine="0" w:firstLineChars="0"/>
                    <w:rPr>
                      <w:rFonts w:hint="eastAsia" w:ascii="Times New Roman" w:hAnsi="Times New Roman" w:eastAsia="宋体"/>
                      <w:b w:val="0"/>
                      <w:color w:val="000000" w:themeColor="text1"/>
                      <w:sz w:val="21"/>
                      <w:szCs w:val="21"/>
                      <w:highlight w:val="green"/>
                      <w:lang w:eastAsia="zh-CN"/>
                      <w14:textFill>
                        <w14:solidFill>
                          <w14:schemeClr w14:val="tx1"/>
                        </w14:solidFill>
                      </w14:textFill>
                    </w:rPr>
                  </w:pPr>
                  <w:r>
                    <w:rPr>
                      <w:rFonts w:hint="eastAsia"/>
                      <w:b w:val="0"/>
                      <w:color w:val="000000" w:themeColor="text1"/>
                      <w:sz w:val="21"/>
                      <w:szCs w:val="21"/>
                      <w:highlight w:val="none"/>
                      <w14:textFill>
                        <w14:solidFill>
                          <w14:schemeClr w14:val="tx1"/>
                        </w14:solidFill>
                      </w14:textFill>
                    </w:rPr>
                    <w:t>外购</w:t>
                  </w:r>
                </w:p>
              </w:tc>
              <w:tc>
                <w:tcPr>
                  <w:tcW w:w="727" w:type="pct"/>
                  <w:tcBorders>
                    <w:tl2br w:val="nil"/>
                    <w:tr2bl w:val="nil"/>
                  </w:tcBorders>
                  <w:shd w:val="clear" w:color="auto" w:fill="FFFFFF"/>
                  <w:vAlign w:val="center"/>
                </w:tcPr>
                <w:p w14:paraId="2C74EB91">
                  <w:pPr>
                    <w:pStyle w:val="2"/>
                    <w:ind w:firstLine="0" w:firstLineChars="0"/>
                    <w:rPr>
                      <w:rFonts w:hint="default" w:ascii="Times New Roman" w:hAnsi="Times New Roman" w:eastAsia="宋体"/>
                      <w:b w:val="0"/>
                      <w:color w:val="000000" w:themeColor="text1"/>
                      <w:sz w:val="21"/>
                      <w:szCs w:val="21"/>
                      <w:highlight w:val="green"/>
                      <w:lang w:val="en-US" w:eastAsia="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8.09万吨/年</w:t>
                  </w:r>
                </w:p>
              </w:tc>
              <w:tc>
                <w:tcPr>
                  <w:tcW w:w="830" w:type="pct"/>
                  <w:tcBorders>
                    <w:tl2br w:val="nil"/>
                    <w:tr2bl w:val="nil"/>
                  </w:tcBorders>
                  <w:shd w:val="clear" w:color="auto" w:fill="FFFFFF"/>
                  <w:vAlign w:val="center"/>
                </w:tcPr>
                <w:p w14:paraId="46B18862">
                  <w:pPr>
                    <w:pStyle w:val="2"/>
                    <w:keepNext w:val="0"/>
                    <w:keepLines w:val="0"/>
                    <w:pageBreakBefore w:val="0"/>
                    <w:widowControl w:val="0"/>
                    <w:kinsoku/>
                    <w:wordWrap w:val="0"/>
                    <w:overflowPunct/>
                    <w:topLinePunct w:val="0"/>
                    <w:autoSpaceDE/>
                    <w:autoSpaceDN/>
                    <w:bidi w:val="0"/>
                    <w:adjustRightInd w:val="0"/>
                    <w:snapToGrid w:val="0"/>
                    <w:spacing w:before="0" w:beforeLines="0" w:after="0" w:afterLines="0" w:line="300" w:lineRule="exact"/>
                    <w:jc w:val="both"/>
                    <w:textAlignment w:val="auto"/>
                    <w:rPr>
                      <w:rFonts w:hint="default" w:ascii="Times New Roman" w:hAnsi="Times New Roman" w:eastAsia="宋体"/>
                      <w:b w:val="0"/>
                      <w:color w:val="000000" w:themeColor="text1"/>
                      <w:sz w:val="21"/>
                      <w:szCs w:val="21"/>
                      <w:highlight w:val="green"/>
                      <w:lang w:val="en-US" w:eastAsia="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101337.83吨/年</w:t>
                  </w:r>
                </w:p>
              </w:tc>
              <w:tc>
                <w:tcPr>
                  <w:tcW w:w="681" w:type="pct"/>
                  <w:tcBorders>
                    <w:right w:val="nil"/>
                    <w:tl2br w:val="nil"/>
                    <w:tr2bl w:val="nil"/>
                  </w:tcBorders>
                  <w:shd w:val="clear" w:color="auto" w:fill="FFFFFF"/>
                  <w:vAlign w:val="center"/>
                </w:tcPr>
                <w:p w14:paraId="71487FA2">
                  <w:pPr>
                    <w:pStyle w:val="2"/>
                    <w:keepNext w:val="0"/>
                    <w:keepLines w:val="0"/>
                    <w:pageBreakBefore w:val="0"/>
                    <w:widowControl w:val="0"/>
                    <w:kinsoku/>
                    <w:wordWrap w:val="0"/>
                    <w:overflowPunct/>
                    <w:topLinePunct w:val="0"/>
                    <w:autoSpaceDE/>
                    <w:autoSpaceDN/>
                    <w:bidi w:val="0"/>
                    <w:adjustRightInd w:val="0"/>
                    <w:snapToGrid w:val="0"/>
                    <w:spacing w:before="0" w:beforeLines="0" w:after="0" w:afterLines="0" w:line="300" w:lineRule="exact"/>
                    <w:jc w:val="both"/>
                    <w:textAlignment w:val="auto"/>
                    <w:rPr>
                      <w:rFonts w:hint="default"/>
                      <w:b w:val="0"/>
                      <w:color w:val="000000" w:themeColor="text1"/>
                      <w:sz w:val="21"/>
                      <w:szCs w:val="21"/>
                      <w:highlight w:val="none"/>
                      <w:lang w:val="en-US" w:eastAsia="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+81070.33吨/年</w:t>
                  </w:r>
                </w:p>
              </w:tc>
              <w:tc>
                <w:tcPr>
                  <w:tcW w:w="678" w:type="pct"/>
                  <w:tcBorders>
                    <w:right w:val="nil"/>
                    <w:tl2br w:val="nil"/>
                    <w:tr2bl w:val="nil"/>
                  </w:tcBorders>
                  <w:shd w:val="clear" w:color="auto" w:fill="FFFFFF"/>
                  <w:vAlign w:val="center"/>
                </w:tcPr>
                <w:p w14:paraId="0220BA9D">
                  <w:pPr>
                    <w:pStyle w:val="2"/>
                    <w:keepNext w:val="0"/>
                    <w:keepLines w:val="0"/>
                    <w:pageBreakBefore w:val="0"/>
                    <w:widowControl w:val="0"/>
                    <w:kinsoku/>
                    <w:wordWrap w:val="0"/>
                    <w:overflowPunct/>
                    <w:topLinePunct w:val="0"/>
                    <w:autoSpaceDE/>
                    <w:autoSpaceDN/>
                    <w:bidi w:val="0"/>
                    <w:adjustRightInd w:val="0"/>
                    <w:snapToGrid w:val="0"/>
                    <w:spacing w:before="0" w:beforeLines="0" w:after="0" w:afterLines="0" w:line="300" w:lineRule="exact"/>
                    <w:jc w:val="both"/>
                    <w:textAlignment w:val="auto"/>
                    <w:rPr>
                      <w:rFonts w:hint="default" w:ascii="Times New Roman" w:hAnsi="Times New Roman" w:eastAsia="宋体"/>
                      <w:b w:val="0"/>
                      <w:color w:val="000000" w:themeColor="text1"/>
                      <w:sz w:val="21"/>
                      <w:szCs w:val="21"/>
                      <w:highlight w:val="green"/>
                      <w:lang w:val="en-US" w:eastAsia="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161970.33吨/年</w:t>
                  </w:r>
                </w:p>
              </w:tc>
            </w:tr>
            <w:tr w14:paraId="5B7C7B2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7"/>
                  <w:tcBorders>
                    <w:bottom w:val="single" w:color="000000" w:sz="12" w:space="0"/>
                    <w:right w:val="nil"/>
                    <w:tl2br w:val="nil"/>
                    <w:tr2bl w:val="nil"/>
                  </w:tcBorders>
                  <w:shd w:val="clear" w:color="auto" w:fill="FFFFFF"/>
                  <w:vAlign w:val="center"/>
                </w:tcPr>
                <w:p w14:paraId="6A214759">
                  <w:pPr>
                    <w:pStyle w:val="2"/>
                    <w:keepNext w:val="0"/>
                    <w:keepLines w:val="0"/>
                    <w:pageBreakBefore w:val="0"/>
                    <w:widowControl w:val="0"/>
                    <w:kinsoku/>
                    <w:wordWrap w:val="0"/>
                    <w:overflowPunct/>
                    <w:topLinePunct w:val="0"/>
                    <w:autoSpaceDE/>
                    <w:autoSpaceDN/>
                    <w:bidi w:val="0"/>
                    <w:adjustRightInd w:val="0"/>
                    <w:snapToGrid w:val="0"/>
                    <w:spacing w:before="0" w:beforeLines="0" w:after="0" w:afterLines="0" w:line="300" w:lineRule="exact"/>
                    <w:jc w:val="both"/>
                    <w:textAlignment w:val="auto"/>
                    <w:rPr>
                      <w:rFonts w:hint="eastAsia"/>
                      <w:b w:val="0"/>
                      <w:color w:val="000000" w:themeColor="text1"/>
                      <w:sz w:val="21"/>
                      <w:szCs w:val="21"/>
                      <w:highlight w:val="none"/>
                      <w:lang w:val="en-US" w:eastAsia="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注：因二期项目原料中＞40mm块料（</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20267.5</w:t>
                  </w:r>
                  <w:r>
                    <w:rPr>
                      <w:rFonts w:hint="eastAsia" w:cs="Times New Roman"/>
                      <w:b w:val="0"/>
                      <w:color w:val="000000" w:themeColor="text1"/>
                      <w:sz w:val="21"/>
                      <w:szCs w:val="21"/>
                      <w:highlight w:val="none"/>
                      <w:lang w:val="en-US" w:eastAsia="zh-CN"/>
                      <w14:textFill>
                        <w14:solidFill>
                          <w14:schemeClr w14:val="tx1"/>
                        </w14:solidFill>
                      </w14:textFill>
                    </w:rPr>
                    <w:t>吨/年</w:t>
                  </w:r>
                  <w:r>
                    <w:rPr>
                      <w:rFonts w:hint="eastAsia"/>
                      <w:b w:val="0"/>
                      <w:color w:val="000000" w:themeColor="text1"/>
                      <w:sz w:val="21"/>
                      <w:szCs w:val="21"/>
                      <w:highlight w:val="none"/>
                      <w:lang w:val="en-US" w:eastAsia="zh-CN"/>
                      <w14:textFill>
                        <w14:solidFill>
                          <w14:schemeClr w14:val="tx1"/>
                        </w14:solidFill>
                      </w14:textFill>
                    </w:rPr>
                    <w:t>）运输至一期项目进行破碎等重新加工，一期原料较少外购</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20267.5</w:t>
                  </w:r>
                  <w:r>
                    <w:rPr>
                      <w:rFonts w:hint="eastAsia" w:cs="Times New Roman"/>
                      <w:b w:val="0"/>
                      <w:color w:val="000000" w:themeColor="text1"/>
                      <w:sz w:val="21"/>
                      <w:szCs w:val="21"/>
                      <w:highlight w:val="none"/>
                      <w:lang w:val="en-US" w:eastAsia="zh-CN"/>
                      <w14:textFill>
                        <w14:solidFill>
                          <w14:schemeClr w14:val="tx1"/>
                        </w14:solidFill>
                      </w14:textFill>
                    </w:rPr>
                    <w:t>吨/年。</w:t>
                  </w:r>
                </w:p>
              </w:tc>
            </w:tr>
          </w:tbl>
          <w:p w14:paraId="7542824D">
            <w:pPr>
              <w:keepNext w:val="0"/>
              <w:keepLines w:val="0"/>
              <w:pageBreakBefore w:val="0"/>
              <w:widowControl w:val="0"/>
              <w:kinsoku/>
              <w:wordWrap/>
              <w:overflowPunct/>
              <w:topLinePunct w:val="0"/>
              <w:autoSpaceDE w:val="0"/>
              <w:autoSpaceDN w:val="0"/>
              <w:bidi w:val="0"/>
              <w:adjustRightInd w:val="0"/>
              <w:snapToGrid w:val="0"/>
              <w:ind w:firstLine="482"/>
              <w:contextualSpacing/>
              <w:textAlignment w:val="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主要原辅材料的理化性质：</w:t>
            </w:r>
          </w:p>
          <w:p w14:paraId="726C29E8">
            <w:pPr>
              <w:keepNext w:val="0"/>
              <w:keepLines w:val="0"/>
              <w:pageBreakBefore w:val="0"/>
              <w:widowControl w:val="0"/>
              <w:kinsoku/>
              <w:wordWrap/>
              <w:overflowPunct/>
              <w:topLinePunct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本项目主要原料为砂厂固废</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整体呈中性砾砂混合料，化学性质稳定，不含重金属、有毒有害物质，有机质、易溶盐含量低，无腐蚀性。颗粒分级清晰：粒径＜5mm占比极少，5～15mm颗粒占</w:t>
            </w:r>
            <w:r>
              <w:rPr>
                <w:rFonts w:hint="eastAsia" w:cs="Times New Roman"/>
                <w:color w:val="000000" w:themeColor="text1"/>
                <w:sz w:val="24"/>
                <w:szCs w:val="24"/>
                <w:lang w:val="en-US" w:eastAsia="zh-CN"/>
                <w14:textFill>
                  <w14:solidFill>
                    <w14:schemeClr w14:val="tx1"/>
                  </w14:solidFill>
                </w14:textFill>
              </w:rPr>
              <w:t>40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%，15～40mm颗粒占</w:t>
            </w:r>
            <w:r>
              <w:rPr>
                <w:rFonts w:hint="eastAsia" w:cs="Times New Roman"/>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0%，＞40mm块石约</w:t>
            </w:r>
            <w:r>
              <w:rPr>
                <w:rFonts w:hint="eastAsia" w:cs="Times New Roman"/>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0%；原料质地坚硬，压碎值较低，堆积密度1.62t/m³，表观密度2.67t/m³。物料透水性优良，杂质少，组分稳定，无需复杂预处理，经简单筛分即可作为生产原料使用。</w:t>
            </w:r>
          </w:p>
          <w:p w14:paraId="67E716AC">
            <w:pPr>
              <w:keepNext w:val="0"/>
              <w:keepLines w:val="0"/>
              <w:pageBreakBefore w:val="0"/>
              <w:widowControl w:val="0"/>
              <w:kinsoku/>
              <w:wordWrap/>
              <w:overflowPunct/>
              <w:topLinePunct w:val="0"/>
              <w:autoSpaceDE/>
              <w:autoSpaceDN/>
              <w:bidi w:val="0"/>
              <w:adjustRightInd/>
              <w:snapToGrid/>
              <w:spacing w:before="157" w:beforeLines="50" w:line="360" w:lineRule="auto"/>
              <w:ind w:right="0" w:rightChars="0" w:firstLine="482" w:firstLineChars="200"/>
              <w:jc w:val="both"/>
              <w:textAlignment w:val="auto"/>
              <w:outlineLvl w:val="9"/>
              <w:rPr>
                <w:rFonts w:hint="default" w:ascii="Times New Roman" w:hAnsi="Times New Roman" w:cs="Times New Roman"/>
                <w:b/>
                <w:bCs/>
                <w:i w:val="0"/>
                <w:iCs w:val="0"/>
                <w:color w:val="000000" w:themeColor="text1"/>
                <w:sz w:val="24"/>
                <w:szCs w:val="24"/>
                <w:lang w:val="en-US" w:eastAsia="zh-CN"/>
                <w14:textFill>
                  <w14:solidFill>
                    <w14:schemeClr w14:val="tx1"/>
                  </w14:solidFill>
                </w14:textFill>
              </w:rPr>
            </w:pPr>
            <w:r>
              <w:rPr>
                <w:rFonts w:hint="eastAsia" w:cs="Times New Roman"/>
                <w:b/>
                <w:bCs/>
                <w:i w:val="0"/>
                <w:iCs w:val="0"/>
                <w:color w:val="000000" w:themeColor="text1"/>
                <w:sz w:val="24"/>
                <w:szCs w:val="24"/>
                <w:lang w:val="en-US" w:eastAsia="zh-CN"/>
                <w14:textFill>
                  <w14:solidFill>
                    <w14:schemeClr w14:val="tx1"/>
                  </w14:solidFill>
                </w14:textFill>
              </w:rPr>
              <w:t>4.</w:t>
            </w:r>
            <w:r>
              <w:rPr>
                <w:rFonts w:hint="eastAsia" w:ascii="Times New Roman" w:hAnsi="Times New Roman" w:cs="Times New Roman"/>
                <w:b/>
                <w:bCs/>
                <w:i w:val="0"/>
                <w:iCs w:val="0"/>
                <w:color w:val="000000" w:themeColor="text1"/>
                <w:sz w:val="24"/>
                <w:szCs w:val="24"/>
                <w:lang w:val="en-US" w:eastAsia="zh-CN"/>
                <w14:textFill>
                  <w14:solidFill>
                    <w14:schemeClr w14:val="tx1"/>
                  </w14:solidFill>
                </w14:textFill>
              </w:rPr>
              <w:t>主要产品</w:t>
            </w:r>
          </w:p>
          <w:p w14:paraId="3E70F028">
            <w:pPr>
              <w:pStyle w:val="19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本项目主要</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产品</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见表2-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 w:val="0"/>
                <w:color w:val="000000" w:themeColor="text1"/>
                <w:sz w:val="24"/>
                <w:szCs w:val="24"/>
                <w:highlight w:val="none"/>
                <w:lang w:val="en-US" w:eastAsia="zh-CN"/>
                <w14:textFill>
                  <w14:solidFill>
                    <w14:schemeClr w14:val="tx1"/>
                  </w14:solidFill>
                </w14:textFill>
              </w:rPr>
              <w:t>。</w:t>
            </w:r>
          </w:p>
          <w:p w14:paraId="14EB219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Autospacing="0" w:line="240" w:lineRule="auto"/>
              <w:ind w:left="0" w:right="0"/>
              <w:jc w:val="center"/>
              <w:textAlignment w:val="auto"/>
              <w:rPr>
                <w:rFonts w:hint="default" w:ascii="Times New Roman" w:hAnsi="Times New Roman" w:eastAsia="宋体" w:cs="Times New Roman"/>
                <w:b/>
                <w:bCs w:val="0"/>
                <w:color w:val="000000" w:themeColor="text1"/>
                <w:kern w:val="0"/>
                <w:sz w:val="21"/>
                <w:szCs w:val="21"/>
                <w:lang w:val="zh-CN" w:eastAsia="zh-CN" w:bidi="ar"/>
                <w14:textFill>
                  <w14:solidFill>
                    <w14:schemeClr w14:val="tx1"/>
                  </w14:solidFill>
                </w14:textFill>
              </w:rPr>
            </w:pPr>
            <w:r>
              <w:rPr>
                <w:rFonts w:hint="default" w:ascii="Times New Roman" w:hAnsi="Times New Roman" w:eastAsia="宋体" w:cs="Times New Roman"/>
                <w:b/>
                <w:bCs w:val="0"/>
                <w:color w:val="000000" w:themeColor="text1"/>
                <w:kern w:val="0"/>
                <w:sz w:val="21"/>
                <w:szCs w:val="21"/>
                <w:lang w:val="zh-CN" w:eastAsia="zh-CN" w:bidi="ar"/>
                <w14:textFill>
                  <w14:solidFill>
                    <w14:schemeClr w14:val="tx1"/>
                  </w14:solidFill>
                </w14:textFill>
              </w:rPr>
              <w:t>表</w:t>
            </w:r>
            <w:r>
              <w:rPr>
                <w:rFonts w:hint="default" w:ascii="Times New Roman" w:hAnsi="Times New Roman" w:eastAsia="宋体" w:cs="Times New Roman"/>
                <w:b/>
                <w:bCs w:val="0"/>
                <w:color w:val="000000" w:themeColor="text1"/>
                <w:kern w:val="0"/>
                <w:sz w:val="21"/>
                <w:szCs w:val="21"/>
                <w:lang w:val="en-US" w:eastAsia="zh-CN" w:bidi="ar"/>
                <w14:textFill>
                  <w14:solidFill>
                    <w14:schemeClr w14:val="tx1"/>
                  </w14:solidFill>
                </w14:textFill>
              </w:rPr>
              <w:t>2-</w:t>
            </w:r>
            <w:r>
              <w:rPr>
                <w:rFonts w:hint="eastAsia" w:ascii="Times New Roman" w:hAnsi="Times New Roman" w:eastAsia="宋体" w:cs="Times New Roman"/>
                <w:b/>
                <w:bCs w:val="0"/>
                <w:color w:val="000000" w:themeColor="text1"/>
                <w:kern w:val="0"/>
                <w:sz w:val="21"/>
                <w:szCs w:val="21"/>
                <w:lang w:val="en-US" w:eastAsia="zh-CN" w:bidi="ar"/>
                <w14:textFill>
                  <w14:solidFill>
                    <w14:schemeClr w14:val="tx1"/>
                  </w14:solidFill>
                </w14:textFill>
              </w:rPr>
              <w:t>4</w:t>
            </w:r>
            <w:r>
              <w:rPr>
                <w:rFonts w:hint="default" w:ascii="Times New Roman" w:hAnsi="Times New Roman" w:eastAsia="宋体" w:cs="Times New Roman"/>
                <w:b/>
                <w:bCs w:val="0"/>
                <w:color w:val="000000" w:themeColor="text1"/>
                <w:kern w:val="0"/>
                <w:sz w:val="21"/>
                <w:szCs w:val="21"/>
                <w:lang w:val="zh-CN" w:eastAsia="zh-CN" w:bidi="ar"/>
                <w14:textFill>
                  <w14:solidFill>
                    <w14:schemeClr w14:val="tx1"/>
                  </w14:solidFill>
                </w14:textFill>
              </w:rPr>
              <w:t>项目主要</w:t>
            </w:r>
            <w:r>
              <w:rPr>
                <w:rFonts w:hint="eastAsia" w:ascii="Times New Roman" w:hAnsi="Times New Roman" w:eastAsia="宋体" w:cs="Times New Roman"/>
                <w:b/>
                <w:bCs w:val="0"/>
                <w:color w:val="000000" w:themeColor="text1"/>
                <w:kern w:val="0"/>
                <w:sz w:val="21"/>
                <w:szCs w:val="21"/>
                <w:lang w:val="en-US" w:eastAsia="zh-CN" w:bidi="ar"/>
                <w14:textFill>
                  <w14:solidFill>
                    <w14:schemeClr w14:val="tx1"/>
                  </w14:solidFill>
                </w14:textFill>
              </w:rPr>
              <w:t>产品</w:t>
            </w:r>
            <w:r>
              <w:rPr>
                <w:rFonts w:hint="default" w:ascii="Times New Roman" w:hAnsi="Times New Roman" w:eastAsia="宋体" w:cs="Times New Roman"/>
                <w:b/>
                <w:bCs w:val="0"/>
                <w:color w:val="000000" w:themeColor="text1"/>
                <w:kern w:val="0"/>
                <w:sz w:val="21"/>
                <w:szCs w:val="21"/>
                <w:lang w:val="zh-CN" w:eastAsia="zh-CN" w:bidi="ar"/>
                <w14:textFill>
                  <w14:solidFill>
                    <w14:schemeClr w14:val="tx1"/>
                  </w14:solidFill>
                </w14:textFill>
              </w:rPr>
              <w:t>一览表</w:t>
            </w:r>
          </w:p>
          <w:tbl>
            <w:tblPr>
              <w:tblStyle w:val="4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920"/>
              <w:gridCol w:w="1192"/>
              <w:gridCol w:w="1963"/>
              <w:gridCol w:w="1253"/>
              <w:gridCol w:w="1253"/>
              <w:gridCol w:w="1645"/>
            </w:tblGrid>
            <w:tr w14:paraId="2560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1653" w:type="dxa"/>
                  <w:tcBorders>
                    <w:top w:val="single" w:color="000000" w:sz="12" w:space="0"/>
                    <w:left w:val="nil"/>
                    <w:tl2br w:val="nil"/>
                  </w:tcBorders>
                  <w:shd w:val="clear" w:color="auto" w:fill="FFFFFF"/>
                  <w:noWrap/>
                  <w:vAlign w:val="center"/>
                </w:tcPr>
                <w:p w14:paraId="0DB96B6B">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产品名称</w:t>
                  </w:r>
                </w:p>
              </w:tc>
              <w:tc>
                <w:tcPr>
                  <w:tcW w:w="1192" w:type="dxa"/>
                  <w:tcBorders>
                    <w:top w:val="single" w:color="000000" w:sz="12" w:space="0"/>
                  </w:tcBorders>
                  <w:shd w:val="clear" w:color="auto" w:fill="FFFFFF"/>
                  <w:noWrap/>
                  <w:vAlign w:val="center"/>
                </w:tcPr>
                <w:p w14:paraId="6F1002D0">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单位</w:t>
                  </w:r>
                </w:p>
              </w:tc>
              <w:tc>
                <w:tcPr>
                  <w:tcW w:w="1963" w:type="dxa"/>
                  <w:tcBorders>
                    <w:top w:val="single" w:color="000000" w:sz="12" w:space="0"/>
                  </w:tcBorders>
                  <w:shd w:val="clear" w:color="auto" w:fill="FFFFFF"/>
                  <w:noWrap/>
                  <w:vAlign w:val="center"/>
                </w:tcPr>
                <w:p w14:paraId="5CB7A46E">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现有产量</w:t>
                  </w:r>
                </w:p>
              </w:tc>
              <w:tc>
                <w:tcPr>
                  <w:tcW w:w="1253" w:type="dxa"/>
                  <w:tcBorders>
                    <w:top w:val="single" w:color="000000" w:sz="12" w:space="0"/>
                  </w:tcBorders>
                  <w:shd w:val="clear" w:color="auto" w:fill="FFFFFF"/>
                  <w:noWrap/>
                  <w:vAlign w:val="center"/>
                </w:tcPr>
                <w:p w14:paraId="2975749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本项目产量</w:t>
                  </w:r>
                </w:p>
              </w:tc>
              <w:tc>
                <w:tcPr>
                  <w:tcW w:w="1253" w:type="dxa"/>
                  <w:tcBorders>
                    <w:top w:val="single" w:color="000000" w:sz="12" w:space="0"/>
                  </w:tcBorders>
                  <w:shd w:val="clear" w:color="auto" w:fill="FFFFFF"/>
                  <w:noWrap/>
                  <w:vAlign w:val="center"/>
                </w:tcPr>
                <w:p w14:paraId="40787305">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扩建后总产量</w:t>
                  </w:r>
                </w:p>
              </w:tc>
              <w:tc>
                <w:tcPr>
                  <w:tcW w:w="1645" w:type="dxa"/>
                  <w:tcBorders>
                    <w:top w:val="single" w:color="000000" w:sz="12" w:space="0"/>
                    <w:right w:val="nil"/>
                  </w:tcBorders>
                  <w:shd w:val="clear" w:color="auto" w:fill="FFFFFF"/>
                  <w:noWrap/>
                  <w:vAlign w:val="center"/>
                </w:tcPr>
                <w:p w14:paraId="0AFE238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产能变化</w:t>
                  </w:r>
                </w:p>
              </w:tc>
            </w:tr>
            <w:tr w14:paraId="3953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1653" w:type="dxa"/>
                  <w:tcBorders>
                    <w:left w:val="nil"/>
                  </w:tcBorders>
                  <w:shd w:val="clear" w:color="auto" w:fill="FFFFFF"/>
                  <w:noWrap/>
                  <w:vAlign w:val="center"/>
                </w:tcPr>
                <w:p w14:paraId="5CB2E6C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碎石（15mm</w:t>
                  </w:r>
                  <w:r>
                    <w:rPr>
                      <w:rFonts w:hint="eastAsia"/>
                      <w:b w:val="0"/>
                      <w:bCs/>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40mm）</w:t>
                  </w:r>
                </w:p>
              </w:tc>
              <w:tc>
                <w:tcPr>
                  <w:tcW w:w="1192" w:type="dxa"/>
                  <w:shd w:val="clear" w:color="auto" w:fill="FFFFFF"/>
                  <w:noWrap/>
                  <w:vAlign w:val="center"/>
                </w:tcPr>
                <w:p w14:paraId="59F5317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万吨/a</w:t>
                  </w:r>
                </w:p>
              </w:tc>
              <w:tc>
                <w:tcPr>
                  <w:tcW w:w="1963" w:type="dxa"/>
                  <w:shd w:val="clear" w:color="auto" w:fill="FFFFFF"/>
                  <w:noWrap/>
                  <w:vAlign w:val="center"/>
                </w:tcPr>
                <w:p w14:paraId="51882AA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3</w:t>
                  </w:r>
                </w:p>
              </w:tc>
              <w:tc>
                <w:tcPr>
                  <w:tcW w:w="1253" w:type="dxa"/>
                  <w:shd w:val="clear" w:color="auto" w:fill="FFFFFF"/>
                  <w:noWrap/>
                  <w:vAlign w:val="center"/>
                </w:tcPr>
                <w:p w14:paraId="5532DC7A">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4</w:t>
                  </w:r>
                </w:p>
              </w:tc>
              <w:tc>
                <w:tcPr>
                  <w:tcW w:w="1253" w:type="dxa"/>
                  <w:shd w:val="clear" w:color="auto" w:fill="FFFFFF"/>
                  <w:noWrap/>
                  <w:vAlign w:val="center"/>
                </w:tcPr>
                <w:p w14:paraId="7DF99A1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7</w:t>
                  </w:r>
                </w:p>
              </w:tc>
              <w:tc>
                <w:tcPr>
                  <w:tcW w:w="1645" w:type="dxa"/>
                  <w:tcBorders>
                    <w:right w:val="nil"/>
                  </w:tcBorders>
                  <w:shd w:val="clear" w:color="auto" w:fill="FFFFFF"/>
                  <w:noWrap/>
                  <w:vAlign w:val="center"/>
                </w:tcPr>
                <w:p w14:paraId="02A325D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+4</w:t>
                  </w:r>
                </w:p>
              </w:tc>
            </w:tr>
            <w:tr w14:paraId="7C0F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1653" w:type="dxa"/>
                  <w:tcBorders>
                    <w:left w:val="nil"/>
                  </w:tcBorders>
                  <w:shd w:val="clear" w:color="auto" w:fill="FFFFFF"/>
                  <w:noWrap/>
                  <w:vAlign w:val="center"/>
                </w:tcPr>
                <w:p w14:paraId="16C18DF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砂子（5mm</w:t>
                  </w:r>
                  <w:r>
                    <w:rPr>
                      <w:rFonts w:hint="eastAsia"/>
                      <w:b w:val="0"/>
                      <w:bCs/>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15mm机制砂）</w:t>
                  </w:r>
                </w:p>
              </w:tc>
              <w:tc>
                <w:tcPr>
                  <w:tcW w:w="1192" w:type="dxa"/>
                  <w:shd w:val="clear" w:color="auto" w:fill="FFFFFF"/>
                  <w:noWrap/>
                  <w:vAlign w:val="center"/>
                </w:tcPr>
                <w:p w14:paraId="36EBDC9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万吨/a</w:t>
                  </w:r>
                </w:p>
              </w:tc>
              <w:tc>
                <w:tcPr>
                  <w:tcW w:w="1963" w:type="dxa"/>
                  <w:shd w:val="clear" w:color="auto" w:fill="FFFFFF"/>
                  <w:noWrap/>
                  <w:vAlign w:val="center"/>
                </w:tcPr>
                <w:p w14:paraId="67C2223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5</w:t>
                  </w:r>
                </w:p>
              </w:tc>
              <w:tc>
                <w:tcPr>
                  <w:tcW w:w="1253" w:type="dxa"/>
                  <w:shd w:val="clear" w:color="auto" w:fill="FFFFFF"/>
                  <w:noWrap/>
                  <w:vAlign w:val="center"/>
                </w:tcPr>
                <w:p w14:paraId="6C04846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4</w:t>
                  </w:r>
                </w:p>
              </w:tc>
              <w:tc>
                <w:tcPr>
                  <w:tcW w:w="1253" w:type="dxa"/>
                  <w:shd w:val="clear" w:color="auto" w:fill="FFFFFF"/>
                  <w:noWrap/>
                  <w:vAlign w:val="center"/>
                </w:tcPr>
                <w:p w14:paraId="2E93E84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9</w:t>
                  </w:r>
                </w:p>
              </w:tc>
              <w:tc>
                <w:tcPr>
                  <w:tcW w:w="1645" w:type="dxa"/>
                  <w:tcBorders>
                    <w:right w:val="nil"/>
                  </w:tcBorders>
                  <w:shd w:val="clear" w:color="auto" w:fill="FFFFFF"/>
                  <w:noWrap/>
                  <w:vAlign w:val="center"/>
                </w:tcPr>
                <w:p w14:paraId="65626B3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+4</w:t>
                  </w:r>
                </w:p>
              </w:tc>
            </w:tr>
            <w:tr w14:paraId="7CCC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1653" w:type="dxa"/>
                  <w:tcBorders>
                    <w:left w:val="nil"/>
                    <w:bottom w:val="single" w:color="000000" w:sz="12" w:space="0"/>
                  </w:tcBorders>
                  <w:shd w:val="clear" w:color="auto" w:fill="FFFFFF"/>
                  <w:noWrap/>
                  <w:vAlign w:val="center"/>
                </w:tcPr>
                <w:p w14:paraId="10AB40A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合计</w:t>
                  </w:r>
                </w:p>
              </w:tc>
              <w:tc>
                <w:tcPr>
                  <w:tcW w:w="1192" w:type="dxa"/>
                  <w:tcBorders>
                    <w:bottom w:val="single" w:color="000000" w:sz="12" w:space="0"/>
                  </w:tcBorders>
                  <w:shd w:val="clear" w:color="auto" w:fill="FFFFFF"/>
                  <w:noWrap/>
                  <w:vAlign w:val="center"/>
                </w:tcPr>
                <w:p w14:paraId="1AC55F0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万吨/a</w:t>
                  </w:r>
                </w:p>
              </w:tc>
              <w:tc>
                <w:tcPr>
                  <w:tcW w:w="1963" w:type="dxa"/>
                  <w:tcBorders>
                    <w:bottom w:val="single" w:color="000000" w:sz="12" w:space="0"/>
                  </w:tcBorders>
                  <w:shd w:val="clear" w:color="auto" w:fill="FFFFFF"/>
                  <w:noWrap/>
                  <w:vAlign w:val="center"/>
                </w:tcPr>
                <w:p w14:paraId="722B1A09">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8</w:t>
                  </w:r>
                </w:p>
              </w:tc>
              <w:tc>
                <w:tcPr>
                  <w:tcW w:w="1253" w:type="dxa"/>
                  <w:tcBorders>
                    <w:bottom w:val="single" w:color="000000" w:sz="12" w:space="0"/>
                  </w:tcBorders>
                  <w:shd w:val="clear" w:color="auto" w:fill="FFFFFF"/>
                  <w:noWrap/>
                  <w:vAlign w:val="center"/>
                </w:tcPr>
                <w:p w14:paraId="75B71A6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8</w:t>
                  </w:r>
                </w:p>
              </w:tc>
              <w:tc>
                <w:tcPr>
                  <w:tcW w:w="1253" w:type="dxa"/>
                  <w:tcBorders>
                    <w:bottom w:val="single" w:color="000000" w:sz="12" w:space="0"/>
                  </w:tcBorders>
                  <w:shd w:val="clear" w:color="auto" w:fill="FFFFFF"/>
                  <w:noWrap/>
                  <w:vAlign w:val="center"/>
                </w:tcPr>
                <w:p w14:paraId="3F39C7A5">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bCs/>
                      <w:color w:val="000000" w:themeColor="text1"/>
                      <w:sz w:val="21"/>
                      <w:szCs w:val="21"/>
                      <w:highlight w:val="none"/>
                      <w:lang w:val="en-US"/>
                      <w14:textFill>
                        <w14:solidFill>
                          <w14:schemeClr w14:val="tx1"/>
                        </w14:solidFill>
                      </w14:textFill>
                    </w:rPr>
                  </w:pPr>
                  <w:r>
                    <w:rPr>
                      <w:rFonts w:hint="eastAsia"/>
                      <w:b w:val="0"/>
                      <w:bCs/>
                      <w:color w:val="000000" w:themeColor="text1"/>
                      <w:sz w:val="21"/>
                      <w:szCs w:val="21"/>
                      <w:highlight w:val="none"/>
                      <w:lang w:val="en-US" w:eastAsia="zh-CN"/>
                      <w14:textFill>
                        <w14:solidFill>
                          <w14:schemeClr w14:val="tx1"/>
                        </w14:solidFill>
                      </w14:textFill>
                    </w:rPr>
                    <w:t>16</w:t>
                  </w:r>
                </w:p>
              </w:tc>
              <w:tc>
                <w:tcPr>
                  <w:tcW w:w="1645" w:type="dxa"/>
                  <w:tcBorders>
                    <w:bottom w:val="single" w:color="000000" w:sz="12" w:space="0"/>
                    <w:right w:val="nil"/>
                  </w:tcBorders>
                  <w:shd w:val="clear" w:color="auto" w:fill="FFFFFF"/>
                  <w:noWrap/>
                  <w:vAlign w:val="center"/>
                </w:tcPr>
                <w:p w14:paraId="20034BCF">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ascii="Times New Roman" w:hAnsi="Times New Roman" w:eastAsia="宋体"/>
                      <w:b w:val="0"/>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lang w:val="en-US" w:eastAsia="zh-CN"/>
                      <w14:textFill>
                        <w14:solidFill>
                          <w14:schemeClr w14:val="tx1"/>
                        </w14:solidFill>
                      </w14:textFill>
                    </w:rPr>
                    <w:t>+8</w:t>
                  </w:r>
                </w:p>
              </w:tc>
            </w:tr>
          </w:tbl>
          <w:p w14:paraId="24BD5F03">
            <w:pPr>
              <w:keepNext w:val="0"/>
              <w:keepLines w:val="0"/>
              <w:pageBreakBefore w:val="0"/>
              <w:widowControl w:val="0"/>
              <w:kinsoku/>
              <w:wordWrap/>
              <w:overflowPunct/>
              <w:topLinePunct w:val="0"/>
              <w:autoSpaceDE w:val="0"/>
              <w:autoSpaceDN w:val="0"/>
              <w:bidi w:val="0"/>
              <w:adjustRightInd w:val="0"/>
              <w:snapToGrid w:val="0"/>
              <w:ind w:firstLine="482"/>
              <w:contextualSpacing/>
              <w:textAlignment w:val="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w:t>
            </w:r>
            <w:r>
              <w:rPr>
                <w:rFonts w:hint="eastAsia"/>
                <w:b/>
                <w:bCs/>
                <w:color w:val="000000" w:themeColor="text1"/>
                <w:lang w:val="en-US" w:eastAsia="zh-CN"/>
                <w14:textFill>
                  <w14:solidFill>
                    <w14:schemeClr w14:val="tx1"/>
                  </w14:solidFill>
                </w14:textFill>
              </w:rPr>
              <w:t>物料平衡</w:t>
            </w:r>
            <w:r>
              <w:rPr>
                <w:rFonts w:hint="eastAsia"/>
                <w:b/>
                <w:bCs/>
                <w:color w:val="000000" w:themeColor="text1"/>
                <w14:textFill>
                  <w14:solidFill>
                    <w14:schemeClr w14:val="tx1"/>
                  </w14:solidFill>
                </w14:textFill>
              </w:rPr>
              <w:t>分析：</w:t>
            </w:r>
          </w:p>
          <w:p w14:paraId="2C137D61">
            <w:pPr>
              <w:pStyle w:val="198"/>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本项目物料平衡见</w:t>
            </w: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表2-</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p>
          <w:p w14:paraId="1927A40D">
            <w:pPr>
              <w:pStyle w:val="2"/>
              <w:keepNext w:val="0"/>
              <w:keepLines w:val="0"/>
              <w:pageBreakBefore w:val="0"/>
              <w:widowControl w:val="0"/>
              <w:kinsoku/>
              <w:wordWrap/>
              <w:overflowPunct/>
              <w:topLinePunct w:val="0"/>
              <w:bidi w:val="0"/>
              <w:adjustRightInd w:val="0"/>
              <w:snapToGrid w:val="0"/>
              <w:spacing w:before="0" w:beforeLines="0" w:after="0" w:afterLines="0" w:line="240" w:lineRule="auto"/>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表2</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w:t>
            </w:r>
            <w:r>
              <w:rPr>
                <w:rFonts w:hint="eastAsia" w:cs="Times New Roman"/>
                <w:b/>
                <w:bCs/>
                <w:color w:val="000000" w:themeColor="text1"/>
                <w:sz w:val="21"/>
                <w:szCs w:val="21"/>
                <w:highlight w:val="none"/>
                <w:lang w:val="en-US" w:eastAsia="zh-CN"/>
                <w14:textFill>
                  <w14:solidFill>
                    <w14:schemeClr w14:val="tx1"/>
                  </w14:solidFill>
                </w14:textFill>
              </w:rPr>
              <w:t>5</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     物料平衡</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一览表</w:t>
            </w:r>
          </w:p>
          <w:tbl>
            <w:tblPr>
              <w:tblStyle w:val="42"/>
              <w:tblW w:w="49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7"/>
              <w:gridCol w:w="2038"/>
              <w:gridCol w:w="1520"/>
              <w:gridCol w:w="2494"/>
              <w:gridCol w:w="2308"/>
            </w:tblGrid>
            <w:tr w14:paraId="5E83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2386" w:type="pct"/>
                  <w:gridSpan w:val="3"/>
                  <w:tcBorders>
                    <w:top w:val="single" w:color="000000" w:sz="12" w:space="0"/>
                    <w:left w:val="nil"/>
                    <w:tl2br w:val="nil"/>
                    <w:tr2bl w:val="nil"/>
                  </w:tcBorders>
                  <w:shd w:val="clear" w:color="auto" w:fill="FFFFFF"/>
                  <w:noWrap w:val="0"/>
                  <w:vAlign w:val="center"/>
                </w:tcPr>
                <w:p w14:paraId="7550DF62">
                  <w:pPr>
                    <w:pStyle w:val="242"/>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投</w:t>
                  </w:r>
                  <w:r>
                    <w:rPr>
                      <w:rFonts w:hint="default" w:ascii="Times New Roman" w:hAnsi="Times New Roman" w:cs="Times New Roman"/>
                      <w:b w:val="0"/>
                      <w:bCs/>
                      <w:color w:val="000000" w:themeColor="text1"/>
                      <w:sz w:val="21"/>
                      <w:szCs w:val="21"/>
                      <w:highlight w:val="none"/>
                      <w14:textFill>
                        <w14:solidFill>
                          <w14:schemeClr w14:val="tx1"/>
                        </w14:solidFill>
                      </w14:textFill>
                    </w:rPr>
                    <w:t xml:space="preserve">    入</w:t>
                  </w:r>
                </w:p>
              </w:tc>
              <w:tc>
                <w:tcPr>
                  <w:tcW w:w="2613" w:type="pct"/>
                  <w:gridSpan w:val="2"/>
                  <w:tcBorders>
                    <w:top w:val="single" w:color="000000" w:sz="12" w:space="0"/>
                    <w:right w:val="nil"/>
                    <w:tl2br w:val="nil"/>
                    <w:tr2bl w:val="nil"/>
                  </w:tcBorders>
                  <w:shd w:val="clear" w:color="auto" w:fill="FFFFFF"/>
                  <w:noWrap w:val="0"/>
                  <w:vAlign w:val="center"/>
                </w:tcPr>
                <w:p w14:paraId="29E8C359">
                  <w:pPr>
                    <w:pStyle w:val="242"/>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cs="Times New Roman"/>
                      <w:b w:val="0"/>
                      <w:bCs/>
                      <w:color w:val="000000" w:themeColor="text1"/>
                      <w:sz w:val="21"/>
                      <w:szCs w:val="21"/>
                      <w:highlight w:val="none"/>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产    出</w:t>
                  </w:r>
                </w:p>
              </w:tc>
            </w:tr>
            <w:tr w14:paraId="4AD1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50" w:type="pct"/>
                  <w:tcBorders>
                    <w:left w:val="nil"/>
                  </w:tcBorders>
                  <w:shd w:val="clear" w:color="auto" w:fill="FFFFFF"/>
                  <w:noWrap w:val="0"/>
                  <w:vAlign w:val="center"/>
                </w:tcPr>
                <w:p w14:paraId="1F5B36CB">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1109" w:type="pct"/>
                  <w:tcBorders>
                    <w:tl2br w:val="nil"/>
                    <w:tr2bl w:val="nil"/>
                  </w:tcBorders>
                  <w:shd w:val="clear" w:color="auto" w:fill="FFFFFF"/>
                  <w:noWrap w:val="0"/>
                  <w:vAlign w:val="center"/>
                </w:tcPr>
                <w:p w14:paraId="3BCB2998">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名   称</w:t>
                  </w:r>
                </w:p>
              </w:tc>
              <w:tc>
                <w:tcPr>
                  <w:tcW w:w="825" w:type="pct"/>
                  <w:tcBorders>
                    <w:tl2br w:val="nil"/>
                    <w:tr2bl w:val="nil"/>
                  </w:tcBorders>
                  <w:shd w:val="clear" w:color="auto" w:fill="FFFFFF"/>
                  <w:noWrap w:val="0"/>
                  <w:vAlign w:val="center"/>
                </w:tcPr>
                <w:p w14:paraId="75BF75CD">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用</w:t>
                  </w:r>
                  <w:r>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量</w:t>
                  </w:r>
                  <w:r>
                    <w:rPr>
                      <w:rFonts w:hint="eastAsia" w:cs="Times New Roman"/>
                      <w:b w:val="0"/>
                      <w:bCs/>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cs="Times New Roman"/>
                      <w:b w:val="0"/>
                      <w:bCs/>
                      <w:i w:val="0"/>
                      <w:iCs w:val="0"/>
                      <w:color w:val="000000" w:themeColor="text1"/>
                      <w:kern w:val="0"/>
                      <w:sz w:val="21"/>
                      <w:szCs w:val="21"/>
                      <w:highlight w:val="none"/>
                      <w:u w:val="none"/>
                      <w:lang w:val="en-US" w:eastAsia="zh-CN" w:bidi="ar"/>
                      <w14:textFill>
                        <w14:solidFill>
                          <w14:schemeClr w14:val="tx1"/>
                        </w14:solidFill>
                      </w14:textFill>
                    </w:rPr>
                    <w:t>）</w:t>
                  </w:r>
                </w:p>
              </w:tc>
              <w:tc>
                <w:tcPr>
                  <w:tcW w:w="1357" w:type="pct"/>
                  <w:tcBorders>
                    <w:tl2br w:val="nil"/>
                    <w:tr2bl w:val="nil"/>
                  </w:tcBorders>
                  <w:shd w:val="clear" w:color="auto" w:fill="FFFFFF"/>
                  <w:noWrap w:val="0"/>
                  <w:vAlign w:val="center"/>
                </w:tcPr>
                <w:p w14:paraId="2ADE1150">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名   称</w:t>
                  </w:r>
                </w:p>
              </w:tc>
              <w:tc>
                <w:tcPr>
                  <w:tcW w:w="1256" w:type="pct"/>
                  <w:tcBorders>
                    <w:right w:val="nil"/>
                    <w:tl2br w:val="nil"/>
                    <w:tr2bl w:val="nil"/>
                  </w:tcBorders>
                  <w:shd w:val="clear" w:color="auto" w:fill="FFFFFF"/>
                  <w:noWrap w:val="0"/>
                  <w:vAlign w:val="center"/>
                </w:tcPr>
                <w:p w14:paraId="70010CCD">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产</w:t>
                  </w:r>
                  <w:r>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量</w:t>
                  </w:r>
                  <w:r>
                    <w:rPr>
                      <w:rFonts w:hint="eastAsia" w:cs="Times New Roman"/>
                      <w:b w:val="0"/>
                      <w:bCs/>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b w:val="0"/>
                      <w:bCs/>
                      <w:i w:val="0"/>
                      <w:iCs w:val="0"/>
                      <w:color w:val="000000" w:themeColor="text1"/>
                      <w:kern w:val="0"/>
                      <w:sz w:val="21"/>
                      <w:szCs w:val="21"/>
                      <w:highlight w:val="none"/>
                      <w:u w:val="none"/>
                      <w:lang w:val="en-US" w:eastAsia="zh-CN" w:bidi="ar"/>
                      <w14:textFill>
                        <w14:solidFill>
                          <w14:schemeClr w14:val="tx1"/>
                        </w14:solidFill>
                      </w14:textFill>
                    </w:rPr>
                    <w:t>t/a</w:t>
                  </w:r>
                  <w:r>
                    <w:rPr>
                      <w:rFonts w:hint="eastAsia" w:cs="Times New Roman"/>
                      <w:b w:val="0"/>
                      <w:bCs/>
                      <w:i w:val="0"/>
                      <w:iCs w:val="0"/>
                      <w:color w:val="000000" w:themeColor="text1"/>
                      <w:kern w:val="0"/>
                      <w:sz w:val="21"/>
                      <w:szCs w:val="21"/>
                      <w:highlight w:val="none"/>
                      <w:u w:val="none"/>
                      <w:lang w:val="en-US" w:eastAsia="zh-CN" w:bidi="ar"/>
                      <w14:textFill>
                        <w14:solidFill>
                          <w14:schemeClr w14:val="tx1"/>
                        </w14:solidFill>
                      </w14:textFill>
                    </w:rPr>
                    <w:t>）</w:t>
                  </w:r>
                </w:p>
              </w:tc>
            </w:tr>
            <w:tr w14:paraId="2ACF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450" w:type="pct"/>
                  <w:vMerge w:val="restart"/>
                  <w:tcBorders>
                    <w:left w:val="nil"/>
                  </w:tcBorders>
                  <w:shd w:val="clear" w:color="auto" w:fill="FFFFFF"/>
                  <w:noWrap w:val="0"/>
                  <w:vAlign w:val="center"/>
                </w:tcPr>
                <w:p w14:paraId="4F5290E3">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t>1</w:t>
                  </w:r>
                </w:p>
              </w:tc>
              <w:tc>
                <w:tcPr>
                  <w:tcW w:w="1109" w:type="pct"/>
                  <w:vMerge w:val="restart"/>
                  <w:tcBorders>
                    <w:tl2br w:val="nil"/>
                    <w:tr2bl w:val="nil"/>
                  </w:tcBorders>
                  <w:shd w:val="clear" w:color="auto" w:fill="FFFFFF"/>
                  <w:noWrap w:val="0"/>
                  <w:vAlign w:val="center"/>
                </w:tcPr>
                <w:p w14:paraId="47154A8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砂厂固废</w:t>
                  </w:r>
                </w:p>
              </w:tc>
              <w:tc>
                <w:tcPr>
                  <w:tcW w:w="825" w:type="pct"/>
                  <w:vMerge w:val="restart"/>
                  <w:tcBorders>
                    <w:tl2br w:val="nil"/>
                    <w:tr2bl w:val="nil"/>
                  </w:tcBorders>
                  <w:shd w:val="clear" w:color="auto" w:fill="FFFFFF"/>
                  <w:noWrap w:val="0"/>
                  <w:vAlign w:val="center"/>
                </w:tcPr>
                <w:p w14:paraId="260C6B3C">
                  <w:pPr>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101337.83</w:t>
                  </w:r>
                </w:p>
              </w:tc>
              <w:tc>
                <w:tcPr>
                  <w:tcW w:w="1357" w:type="pct"/>
                  <w:tcBorders>
                    <w:tl2br w:val="nil"/>
                    <w:tr2bl w:val="nil"/>
                  </w:tcBorders>
                  <w:shd w:val="clear" w:color="auto" w:fill="FFFFFF"/>
                  <w:noWrap w:val="0"/>
                  <w:vAlign w:val="center"/>
                </w:tcPr>
                <w:p w14:paraId="44E0D09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石子（15</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40mm）</w:t>
                  </w:r>
                </w:p>
              </w:tc>
              <w:tc>
                <w:tcPr>
                  <w:tcW w:w="1256" w:type="pct"/>
                  <w:tcBorders>
                    <w:right w:val="nil"/>
                    <w:tl2br w:val="nil"/>
                    <w:tr2bl w:val="nil"/>
                  </w:tcBorders>
                  <w:shd w:val="clear" w:color="auto" w:fill="FFFFFF"/>
                  <w:noWrap w:val="0"/>
                  <w:vAlign w:val="center"/>
                </w:tcPr>
                <w:p w14:paraId="6078A2D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0000</w:t>
                  </w:r>
                </w:p>
              </w:tc>
            </w:tr>
            <w:tr w14:paraId="3172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450" w:type="pct"/>
                  <w:vMerge w:val="continue"/>
                  <w:tcBorders>
                    <w:left w:val="nil"/>
                  </w:tcBorders>
                  <w:shd w:val="clear" w:color="auto" w:fill="FFFFFF"/>
                  <w:noWrap w:val="0"/>
                  <w:vAlign w:val="center"/>
                </w:tcPr>
                <w:p w14:paraId="629AB269">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eastAsia"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p>
              </w:tc>
              <w:tc>
                <w:tcPr>
                  <w:tcW w:w="1109" w:type="pct"/>
                  <w:vMerge w:val="continue"/>
                  <w:tcBorders>
                    <w:tl2br w:val="nil"/>
                    <w:tr2bl w:val="nil"/>
                  </w:tcBorders>
                  <w:shd w:val="clear" w:color="auto" w:fill="FFFFFF"/>
                  <w:noWrap w:val="0"/>
                  <w:vAlign w:val="center"/>
                </w:tcPr>
                <w:p w14:paraId="135A235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25" w:type="pct"/>
                  <w:vMerge w:val="continue"/>
                  <w:tcBorders>
                    <w:tl2br w:val="nil"/>
                    <w:tr2bl w:val="nil"/>
                  </w:tcBorders>
                  <w:shd w:val="clear" w:color="auto" w:fill="FFFFFF"/>
                  <w:noWrap w:val="0"/>
                  <w:vAlign w:val="center"/>
                </w:tcPr>
                <w:p w14:paraId="20FD876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357" w:type="pct"/>
                  <w:tcBorders>
                    <w:tl2br w:val="nil"/>
                    <w:tr2bl w:val="nil"/>
                  </w:tcBorders>
                  <w:shd w:val="clear" w:color="auto" w:fill="FFFFFF"/>
                  <w:noWrap w:val="0"/>
                  <w:vAlign w:val="center"/>
                </w:tcPr>
                <w:p w14:paraId="694812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砂子（5</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15mm）</w:t>
                  </w:r>
                </w:p>
              </w:tc>
              <w:tc>
                <w:tcPr>
                  <w:tcW w:w="1256" w:type="pct"/>
                  <w:tcBorders>
                    <w:right w:val="nil"/>
                    <w:tl2br w:val="nil"/>
                    <w:tr2bl w:val="nil"/>
                  </w:tcBorders>
                  <w:shd w:val="clear" w:color="auto" w:fill="FFFFFF"/>
                  <w:noWrap w:val="0"/>
                  <w:vAlign w:val="center"/>
                </w:tcPr>
                <w:p w14:paraId="166B263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eastAsia" w:cs="Times New Roman"/>
                      <w:color w:val="000000" w:themeColor="text1"/>
                      <w:sz w:val="21"/>
                      <w:szCs w:val="21"/>
                      <w:highlight w:val="none"/>
                      <w:lang w:val="en-US" w:eastAsia="zh-CN"/>
                      <w14:textFill>
                        <w14:solidFill>
                          <w14:schemeClr w14:val="tx1"/>
                        </w14:solidFill>
                      </w14:textFill>
                    </w:rPr>
                    <w:t>0000</w:t>
                  </w:r>
                </w:p>
              </w:tc>
            </w:tr>
            <w:tr w14:paraId="50EC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450" w:type="pct"/>
                  <w:vMerge w:val="continue"/>
                  <w:tcBorders>
                    <w:left w:val="nil"/>
                  </w:tcBorders>
                  <w:shd w:val="clear" w:color="auto" w:fill="FFFFFF"/>
                  <w:noWrap w:val="0"/>
                  <w:vAlign w:val="center"/>
                </w:tcPr>
                <w:p w14:paraId="3FAC8B90">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p>
              </w:tc>
              <w:tc>
                <w:tcPr>
                  <w:tcW w:w="1109" w:type="pct"/>
                  <w:vMerge w:val="continue"/>
                  <w:tcBorders>
                    <w:tl2br w:val="nil"/>
                    <w:tr2bl w:val="nil"/>
                  </w:tcBorders>
                  <w:shd w:val="clear" w:color="auto" w:fill="FFFFFF"/>
                  <w:noWrap w:val="0"/>
                  <w:vAlign w:val="center"/>
                </w:tcPr>
                <w:p w14:paraId="2813DEF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25" w:type="pct"/>
                  <w:vMerge w:val="continue"/>
                  <w:tcBorders>
                    <w:tl2br w:val="nil"/>
                    <w:tr2bl w:val="nil"/>
                  </w:tcBorders>
                  <w:shd w:val="clear" w:color="auto" w:fill="FFFFFF"/>
                  <w:noWrap w:val="0"/>
                  <w:vAlign w:val="center"/>
                </w:tcPr>
                <w:p w14:paraId="037E713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357" w:type="pct"/>
                  <w:tcBorders>
                    <w:tl2br w:val="nil"/>
                    <w:tr2bl w:val="nil"/>
                  </w:tcBorders>
                  <w:shd w:val="clear" w:color="auto" w:fill="FFFFFF"/>
                  <w:noWrap w:val="0"/>
                  <w:vAlign w:val="center"/>
                </w:tcPr>
                <w:p w14:paraId="13FD9CB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废石（＞40mm）</w:t>
                  </w:r>
                </w:p>
              </w:tc>
              <w:tc>
                <w:tcPr>
                  <w:tcW w:w="1256" w:type="pct"/>
                  <w:tcBorders>
                    <w:right w:val="nil"/>
                    <w:tl2br w:val="nil"/>
                    <w:tr2bl w:val="nil"/>
                  </w:tcBorders>
                  <w:shd w:val="clear" w:color="auto" w:fill="FFFFFF"/>
                  <w:noWrap w:val="0"/>
                  <w:vAlign w:val="center"/>
                </w:tcPr>
                <w:p w14:paraId="1997B88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20267.5</w:t>
                  </w:r>
                </w:p>
              </w:tc>
            </w:tr>
            <w:tr w14:paraId="6BBD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450" w:type="pct"/>
                  <w:vMerge w:val="continue"/>
                  <w:tcBorders>
                    <w:left w:val="nil"/>
                  </w:tcBorders>
                  <w:shd w:val="clear" w:color="auto" w:fill="FFFFFF"/>
                  <w:noWrap w:val="0"/>
                  <w:vAlign w:val="center"/>
                </w:tcPr>
                <w:p w14:paraId="35395EC2">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eastAsia"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p>
              </w:tc>
              <w:tc>
                <w:tcPr>
                  <w:tcW w:w="1109" w:type="pct"/>
                  <w:vMerge w:val="continue"/>
                  <w:tcBorders>
                    <w:tl2br w:val="nil"/>
                    <w:tr2bl w:val="nil"/>
                  </w:tcBorders>
                  <w:shd w:val="clear" w:color="auto" w:fill="FFFFFF"/>
                  <w:noWrap w:val="0"/>
                  <w:vAlign w:val="center"/>
                </w:tcPr>
                <w:p w14:paraId="1ACBDF8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25" w:type="pct"/>
                  <w:vMerge w:val="continue"/>
                  <w:tcBorders>
                    <w:tl2br w:val="nil"/>
                    <w:tr2bl w:val="nil"/>
                  </w:tcBorders>
                  <w:shd w:val="clear" w:color="auto" w:fill="FFFFFF"/>
                  <w:noWrap w:val="0"/>
                  <w:vAlign w:val="center"/>
                </w:tcPr>
                <w:p w14:paraId="3ED1F18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357" w:type="pct"/>
                  <w:tcBorders>
                    <w:tl2br w:val="nil"/>
                    <w:tr2bl w:val="nil"/>
                  </w:tcBorders>
                  <w:shd w:val="clear" w:color="auto" w:fill="FFFFFF"/>
                  <w:noWrap w:val="0"/>
                  <w:vAlign w:val="center"/>
                </w:tcPr>
                <w:p w14:paraId="5A7EC63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泥饼</w:t>
                  </w:r>
                </w:p>
              </w:tc>
              <w:tc>
                <w:tcPr>
                  <w:tcW w:w="1256" w:type="pct"/>
                  <w:tcBorders>
                    <w:right w:val="nil"/>
                    <w:tl2br w:val="nil"/>
                    <w:tr2bl w:val="nil"/>
                  </w:tcBorders>
                  <w:shd w:val="clear" w:color="auto" w:fill="FFFFFF"/>
                  <w:noWrap w:val="0"/>
                  <w:vAlign w:val="center"/>
                </w:tcPr>
                <w:p w14:paraId="022ED9E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927.74</w:t>
                  </w:r>
                </w:p>
              </w:tc>
            </w:tr>
            <w:tr w14:paraId="700A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450" w:type="pct"/>
                  <w:vMerge w:val="continue"/>
                  <w:tcBorders>
                    <w:left w:val="nil"/>
                  </w:tcBorders>
                  <w:shd w:val="clear" w:color="auto" w:fill="FFFFFF"/>
                  <w:noWrap w:val="0"/>
                  <w:vAlign w:val="center"/>
                </w:tcPr>
                <w:p w14:paraId="4CF78091">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eastAsia"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p>
              </w:tc>
              <w:tc>
                <w:tcPr>
                  <w:tcW w:w="1109" w:type="pct"/>
                  <w:vMerge w:val="continue"/>
                  <w:tcBorders>
                    <w:tl2br w:val="nil"/>
                    <w:tr2bl w:val="nil"/>
                  </w:tcBorders>
                  <w:shd w:val="clear" w:color="auto" w:fill="FFFFFF"/>
                  <w:noWrap w:val="0"/>
                  <w:vAlign w:val="center"/>
                </w:tcPr>
                <w:p w14:paraId="32CEA2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825" w:type="pct"/>
                  <w:vMerge w:val="continue"/>
                  <w:tcBorders>
                    <w:tl2br w:val="nil"/>
                    <w:tr2bl w:val="nil"/>
                  </w:tcBorders>
                  <w:shd w:val="clear" w:color="auto" w:fill="FFFFFF"/>
                  <w:noWrap w:val="0"/>
                  <w:vAlign w:val="center"/>
                </w:tcPr>
                <w:p w14:paraId="41EB011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357" w:type="pct"/>
                  <w:tcBorders>
                    <w:tl2br w:val="nil"/>
                    <w:tr2bl w:val="nil"/>
                  </w:tcBorders>
                  <w:shd w:val="clear" w:color="auto" w:fill="FFFFFF"/>
                  <w:noWrap w:val="0"/>
                  <w:vAlign w:val="center"/>
                </w:tcPr>
                <w:p w14:paraId="40EBAF3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粉尘</w:t>
                  </w:r>
                </w:p>
              </w:tc>
              <w:tc>
                <w:tcPr>
                  <w:tcW w:w="1256" w:type="pct"/>
                  <w:tcBorders>
                    <w:right w:val="nil"/>
                    <w:tl2br w:val="nil"/>
                    <w:tr2bl w:val="nil"/>
                  </w:tcBorders>
                  <w:shd w:val="clear" w:color="auto" w:fill="FFFFFF"/>
                  <w:noWrap w:val="0"/>
                  <w:vAlign w:val="center"/>
                </w:tcPr>
                <w:p w14:paraId="21BBC34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142.59</w:t>
                  </w:r>
                </w:p>
              </w:tc>
            </w:tr>
            <w:tr w14:paraId="155F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450" w:type="pct"/>
                  <w:vMerge w:val="continue"/>
                  <w:tcBorders>
                    <w:left w:val="nil"/>
                    <w:bottom w:val="single" w:color="000000" w:sz="12" w:space="0"/>
                  </w:tcBorders>
                  <w:shd w:val="clear" w:color="auto" w:fill="FFFFFF"/>
                  <w:noWrap w:val="0"/>
                  <w:vAlign w:val="center"/>
                </w:tcPr>
                <w:p w14:paraId="56824B20">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p>
              </w:tc>
              <w:tc>
                <w:tcPr>
                  <w:tcW w:w="4549" w:type="pct"/>
                  <w:gridSpan w:val="4"/>
                  <w:tcBorders>
                    <w:bottom w:val="single" w:color="000000" w:sz="12" w:space="0"/>
                    <w:right w:val="nil"/>
                    <w:tl2br w:val="nil"/>
                    <w:tr2bl w:val="nil"/>
                  </w:tcBorders>
                  <w:shd w:val="clear" w:color="auto" w:fill="FFFFFF"/>
                  <w:noWrap w:val="0"/>
                  <w:vAlign w:val="center"/>
                </w:tcPr>
                <w:p w14:paraId="12602502">
                  <w:pPr>
                    <w:keepNext w:val="0"/>
                    <w:keepLines w:val="0"/>
                    <w:pageBreakBefore w:val="0"/>
                    <w:widowControl w:val="0"/>
                    <w:suppressLineNumbers w:val="0"/>
                    <w:kinsoku/>
                    <w:wordWrap/>
                    <w:overflowPunct/>
                    <w:topLinePunct w:val="0"/>
                    <w:autoSpaceDE/>
                    <w:autoSpaceDN/>
                    <w:bidi w:val="0"/>
                    <w:adjustRightInd w:val="0"/>
                    <w:snapToGrid w:val="0"/>
                    <w:spacing w:line="300" w:lineRule="exact"/>
                    <w:ind w:left="0" w:leftChars="0" w:firstLine="0" w:firstLineChars="0"/>
                    <w:jc w:val="both"/>
                    <w:textAlignment w:val="auto"/>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b w:val="0"/>
                      <w:i w:val="0"/>
                      <w:iCs w:val="0"/>
                      <w:color w:val="000000" w:themeColor="text1"/>
                      <w:kern w:val="0"/>
                      <w:sz w:val="21"/>
                      <w:szCs w:val="21"/>
                      <w:highlight w:val="none"/>
                      <w:u w:val="none"/>
                      <w:lang w:val="en-US" w:eastAsia="zh-CN" w:bidi="ar"/>
                      <w14:textFill>
                        <w14:solidFill>
                          <w14:schemeClr w14:val="tx1"/>
                        </w14:solidFill>
                      </w14:textFill>
                    </w:rPr>
                    <w:t>注：物料以干基量计，不包含水分</w:t>
                  </w:r>
                </w:p>
              </w:tc>
            </w:tr>
          </w:tbl>
          <w:p w14:paraId="58FF8FD3">
            <w:pPr>
              <w:keepNext w:val="0"/>
              <w:keepLines w:val="0"/>
              <w:pageBreakBefore w:val="0"/>
              <w:widowControl w:val="0"/>
              <w:kinsoku/>
              <w:wordWrap/>
              <w:overflowPunct/>
              <w:topLinePunct w:val="0"/>
              <w:bidi w:val="0"/>
              <w:adjustRightInd w:val="0"/>
              <w:snapToGrid w:val="0"/>
              <w:ind w:firstLine="482"/>
              <w:textAlignment w:val="auto"/>
              <w:rPr>
                <w:rFonts w:hint="default" w:ascii="Times New Roman" w:hAnsi="Times New Roman" w:cs="Times New Roman"/>
                <w:b/>
                <w:bCs/>
                <w:color w:val="000000" w:themeColor="text1"/>
                <w:spacing w:val="0"/>
                <w:sz w:val="24"/>
                <w14:textFill>
                  <w14:solidFill>
                    <w14:schemeClr w14:val="tx1"/>
                  </w14:solidFill>
                </w14:textFill>
              </w:rPr>
            </w:pPr>
            <w:r>
              <w:rPr>
                <w:rFonts w:hint="eastAsia" w:cs="Times New Roman"/>
                <w:b/>
                <w:bCs/>
                <w:color w:val="000000" w:themeColor="text1"/>
                <w:spacing w:val="0"/>
                <w:sz w:val="24"/>
                <w:lang w:val="en-US" w:eastAsia="zh-CN"/>
                <w14:textFill>
                  <w14:solidFill>
                    <w14:schemeClr w14:val="tx1"/>
                  </w14:solidFill>
                </w14:textFill>
              </w:rPr>
              <w:t>5.</w:t>
            </w:r>
            <w:r>
              <w:rPr>
                <w:rFonts w:hint="default" w:ascii="Times New Roman" w:hAnsi="Times New Roman" w:cs="Times New Roman"/>
                <w:b/>
                <w:bCs/>
                <w:color w:val="000000" w:themeColor="text1"/>
                <w:spacing w:val="0"/>
                <w:sz w:val="24"/>
                <w14:textFill>
                  <w14:solidFill>
                    <w14:schemeClr w14:val="tx1"/>
                  </w14:solidFill>
                </w14:textFill>
              </w:rPr>
              <w:t>工作制度及劳动定员</w:t>
            </w:r>
          </w:p>
          <w:p w14:paraId="5A534DAF">
            <w:pPr>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480" w:firstLineChars="200"/>
              <w:jc w:val="both"/>
              <w:textAlignment w:val="auto"/>
              <w:outlineLvl w:val="9"/>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w:t>
            </w:r>
            <w:r>
              <w:rPr>
                <w:rFonts w:hint="eastAsia" w:ascii="Times New Roman" w:hAnsi="Times New Roman" w:cs="Times New Roman"/>
                <w:color w:val="000000" w:themeColor="text1"/>
                <w:sz w:val="24"/>
                <w:szCs w:val="24"/>
                <w:lang w:val="en-US" w:eastAsia="zh-CN"/>
                <w14:textFill>
                  <w14:solidFill>
                    <w14:schemeClr w14:val="tx1"/>
                  </w14:solidFill>
                </w14:textFill>
              </w:rPr>
              <w:t>新增工作人员5人，年工作210天，每天工作16小时（两班制）</w:t>
            </w:r>
            <w:r>
              <w:rPr>
                <w:rFonts w:hint="default" w:ascii="Times New Roman" w:hAnsi="Times New Roman" w:cs="Times New Roman"/>
                <w:color w:val="000000" w:themeColor="text1"/>
                <w:sz w:val="24"/>
                <w:szCs w:val="24"/>
                <w14:textFill>
                  <w14:solidFill>
                    <w14:schemeClr w14:val="tx1"/>
                  </w14:solidFill>
                </w14:textFill>
              </w:rPr>
              <w:t>。</w:t>
            </w:r>
          </w:p>
          <w:p w14:paraId="5E75C15D">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right="0" w:rightChars="0" w:firstLine="482" w:firstLineChars="200"/>
              <w:jc w:val="left"/>
              <w:textAlignment w:val="auto"/>
              <w:outlineLvl w:val="9"/>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公用工程</w:t>
            </w:r>
          </w:p>
          <w:p w14:paraId="064307DD">
            <w:pPr>
              <w:keepNext w:val="0"/>
              <w:keepLines w:val="0"/>
              <w:pageBreakBefore w:val="0"/>
              <w:widowControl w:val="0"/>
              <w:kinsoku/>
              <w:wordWrap/>
              <w:overflowPunct/>
              <w:topLinePunct w:val="0"/>
              <w:bidi w:val="0"/>
              <w:adjustRightInd w:val="0"/>
              <w:snapToGrid w:val="0"/>
              <w:ind w:firstLine="480"/>
              <w:textAlignment w:val="auto"/>
              <w:rPr>
                <w:rFonts w:hint="eastAsia" w:ascii="Times New Roman" w:hAnsi="Times New Roman" w:eastAsia="宋体" w:cs="Times New Roman"/>
                <w:color w:val="000000" w:themeColor="text1"/>
                <w:spacing w:val="0"/>
                <w:sz w:val="24"/>
                <w:lang w:val="en-US" w:eastAsia="zh-CN"/>
                <w14:textFill>
                  <w14:solidFill>
                    <w14:schemeClr w14:val="tx1"/>
                  </w14:solidFill>
                </w14:textFill>
              </w:rPr>
            </w:pPr>
            <w:r>
              <w:rPr>
                <w:rFonts w:hint="default" w:ascii="Times New Roman" w:hAnsi="Times New Roman" w:cs="Times New Roman"/>
                <w:color w:val="000000" w:themeColor="text1"/>
                <w:spacing w:val="0"/>
                <w:sz w:val="24"/>
                <w14:textFill>
                  <w14:solidFill>
                    <w14:schemeClr w14:val="tx1"/>
                  </w14:solidFill>
                </w14:textFill>
              </w:rPr>
              <w:t>（1）</w:t>
            </w:r>
            <w:r>
              <w:rPr>
                <w:rFonts w:hint="eastAsia" w:cs="Times New Roman"/>
                <w:color w:val="000000" w:themeColor="text1"/>
                <w:spacing w:val="0"/>
                <w:sz w:val="24"/>
                <w:lang w:val="en-US" w:eastAsia="zh-CN"/>
                <w14:textFill>
                  <w14:solidFill>
                    <w14:schemeClr w14:val="tx1"/>
                  </w14:solidFill>
                </w14:textFill>
              </w:rPr>
              <w:t>供水</w:t>
            </w:r>
          </w:p>
          <w:p w14:paraId="292873D3">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eastAsia="zh-CN"/>
                <w14:textFill>
                  <w14:solidFill>
                    <w14:schemeClr w14:val="tx1"/>
                  </w14:solidFill>
                </w14:textFill>
              </w:rPr>
              <w:t>生产用水由水车拉运至项目区，水质为城市杂用水，</w:t>
            </w:r>
            <w:r>
              <w:rPr>
                <w:rFonts w:hint="eastAsia" w:cs="Times New Roman"/>
                <w:b w:val="0"/>
                <w:color w:val="000000" w:themeColor="text1"/>
                <w:lang w:val="en-US" w:eastAsia="zh-CN"/>
                <w14:textFill>
                  <w14:solidFill>
                    <w14:schemeClr w14:val="tx1"/>
                  </w14:solidFill>
                </w14:textFill>
              </w:rPr>
              <w:t>生活用水由</w:t>
            </w:r>
            <w:r>
              <w:rPr>
                <w:rFonts w:hint="eastAsia" w:cs="Times New Roman"/>
                <w:b w:val="0"/>
                <w:color w:val="000000" w:themeColor="text1"/>
                <w:lang w:eastAsia="zh-CN"/>
                <w14:textFill>
                  <w14:solidFill>
                    <w14:schemeClr w14:val="tx1"/>
                  </w14:solidFill>
                </w14:textFill>
              </w:rPr>
              <w:t>城镇管网供给。</w:t>
            </w:r>
          </w:p>
          <w:p w14:paraId="0BF68E20">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val="en-US" w:eastAsia="zh-CN"/>
                <w14:textFill>
                  <w14:solidFill>
                    <w14:schemeClr w14:val="tx1"/>
                  </w14:solidFill>
                </w14:textFill>
              </w:rPr>
            </w:pPr>
            <w:r>
              <w:rPr>
                <w:rFonts w:hint="default" w:ascii="Times New Roman" w:hAnsi="Times New Roman" w:eastAsia="微软雅黑" w:cs="Times New Roman"/>
                <w:b w:val="0"/>
                <w:color w:val="000000" w:themeColor="text1"/>
                <w:lang w:eastAsia="zh-CN"/>
                <w14:textFill>
                  <w14:solidFill>
                    <w14:schemeClr w14:val="tx1"/>
                  </w14:solidFill>
                </w14:textFill>
              </w:rPr>
              <w:t>①</w:t>
            </w:r>
            <w:r>
              <w:rPr>
                <w:rFonts w:hint="eastAsia" w:cs="Times New Roman"/>
                <w:b w:val="0"/>
                <w:color w:val="000000" w:themeColor="text1"/>
                <w:lang w:val="en-US" w:eastAsia="zh-CN"/>
                <w14:textFill>
                  <w14:solidFill>
                    <w14:schemeClr w14:val="tx1"/>
                  </w14:solidFill>
                </w14:textFill>
              </w:rPr>
              <w:t>生活用水</w:t>
            </w:r>
          </w:p>
          <w:p w14:paraId="4037DBB1">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000000" w:themeColor="text1"/>
                <w:sz w:val="24"/>
                <w:szCs w:val="24"/>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w:t>
            </w:r>
            <w:r>
              <w:rPr>
                <w:rFonts w:hint="eastAsia"/>
                <w:color w:val="000000" w:themeColor="text1"/>
                <w:highlight w:val="none"/>
                <w14:textFill>
                  <w14:solidFill>
                    <w14:schemeClr w14:val="tx1"/>
                  </w14:solidFill>
                </w14:textFill>
              </w:rPr>
              <w:t>项目</w:t>
            </w:r>
            <w:r>
              <w:rPr>
                <w:rFonts w:hint="eastAsia"/>
                <w:color w:val="000000" w:themeColor="text1"/>
                <w:highlight w:val="none"/>
                <w:lang w:val="en-US" w:eastAsia="zh-CN"/>
                <w14:textFill>
                  <w14:solidFill>
                    <w14:schemeClr w14:val="tx1"/>
                  </w14:solidFill>
                </w14:textFill>
              </w:rPr>
              <w:t>新增人员5</w:t>
            </w:r>
            <w:r>
              <w:rPr>
                <w:rFonts w:hint="eastAsia"/>
                <w:color w:val="000000" w:themeColor="text1"/>
                <w:highlight w:val="none"/>
                <w14:textFill>
                  <w14:solidFill>
                    <w14:schemeClr w14:val="tx1"/>
                  </w14:solidFill>
                </w14:textFill>
              </w:rPr>
              <w:t>人，根据</w:t>
            </w:r>
            <w:r>
              <w:rPr>
                <w:rFonts w:hint="default" w:ascii="Times New Roman" w:hAnsi="Times New Roman" w:cs="Times New Roman"/>
                <w:color w:val="000000" w:themeColor="text1"/>
                <w:highlight w:val="none"/>
                <w14:textFill>
                  <w14:solidFill>
                    <w14:schemeClr w14:val="tx1"/>
                  </w14:solidFill>
                </w14:textFill>
              </w:rPr>
              <w:t>《新疆维吾尔自治区生活用水定额》</w:t>
            </w:r>
            <w:r>
              <w:rPr>
                <w:rFonts w:hint="eastAsia"/>
                <w:color w:val="000000" w:themeColor="text1"/>
                <w:highlight w:val="none"/>
                <w14:textFill>
                  <w14:solidFill>
                    <w14:schemeClr w14:val="tx1"/>
                  </w14:solidFill>
                </w14:textFill>
              </w:rPr>
              <w:t>城镇居民住宅</w:t>
            </w:r>
            <w:r>
              <w:rPr>
                <w:rFonts w:hint="eastAsia"/>
                <w:color w:val="000000" w:themeColor="text1"/>
                <w:highlight w:val="none"/>
                <w:lang w:eastAsia="zh-CN"/>
                <w14:textFill>
                  <w14:solidFill>
                    <w14:schemeClr w14:val="tx1"/>
                  </w14:solidFill>
                </w14:textFill>
              </w:rPr>
              <w:t>中</w:t>
            </w:r>
            <w:r>
              <w:rPr>
                <w:rFonts w:hint="eastAsia"/>
                <w:color w:val="000000" w:themeColor="text1"/>
                <w:highlight w:val="none"/>
                <w14:textFill>
                  <w14:solidFill>
                    <w14:schemeClr w14:val="tx1"/>
                  </w14:solidFill>
                </w14:textFill>
              </w:rPr>
              <w:t>平房及简易楼房用水定额</w:t>
            </w:r>
            <w:r>
              <w:rPr>
                <w:rFonts w:hint="eastAsia"/>
                <w:color w:val="000000" w:themeColor="text1"/>
                <w:highlight w:val="none"/>
                <w:lang w:eastAsia="zh-CN"/>
                <w14:textFill>
                  <w14:solidFill>
                    <w14:schemeClr w14:val="tx1"/>
                  </w14:solidFill>
                </w14:textFill>
              </w:rPr>
              <w:t>为</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0L/人·日，项目生活用水量</w:t>
            </w:r>
            <w:r>
              <w:rPr>
                <w:rFonts w:hint="eastAsia"/>
                <w:color w:val="000000" w:themeColor="text1"/>
                <w:highlight w:val="none"/>
                <w:lang w:val="en-US" w:eastAsia="zh-CN"/>
                <w14:textFill>
                  <w14:solidFill>
                    <w14:schemeClr w14:val="tx1"/>
                  </w14:solidFill>
                </w14:textFill>
              </w:rPr>
              <w:t>52.5</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/a（</w:t>
            </w:r>
            <w:r>
              <w:rPr>
                <w:rFonts w:hint="eastAsia"/>
                <w:color w:val="000000" w:themeColor="text1"/>
                <w:highlight w:val="none"/>
                <w:lang w:val="en-US" w:eastAsia="zh-CN"/>
                <w14:textFill>
                  <w14:solidFill>
                    <w14:schemeClr w14:val="tx1"/>
                  </w14:solidFill>
                </w14:textFill>
              </w:rPr>
              <w:t>0.25</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/d）</w:t>
            </w:r>
            <w:r>
              <w:rPr>
                <w:rFonts w:hint="eastAsia"/>
                <w:color w:val="000000" w:themeColor="text1"/>
                <w:highlight w:val="none"/>
                <w:lang w:eastAsia="zh-CN"/>
                <w14:textFill>
                  <w14:solidFill>
                    <w14:schemeClr w14:val="tx1"/>
                  </w14:solidFill>
                </w14:textFill>
              </w:rPr>
              <w:t>。</w:t>
            </w:r>
          </w:p>
          <w:p w14:paraId="5DFAC2B3">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val="en-US" w:eastAsia="zh-CN"/>
                <w14:textFill>
                  <w14:solidFill>
                    <w14:schemeClr w14:val="tx1"/>
                  </w14:solidFill>
                </w14:textFill>
              </w:rPr>
            </w:pPr>
            <w:r>
              <w:rPr>
                <w:rFonts w:hint="eastAsia" w:cs="Times New Roman"/>
                <w:b w:val="0"/>
                <w:color w:val="000000" w:themeColor="text1"/>
                <w:lang w:eastAsia="zh-CN"/>
                <w14:textFill>
                  <w14:solidFill>
                    <w14:schemeClr w14:val="tx1"/>
                  </w14:solidFill>
                </w14:textFill>
              </w:rPr>
              <w:t>②</w:t>
            </w:r>
            <w:r>
              <w:rPr>
                <w:rFonts w:hint="eastAsia" w:cs="Times New Roman"/>
                <w:b w:val="0"/>
                <w:color w:val="000000" w:themeColor="text1"/>
                <w:lang w:val="en-US" w:eastAsia="zh-CN"/>
                <w14:textFill>
                  <w14:solidFill>
                    <w14:schemeClr w14:val="tx1"/>
                  </w14:solidFill>
                </w14:textFill>
              </w:rPr>
              <w:t>生产用水</w:t>
            </w:r>
          </w:p>
          <w:p w14:paraId="6EE7094C">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eastAsia="zh-CN"/>
                <w14:textFill>
                  <w14:solidFill>
                    <w14:schemeClr w14:val="tx1"/>
                  </w14:solidFill>
                </w14:textFill>
              </w:rPr>
              <w:t>1）生产加工场地防尘洒水</w:t>
            </w:r>
          </w:p>
          <w:p w14:paraId="446D3533">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参照砂石加工行业通用用水标准，按0.005m³/t加工物料核算，项目年处理砂厂固废101337.83t/a，年洒水量506.69m³/a，洒水直接作用于上料、筛分作业面，水分经物料吸附、自然蒸发完全损耗，无废水产生。</w:t>
            </w:r>
          </w:p>
          <w:p w14:paraId="577A7E67">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eastAsia="zh-CN"/>
                <w14:textFill>
                  <w14:solidFill>
                    <w14:schemeClr w14:val="tx1"/>
                  </w14:solidFill>
                </w14:textFill>
              </w:rPr>
              <w:t>2）原料及成品堆场防尘洒水</w:t>
            </w:r>
          </w:p>
          <w:p w14:paraId="2AD616E4">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依据《工业料堆场扬尘整治规范》（DB65/T4061-2017），洒水定额0.003m³/（m²・次），堆场总面积17600m²，每日洒水1次、年运营210d，年洒水量11088m³/a；搭配防风抑尘网协同控尘，洒水无积水、无废水外排。</w:t>
            </w:r>
          </w:p>
          <w:p w14:paraId="28D1D29A">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eastAsia="zh-CN"/>
                <w14:textFill>
                  <w14:solidFill>
                    <w14:schemeClr w14:val="tx1"/>
                  </w14:solidFill>
                </w14:textFill>
              </w:rPr>
              <w:t>3）厂区道路防尘洒水</w:t>
            </w:r>
          </w:p>
          <w:p w14:paraId="4CA25D62">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硬化道路总面积1200m²，洒水定额0.002m³/（m²・次），每日洒水1次，年洒水量504m³/a，水分快速蒸发消纳，不产生道路冲洗废水。</w:t>
            </w:r>
          </w:p>
          <w:p w14:paraId="119F652E">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eastAsia="zh-CN"/>
                <w14:textFill>
                  <w14:solidFill>
                    <w14:schemeClr w14:val="tx1"/>
                  </w14:solidFill>
                </w14:textFill>
              </w:rPr>
              <w:t>抑尘洒水汇总</w:t>
            </w:r>
          </w:p>
          <w:p w14:paraId="7B4E5EA5">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场地、堆场、道路抑尘洒水合计11998.69m³/a，全部通过物料吸附、自然蒸发消耗，全程无废水产出、无外排。</w:t>
            </w:r>
          </w:p>
          <w:p w14:paraId="1611B1FB">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4</w:t>
            </w:r>
            <w:r>
              <w:rPr>
                <w:rFonts w:hint="eastAsia" w:cs="Times New Roman"/>
                <w:b w:val="0"/>
                <w:color w:val="000000" w:themeColor="text1"/>
                <w:lang w:eastAsia="zh-CN"/>
                <w14:textFill>
                  <w14:solidFill>
                    <w14:schemeClr w14:val="tx1"/>
                  </w14:solidFill>
                </w14:textFill>
              </w:rPr>
              <w:t>）车辆冲洗用水</w:t>
            </w:r>
          </w:p>
          <w:p w14:paraId="6B9FBF3A">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厂区配套密闭车辆冲洗平台，单车冲洗定额0.3m³/次，日均进出车辆18台、年生产210d，全年冲洗用水量1134m³；冲洗产生含泥废水汇入沉淀池澄清处理后100%厂内循环复用，仅少量水分蒸发损耗，无废水外排。</w:t>
            </w:r>
          </w:p>
          <w:p w14:paraId="780C09AD">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4</w:t>
            </w:r>
            <w:r>
              <w:rPr>
                <w:rFonts w:hint="eastAsia" w:cs="Times New Roman"/>
                <w:b w:val="0"/>
                <w:color w:val="000000" w:themeColor="text1"/>
                <w:lang w:eastAsia="zh-CN"/>
                <w14:textFill>
                  <w14:solidFill>
                    <w14:schemeClr w14:val="tx1"/>
                  </w14:solidFill>
                </w14:textFill>
              </w:rPr>
              <w:t>）洗砂水洗工序生产用水（参照砂石加工产排污系数同类项目用水指标）</w:t>
            </w:r>
          </w:p>
          <w:p w14:paraId="2F6FD32A">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洗砂工序定额取0.12m³/t水洗原料，项目年水洗加工砂石原料80000t/a（＞40mm大块石料不进入水洗工段），年洗砂用水量9600m³/a；洗砂产生高悬浮物泥浆废水进入多级沉淀池、沉降罐净化，上清液全部回用于滚筒筛分选、绞龙洗砂工序，循环利用率100%；沉淀底泥经压滤脱水形成泥饼，统一外售制砖综合利用，无洗砂废水外排。</w:t>
            </w:r>
          </w:p>
          <w:p w14:paraId="6E8D6CB7">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eastAsia="zh-CN"/>
                <w14:textFill>
                  <w14:solidFill>
                    <w14:schemeClr w14:val="tx1"/>
                  </w14:solidFill>
                </w14:textFill>
              </w:rPr>
              <w:t>水平衡整体总结</w:t>
            </w:r>
          </w:p>
          <w:p w14:paraId="3251315B">
            <w:pPr>
              <w:keepNext w:val="0"/>
              <w:keepLines w:val="0"/>
              <w:pageBreakBefore w:val="0"/>
              <w:widowControl w:val="0"/>
              <w:kinsoku/>
              <w:wordWrap/>
              <w:overflowPunct/>
              <w:topLinePunct w:val="0"/>
              <w:bidi w:val="0"/>
              <w:adjustRightInd w:val="0"/>
              <w:snapToGrid w:val="0"/>
              <w:ind w:firstLine="480"/>
              <w:textAlignment w:val="auto"/>
              <w:rPr>
                <w:rFonts w:hint="eastAsia" w:cs="Times New Roman"/>
                <w:b w:val="0"/>
                <w:color w:val="000000" w:themeColor="text1"/>
                <w:lang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项目生产用水由抑尘洒水、车辆冲洗、洗砂生产三部分构成，全年总用水量22832.69m³/a，日均用水量108.73m³；场地、堆场、道路抑尘洒水无废水产生；车辆冲洗废水、洗砂生产废水经沉淀净化后全部内部循环回用，整套生产用水系统实现闭路循环，项目无生产废水向外环境排放，不会对区域地表、地下水环境产生不利影响。</w:t>
            </w:r>
          </w:p>
          <w:p w14:paraId="6F490D7E">
            <w:pPr>
              <w:keepNext w:val="0"/>
              <w:keepLines w:val="0"/>
              <w:pageBreakBefore w:val="0"/>
              <w:widowControl/>
              <w:kinsoku/>
              <w:wordWrap/>
              <w:overflowPunct/>
              <w:topLinePunct w:val="0"/>
              <w:autoSpaceDE/>
              <w:autoSpaceDN/>
              <w:bidi w:val="0"/>
              <w:adjustRightInd/>
              <w:snapToGrid/>
              <w:spacing w:line="360" w:lineRule="auto"/>
              <w:ind w:firstLine="600" w:firstLineChars="250"/>
              <w:textAlignment w:val="auto"/>
              <w:rPr>
                <w:rFonts w:hint="default" w:ascii="Times New Roman" w:hAnsi="Times New Roman" w:cs="Times New Roman"/>
                <w:b w:val="0"/>
                <w:bCs w:val="0"/>
                <w:color w:val="000000" w:themeColor="text1"/>
                <w:kern w:val="0"/>
                <w:sz w:val="24"/>
                <w:szCs w:val="24"/>
                <w14:textFill>
                  <w14:solidFill>
                    <w14:schemeClr w14:val="tx1"/>
                  </w14:solidFill>
                </w14:textFill>
              </w:rPr>
            </w:pPr>
            <w:r>
              <w:rPr>
                <w:rFonts w:hint="default" w:ascii="Times New Roman" w:hAnsi="Times New Roman" w:cs="Times New Roman"/>
                <w:b w:val="0"/>
                <w:bCs w:val="0"/>
                <w:color w:val="000000" w:themeColor="text1"/>
                <w:kern w:val="0"/>
                <w:sz w:val="24"/>
                <w:szCs w:val="24"/>
                <w:lang w:val="en-US" w:eastAsia="zh-CN"/>
                <w14:textFill>
                  <w14:solidFill>
                    <w14:schemeClr w14:val="tx1"/>
                  </w14:solidFill>
                </w14:textFill>
              </w:rPr>
              <w:t>（2</w:t>
            </w:r>
            <w:r>
              <w:rPr>
                <w:rFonts w:hint="eastAsia" w:ascii="Times New Roman" w:hAnsi="Times New Roman" w:cs="Times New Roman"/>
                <w:b w:val="0"/>
                <w:bCs w:val="0"/>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b w:val="0"/>
                <w:bCs w:val="0"/>
                <w:color w:val="000000" w:themeColor="text1"/>
                <w:kern w:val="0"/>
                <w:sz w:val="24"/>
                <w:szCs w:val="24"/>
                <w14:textFill>
                  <w14:solidFill>
                    <w14:schemeClr w14:val="tx1"/>
                  </w14:solidFill>
                </w14:textFill>
              </w:rPr>
              <w:t>排水</w:t>
            </w:r>
          </w:p>
          <w:p w14:paraId="49EEEDE1">
            <w:pPr>
              <w:keepNext w:val="0"/>
              <w:keepLines w:val="0"/>
              <w:pageBreakBefore w:val="0"/>
              <w:widowControl w:val="0"/>
              <w:kinsoku/>
              <w:wordWrap/>
              <w:overflowPunct/>
              <w:topLinePunct w:val="0"/>
              <w:bidi w:val="0"/>
              <w:adjustRightInd w:val="0"/>
              <w:snapToGrid w:val="0"/>
              <w:ind w:firstLine="480"/>
              <w:textAlignment w:val="auto"/>
              <w:rPr>
                <w:rFonts w:hint="default" w:cs="Times New Roman"/>
                <w:b w:val="0"/>
                <w:color w:val="000000" w:themeColor="text1"/>
                <w:lang w:val="en-US" w:eastAsia="zh-CN"/>
                <w14:textFill>
                  <w14:solidFill>
                    <w14:schemeClr w14:val="tx1"/>
                  </w14:solidFill>
                </w14:textFill>
              </w:rPr>
            </w:pPr>
            <w:r>
              <w:rPr>
                <w:rFonts w:hint="eastAsia" w:cs="Times New Roman"/>
                <w:color w:val="000000" w:themeColor="text1"/>
                <w:spacing w:val="0"/>
                <w:sz w:val="24"/>
                <w:highlight w:val="none"/>
                <w:lang w:val="en-US" w:eastAsia="zh-CN"/>
                <w14:textFill>
                  <w14:solidFill>
                    <w14:schemeClr w14:val="tx1"/>
                  </w14:solidFill>
                </w14:textFill>
              </w:rPr>
              <w:t>生活污水排水：</w:t>
            </w:r>
            <w:r>
              <w:rPr>
                <w:rFonts w:hint="eastAsia"/>
                <w:color w:val="000000" w:themeColor="text1"/>
                <w:highlight w:val="none"/>
                <w14:textFill>
                  <w14:solidFill>
                    <w14:schemeClr w14:val="tx1"/>
                  </w14:solidFill>
                </w14:textFill>
              </w:rPr>
              <w:t>生活污水的排放量按用水量80%计算，排水总量为</w:t>
            </w:r>
            <w:r>
              <w:rPr>
                <w:rFonts w:hint="eastAsia"/>
                <w:color w:val="000000" w:themeColor="text1"/>
                <w:highlight w:val="none"/>
                <w:lang w:val="en-US" w:eastAsia="zh-CN"/>
                <w14:textFill>
                  <w14:solidFill>
                    <w14:schemeClr w14:val="tx1"/>
                  </w14:solidFill>
                </w14:textFill>
              </w:rPr>
              <w:t>42</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/a（</w:t>
            </w:r>
            <w:r>
              <w:rPr>
                <w:rFonts w:hint="eastAsia"/>
                <w:color w:val="000000" w:themeColor="text1"/>
                <w:highlight w:val="none"/>
                <w:lang w:val="en-US" w:eastAsia="zh-CN"/>
                <w14:textFill>
                  <w14:solidFill>
                    <w14:schemeClr w14:val="tx1"/>
                  </w14:solidFill>
                </w14:textFill>
              </w:rPr>
              <w:t>0.2</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/d）。生活污水</w:t>
            </w:r>
            <w:r>
              <w:rPr>
                <w:rFonts w:hint="eastAsia"/>
                <w:color w:val="000000" w:themeColor="text1"/>
                <w:highlight w:val="none"/>
                <w:lang w:eastAsia="zh-CN"/>
                <w14:textFill>
                  <w14:solidFill>
                    <w14:schemeClr w14:val="tx1"/>
                  </w14:solidFill>
                </w14:textFill>
              </w:rPr>
              <w:t>排入化粪池，</w:t>
            </w:r>
            <w:r>
              <w:rPr>
                <w:rFonts w:hint="eastAsia"/>
                <w:color w:val="000000" w:themeColor="text1"/>
                <w:highlight w:val="none"/>
                <w14:textFill>
                  <w14:solidFill>
                    <w14:schemeClr w14:val="tx1"/>
                  </w14:solidFill>
                </w14:textFill>
              </w:rPr>
              <w:t>最终</w:t>
            </w:r>
            <w:r>
              <w:rPr>
                <w:rFonts w:hint="eastAsia"/>
                <w:color w:val="000000" w:themeColor="text1"/>
                <w:highlight w:val="none"/>
                <w:lang w:eastAsia="zh-CN"/>
                <w14:textFill>
                  <w14:solidFill>
                    <w14:schemeClr w14:val="tx1"/>
                  </w14:solidFill>
                </w14:textFill>
              </w:rPr>
              <w:t>由吸污车运</w:t>
            </w:r>
            <w:r>
              <w:rPr>
                <w:rFonts w:hint="eastAsia" w:ascii="Times New Roman" w:hAnsi="Times New Roman" w:eastAsia="宋体" w:cs="Times New Roman"/>
                <w:color w:val="000000" w:themeColor="text1"/>
                <w:highlight w:val="none"/>
                <w:lang w:eastAsia="zh-CN"/>
                <w14:textFill>
                  <w14:solidFill>
                    <w14:schemeClr w14:val="tx1"/>
                  </w14:solidFill>
                </w14:textFill>
              </w:rPr>
              <w:t>往</w:t>
            </w:r>
            <w:r>
              <w:rPr>
                <w:rFonts w:hint="default" w:ascii="Times New Roman" w:hAnsi="Times New Roman" w:eastAsia="宋体" w:cs="Times New Roman"/>
                <w:color w:val="000000" w:themeColor="text1"/>
                <w:highlight w:val="none"/>
                <w:lang w:val="en-US" w:eastAsia="zh-CN"/>
                <w14:textFill>
                  <w14:solidFill>
                    <w14:schemeClr w14:val="tx1"/>
                  </w14:solidFill>
                </w14:textFill>
              </w:rPr>
              <w:t>昌吉市第二污水处理厂</w:t>
            </w:r>
            <w:r>
              <w:rPr>
                <w:rFonts w:hint="eastAsia" w:ascii="Times New Roman" w:hAnsi="Times New Roman" w:eastAsia="宋体" w:cs="Times New Roman"/>
                <w:color w:val="000000" w:themeColor="text1"/>
                <w:highlight w:val="none"/>
                <w14:textFill>
                  <w14:solidFill>
                    <w14:schemeClr w14:val="tx1"/>
                  </w14:solidFill>
                </w14:textFill>
              </w:rPr>
              <w:t>。</w:t>
            </w:r>
          </w:p>
          <w:p w14:paraId="1F3FBD4F">
            <w:pPr>
              <w:keepNext w:val="0"/>
              <w:keepLines w:val="0"/>
              <w:pageBreakBefore w:val="0"/>
              <w:widowControl w:val="0"/>
              <w:kinsoku/>
              <w:wordWrap/>
              <w:overflowPunct/>
              <w:topLinePunct w:val="0"/>
              <w:bidi w:val="0"/>
              <w:adjustRightInd w:val="0"/>
              <w:snapToGrid w:val="0"/>
              <w:ind w:firstLine="480"/>
              <w:textAlignment w:val="auto"/>
              <w:rPr>
                <w:rFonts w:hint="default" w:ascii="Times New Roman" w:hAnsi="Times New Roman" w:cs="Times New Roman"/>
                <w:color w:val="000000" w:themeColor="text1"/>
                <w:spacing w:val="0"/>
                <w:sz w:val="24"/>
                <w:highlight w:val="none"/>
                <w14:textFill>
                  <w14:solidFill>
                    <w14:schemeClr w14:val="tx1"/>
                  </w14:solidFill>
                </w14:textFill>
              </w:rPr>
            </w:pPr>
            <w:r>
              <w:rPr>
                <w:rFonts w:hint="default" w:ascii="Times New Roman" w:hAnsi="Times New Roman" w:cs="Times New Roman"/>
                <w:color w:val="000000" w:themeColor="text1"/>
                <w:spacing w:val="0"/>
                <w:sz w:val="24"/>
                <w:highlight w:val="none"/>
                <w14:textFill>
                  <w14:solidFill>
                    <w14:schemeClr w14:val="tx1"/>
                  </w14:solidFill>
                </w14:textFill>
              </w:rPr>
              <w:t>项目水平衡图见图2-1。</w:t>
            </w:r>
          </w:p>
          <w:p w14:paraId="6B4E4096">
            <w:pPr>
              <w:keepNext w:val="0"/>
              <w:keepLines w:val="0"/>
              <w:pageBreakBefore w:val="0"/>
              <w:widowControl w:val="0"/>
              <w:kinsoku/>
              <w:wordWrap/>
              <w:overflowPunct/>
              <w:topLinePunct w:val="0"/>
              <w:bidi w:val="0"/>
              <w:adjustRightInd w:val="0"/>
              <w:snapToGrid w:val="0"/>
              <w:spacing w:line="240" w:lineRule="auto"/>
              <w:ind w:firstLine="0" w:firstLineChars="0"/>
              <w:jc w:val="both"/>
              <w:textAlignment w:val="auto"/>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671820" cy="5551805"/>
                  <wp:effectExtent l="0" t="0" r="5080" b="1270"/>
                  <wp:docPr id="2" name="图片 2" descr="水平衡图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水平衡图22"/>
                          <pic:cNvPicPr>
                            <a:picLocks noChangeAspect="1"/>
                          </pic:cNvPicPr>
                        </pic:nvPicPr>
                        <pic:blipFill>
                          <a:blip r:embed="rId10"/>
                          <a:stretch>
                            <a:fillRect/>
                          </a:stretch>
                        </pic:blipFill>
                        <pic:spPr>
                          <a:xfrm>
                            <a:off x="0" y="0"/>
                            <a:ext cx="5671820" cy="5551805"/>
                          </a:xfrm>
                          <a:prstGeom prst="rect">
                            <a:avLst/>
                          </a:prstGeom>
                        </pic:spPr>
                      </pic:pic>
                    </a:graphicData>
                  </a:graphic>
                </wp:inline>
              </w:drawing>
            </w:r>
          </w:p>
          <w:p w14:paraId="5BE73E6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14:textFill>
                  <w14:solidFill>
                    <w14:schemeClr w14:val="tx1"/>
                  </w14:solidFill>
                </w14:textFill>
              </w:rPr>
              <w:t>图2-1  项目水平衡图  单位：t/</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a</w:t>
            </w:r>
          </w:p>
          <w:p w14:paraId="785D5B0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Times New Roman" w:hAnsi="Times New Roman" w:eastAsia="宋体" w:cs="Times New Roman"/>
                <w:b/>
                <w:bCs/>
                <w:color w:val="000000" w:themeColor="text1"/>
                <w:sz w:val="21"/>
                <w:szCs w:val="21"/>
                <w:highlight w:val="yellow"/>
                <w:lang w:val="en-US" w:eastAsia="zh-CN"/>
                <w14:textFill>
                  <w14:solidFill>
                    <w14:schemeClr w14:val="tx1"/>
                  </w14:solidFill>
                </w14:textFill>
              </w:rPr>
            </w:pPr>
          </w:p>
          <w:p w14:paraId="330B749D">
            <w:pPr>
              <w:keepNext w:val="0"/>
              <w:keepLines w:val="0"/>
              <w:pageBreakBefore w:val="0"/>
              <w:widowControl/>
              <w:numPr>
                <w:ilvl w:val="0"/>
                <w:numId w:val="5"/>
              </w:numPr>
              <w:kinsoku/>
              <w:wordWrap/>
              <w:overflowPunct/>
              <w:topLinePunct w:val="0"/>
              <w:autoSpaceDE/>
              <w:autoSpaceDN/>
              <w:bidi w:val="0"/>
              <w:adjustRightInd/>
              <w:snapToGrid/>
              <w:spacing w:line="360" w:lineRule="auto"/>
              <w:ind w:firstLine="600" w:firstLineChars="250"/>
              <w:textAlignment w:val="auto"/>
              <w:rPr>
                <w:rFonts w:hint="eastAsia" w:ascii="Times New Roman" w:hAnsi="Times New Roman" w:cs="Times New Roman"/>
                <w:b w:val="0"/>
                <w:bCs w:val="0"/>
                <w:color w:val="000000" w:themeColor="text1"/>
                <w:kern w:val="0"/>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4"/>
                <w:szCs w:val="24"/>
                <w:lang w:val="en-US" w:eastAsia="zh-CN"/>
                <w14:textFill>
                  <w14:solidFill>
                    <w14:schemeClr w14:val="tx1"/>
                  </w14:solidFill>
                </w14:textFill>
              </w:rPr>
              <w:t>供电</w:t>
            </w:r>
          </w:p>
          <w:p w14:paraId="72AEECA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Times New Roman"/>
                <w:b w:val="0"/>
                <w:bCs/>
                <w:color w:val="000000" w:themeColor="text1"/>
                <w:lang w:eastAsia="zh-CN"/>
                <w14:textFill>
                  <w14:solidFill>
                    <w14:schemeClr w14:val="tx1"/>
                  </w14:solidFill>
                </w14:textFill>
              </w:rPr>
            </w:pPr>
            <w:r>
              <w:rPr>
                <w:rFonts w:hint="eastAsia" w:ascii="Times New Roman" w:hAnsi="Times New Roman" w:cs="Times New Roman"/>
                <w:b w:val="0"/>
                <w:bCs w:val="0"/>
                <w:color w:val="000000" w:themeColor="text1"/>
                <w:kern w:val="0"/>
                <w:sz w:val="24"/>
                <w:szCs w:val="24"/>
                <w:lang w:val="en-US" w:eastAsia="zh-CN"/>
                <w14:textFill>
                  <w14:solidFill>
                    <w14:schemeClr w14:val="tx1"/>
                  </w14:solidFill>
                </w14:textFill>
              </w:rPr>
              <w:t>本项目供电由</w:t>
            </w:r>
            <w:r>
              <w:rPr>
                <w:rFonts w:hint="default" w:ascii="Times New Roman" w:hAnsi="Times New Roman" w:cs="Times New Roman"/>
                <w:b w:val="0"/>
                <w:bCs/>
                <w:color w:val="000000" w:themeColor="text1"/>
                <w14:textFill>
                  <w14:solidFill>
                    <w14:schemeClr w14:val="tx1"/>
                  </w14:solidFill>
                </w14:textFill>
              </w:rPr>
              <w:t>昌吉市</w:t>
            </w:r>
            <w:r>
              <w:rPr>
                <w:rFonts w:hint="eastAsia" w:cs="Times New Roman"/>
                <w:b w:val="0"/>
                <w:bCs/>
                <w:color w:val="000000" w:themeColor="text1"/>
                <w:lang w:eastAsia="zh-CN"/>
                <w14:textFill>
                  <w14:solidFill>
                    <w14:schemeClr w14:val="tx1"/>
                  </w14:solidFill>
                </w14:textFill>
              </w:rPr>
              <w:t>三工供电所</w:t>
            </w:r>
            <w:r>
              <w:rPr>
                <w:rFonts w:hint="default" w:ascii="Times New Roman" w:hAnsi="Times New Roman" w:cs="Times New Roman"/>
                <w:b w:val="0"/>
                <w:bCs/>
                <w:color w:val="000000" w:themeColor="text1"/>
                <w:lang w:eastAsia="zh-CN"/>
                <w14:textFill>
                  <w14:solidFill>
                    <w14:schemeClr w14:val="tx1"/>
                  </w14:solidFill>
                </w14:textFill>
              </w:rPr>
              <w:t>供给</w:t>
            </w:r>
            <w:r>
              <w:rPr>
                <w:rFonts w:hint="eastAsia" w:cs="Times New Roman"/>
                <w:b w:val="0"/>
                <w:bCs/>
                <w:color w:val="000000" w:themeColor="text1"/>
                <w:lang w:eastAsia="zh-CN"/>
                <w14:textFill>
                  <w14:solidFill>
                    <w14:schemeClr w14:val="tx1"/>
                  </w14:solidFill>
                </w14:textFill>
              </w:rPr>
              <w:t>。</w:t>
            </w:r>
          </w:p>
          <w:p w14:paraId="1E6D5092">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600" w:firstLineChars="250"/>
              <w:textAlignment w:val="auto"/>
              <w:rPr>
                <w:rFonts w:hint="eastAsia" w:cs="Times New Roman"/>
                <w:b w:val="0"/>
                <w:bCs/>
                <w:color w:val="000000" w:themeColor="text1"/>
                <w:lang w:val="en-US"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供热</w:t>
            </w:r>
          </w:p>
          <w:p w14:paraId="711F424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50"/>
              <w:textAlignment w:val="auto"/>
              <w:rPr>
                <w:rFonts w:hint="default" w:cs="Times New Roman"/>
                <w:b w:val="0"/>
                <w:bCs/>
                <w:color w:val="000000" w:themeColor="text1"/>
                <w:lang w:val="en-US"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本项目冬季不生产，生产过程中不需要加热无需供热。</w:t>
            </w:r>
          </w:p>
          <w:p w14:paraId="004476F0">
            <w:pPr>
              <w:keepNext w:val="0"/>
              <w:keepLines w:val="0"/>
              <w:pageBreakBefore w:val="0"/>
              <w:widowControl w:val="0"/>
              <w:kinsoku/>
              <w:wordWrap/>
              <w:overflowPunct/>
              <w:topLinePunct w:val="0"/>
              <w:bidi w:val="0"/>
              <w:adjustRightInd w:val="0"/>
              <w:snapToGrid w:val="0"/>
              <w:ind w:firstLine="482"/>
              <w:jc w:val="left"/>
              <w:textAlignment w:val="auto"/>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7</w:t>
            </w:r>
            <w:r>
              <w:rPr>
                <w:rFonts w:hint="eastAsia"/>
                <w:b/>
                <w:color w:val="000000" w:themeColor="text1"/>
                <w:lang w:eastAsia="zh-CN"/>
                <w14:textFill>
                  <w14:solidFill>
                    <w14:schemeClr w14:val="tx1"/>
                  </w14:solidFill>
                </w14:textFill>
              </w:rPr>
              <w:t>.</w:t>
            </w:r>
            <w:r>
              <w:rPr>
                <w:rFonts w:hint="eastAsia"/>
                <w:b/>
                <w:color w:val="000000" w:themeColor="text1"/>
                <w:lang w:val="en-US" w:eastAsia="zh-CN"/>
                <w14:textFill>
                  <w14:solidFill>
                    <w14:schemeClr w14:val="tx1"/>
                  </w14:solidFill>
                </w14:textFill>
              </w:rPr>
              <w:t>平面布置</w:t>
            </w:r>
          </w:p>
          <w:p w14:paraId="7CDDF6BC">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ind w:left="0" w:leftChars="0" w:firstLine="480" w:firstLineChars="200"/>
              <w:textAlignment w:val="auto"/>
              <w:rPr>
                <w:color w:val="000000" w:themeColor="text1"/>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厂区整体为矩形地块。地块北部、西北侧集中布置办公生活区、成品库，实现生活办公区域与生产区域物理分隔，降低生产粉尘、噪声对办公人员的影响；厂区西北侧布置成品库，紧邻厂区大门，便于成品砂石外运，物流组织便捷。危废贮存库独立设置于厂区西南角。厂区西南、东南片区统一布设原料堆场、现有一期生产区域及本项目二期新建水洗制砂生产线，为全厂产尘核心区域。区域常年主导风向为西南风，气流由西南向东北输送；办公生活区布置于厂区西北地块，偏离扬尘主导扩散轴线，处于主导风向侧方位，主导风工况下扬尘主要向厂区东北空地扩散，大幅降低生产扬尘对办公生活区的影响。厂区物流流线清晰，运料车辆自西侧大门驶入后可就近至原料区卸料堆存，物料转运距离短，可减少物料转运过程产生的二次扬尘；各露天堆场配套防风抑尘网、喷淋抑尘系统，厂区出入口设置车辆冲洗平台；生产废水配套沉淀池实现闭路循环回用。厂区各功能分区划分清晰，工艺流程顺畅，结合区域气象条件优化功能分区，污染防控布局合理，平面布置总体可行</w:t>
            </w:r>
            <w:r>
              <w:rPr>
                <w:rFonts w:ascii="Times New Roman" w:hAnsi="Times New Roman" w:eastAsia="宋体" w:cs="Times New Roman"/>
                <w:color w:val="000000" w:themeColor="text1"/>
                <w:sz w:val="24"/>
                <w:szCs w:val="24"/>
                <w:lang w:val="en-US" w:eastAsia="zh-CN"/>
                <w14:textFill>
                  <w14:solidFill>
                    <w14:schemeClr w14:val="tx1"/>
                  </w14:solidFill>
                </w14:textFill>
              </w:rPr>
              <w:t>。</w:t>
            </w:r>
          </w:p>
        </w:tc>
      </w:tr>
      <w:tr w14:paraId="35CAC4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6" w:type="dxa"/>
            <w:tcBorders>
              <w:tl2br w:val="nil"/>
              <w:tr2bl w:val="nil"/>
            </w:tcBorders>
            <w:vAlign w:val="center"/>
          </w:tcPr>
          <w:p w14:paraId="06B816BD">
            <w:pPr>
              <w:pStyle w:val="56"/>
              <w:keepNext w:val="0"/>
              <w:keepLines w:val="0"/>
              <w:pageBreakBefore w:val="0"/>
              <w:widowControl w:val="0"/>
              <w:kinsoku/>
              <w:wordWrap/>
              <w:overflowPunct/>
              <w:topLinePunct w:val="0"/>
              <w:bidi w:val="0"/>
              <w:adjustRightInd w:val="0"/>
              <w:snapToGrid w:val="0"/>
              <w:ind w:firstLine="0" w:firstLineChars="0"/>
              <w:textAlignment w:val="auto"/>
              <w:rPr>
                <w:rFonts w:cs="宋体"/>
                <w:color w:val="000000" w:themeColor="text1"/>
                <w:szCs w:val="21"/>
                <w14:textFill>
                  <w14:solidFill>
                    <w14:schemeClr w14:val="tx1"/>
                  </w14:solidFill>
                </w14:textFill>
              </w:rPr>
            </w:pPr>
            <w:r>
              <w:rPr>
                <w:rFonts w:hint="eastAsia"/>
                <w:b/>
                <w:bCs/>
                <w:color w:val="000000" w:themeColor="text1"/>
                <w14:textFill>
                  <w14:solidFill>
                    <w14:schemeClr w14:val="tx1"/>
                  </w14:solidFill>
                </w14:textFill>
              </w:rPr>
              <w:t>工艺流程和产排污环节</w:t>
            </w:r>
          </w:p>
        </w:tc>
        <w:tc>
          <w:tcPr>
            <w:tcW w:w="8493" w:type="dxa"/>
            <w:tcBorders>
              <w:tl2br w:val="nil"/>
              <w:tr2bl w:val="nil"/>
            </w:tcBorders>
            <w:vAlign w:val="center"/>
          </w:tcPr>
          <w:p w14:paraId="28ED2F56">
            <w:pPr>
              <w:keepNext w:val="0"/>
              <w:keepLines w:val="0"/>
              <w:pageBreakBefore w:val="0"/>
              <w:widowControl w:val="0"/>
              <w:numPr>
                <w:ilvl w:val="0"/>
                <w:numId w:val="6"/>
              </w:numPr>
              <w:tabs>
                <w:tab w:val="left" w:pos="2235"/>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宋体" w:cs="Times New Roman"/>
                <w:b/>
                <w:bCs/>
                <w:color w:val="000000" w:themeColor="text1"/>
                <w:spacing w:val="0"/>
                <w:sz w:val="24"/>
                <w14:textFill>
                  <w14:solidFill>
                    <w14:schemeClr w14:val="tx1"/>
                  </w14:solidFill>
                </w14:textFill>
              </w:rPr>
            </w:pPr>
            <w:r>
              <w:rPr>
                <w:rFonts w:hint="eastAsia" w:ascii="Times New Roman" w:hAnsi="Times New Roman" w:eastAsia="宋体" w:cs="Times New Roman"/>
                <w:b/>
                <w:bCs/>
                <w:color w:val="000000" w:themeColor="text1"/>
                <w:spacing w:val="0"/>
                <w:sz w:val="24"/>
                <w14:textFill>
                  <w14:solidFill>
                    <w14:schemeClr w14:val="tx1"/>
                  </w14:solidFill>
                </w14:textFill>
              </w:rPr>
              <w:t>施工期</w:t>
            </w:r>
          </w:p>
          <w:p w14:paraId="67791834">
            <w:pPr>
              <w:keepNext w:val="0"/>
              <w:keepLines w:val="0"/>
              <w:pageBreakBefore w:val="0"/>
              <w:widowControl w:val="0"/>
              <w:numPr>
                <w:ilvl w:val="0"/>
                <w:numId w:val="0"/>
              </w:numPr>
              <w:tabs>
                <w:tab w:val="left" w:pos="2235"/>
              </w:tabs>
              <w:kinsoku/>
              <w:wordWrap/>
              <w:overflowPunct/>
              <w:topLinePunct w:val="0"/>
              <w:autoSpaceDE/>
              <w:autoSpaceDN/>
              <w:bidi w:val="0"/>
              <w:adjustRightInd w:val="0"/>
              <w:snapToGrid w:val="0"/>
              <w:spacing w:line="360" w:lineRule="auto"/>
              <w:ind w:leftChars="0" w:firstLine="464" w:firstLineChars="200"/>
              <w:textAlignment w:val="auto"/>
              <w:rPr>
                <w:color w:val="000000" w:themeColor="text1"/>
                <w14:textFill>
                  <w14:solidFill>
                    <w14:schemeClr w14:val="tx1"/>
                  </w14:solidFill>
                </w14:textFill>
              </w:rPr>
            </w:pPr>
            <w:r>
              <w:rPr>
                <w:rFonts w:ascii="Times New Roman" w:hAnsi="Times New Roman" w:eastAsia="Times New Roman" w:cs="Times New Roman"/>
                <w:b w:val="0"/>
                <w:bCs w:val="0"/>
                <w:color w:val="000000" w:themeColor="text1"/>
                <w:spacing w:val="-4"/>
                <w14:textFill>
                  <w14:solidFill>
                    <w14:schemeClr w14:val="tx1"/>
                  </w14:solidFill>
                </w14:textFill>
              </w:rPr>
              <w:t>1.</w:t>
            </w:r>
            <w:r>
              <w:rPr>
                <w:b w:val="0"/>
                <w:bCs w:val="0"/>
                <w:color w:val="000000" w:themeColor="text1"/>
                <w:spacing w:val="-4"/>
                <w14:textFill>
                  <w14:solidFill>
                    <w14:schemeClr w14:val="tx1"/>
                  </w14:solidFill>
                </w14:textFill>
              </w:rPr>
              <w:t>施工期工艺流程</w:t>
            </w:r>
          </w:p>
          <w:p w14:paraId="49B79A6E">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ind w:left="0" w:leftChars="0" w:firstLine="480" w:firstLineChars="200"/>
              <w:textAlignment w:val="auto"/>
              <w:rPr>
                <w:rFonts w:hint="eastAsia"/>
                <w:b/>
                <w:bCs/>
                <w:color w:val="000000" w:themeColor="text1"/>
                <w:spacing w:val="0"/>
                <w:sz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项目施工期不设施工营地，施工人员均为周边村民，食宿自行在村内原有住所解决。工程施工期间基础开挖、主体构筑物建设、设备安装等工序会产生扬尘、废水、噪声、固体废物及生态扰动等污染物，各类污染物产生量随施工强度、施工时段动态变化</w:t>
            </w:r>
            <w:r>
              <w:rPr>
                <w:color w:val="000000" w:themeColor="text1"/>
                <w:spacing w:val="-4"/>
                <w14:textFill>
                  <w14:solidFill>
                    <w14:schemeClr w14:val="tx1"/>
                  </w14:solidFill>
                </w14:textFill>
              </w:rPr>
              <w:t>。施工期工艺流程</w:t>
            </w:r>
            <w:r>
              <w:rPr>
                <w:color w:val="000000" w:themeColor="text1"/>
                <w:spacing w:val="-5"/>
                <w14:textFill>
                  <w14:solidFill>
                    <w14:schemeClr w14:val="tx1"/>
                  </w14:solidFill>
                </w14:textFill>
              </w:rPr>
              <w:t>见下图。</w:t>
            </w:r>
          </w:p>
          <w:p w14:paraId="5EF84ADD">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ind w:left="0" w:leftChars="0" w:firstLine="0" w:firstLineChars="0"/>
              <w:textAlignment w:val="auto"/>
              <w:rPr>
                <w:rFonts w:hint="eastAsia" w:eastAsia="宋体"/>
                <w:b/>
                <w:bCs/>
                <w:color w:val="000000" w:themeColor="text1"/>
                <w:spacing w:val="0"/>
                <w:sz w:val="24"/>
                <w:lang w:eastAsia="zh-CN"/>
                <w14:textFill>
                  <w14:solidFill>
                    <w14:schemeClr w14:val="tx1"/>
                  </w14:solidFill>
                </w14:textFill>
              </w:rPr>
            </w:pPr>
            <w:r>
              <w:rPr>
                <w:rFonts w:hint="eastAsia" w:eastAsia="宋体"/>
                <w:b/>
                <w:bCs/>
                <w:color w:val="000000" w:themeColor="text1"/>
                <w:spacing w:val="0"/>
                <w:sz w:val="24"/>
                <w:lang w:eastAsia="zh-CN"/>
                <w14:textFill>
                  <w14:solidFill>
                    <w14:schemeClr w14:val="tx1"/>
                  </w14:solidFill>
                </w14:textFill>
              </w:rPr>
              <w:drawing>
                <wp:inline distT="0" distB="0" distL="114300" distR="114300">
                  <wp:extent cx="5340350" cy="1337310"/>
                  <wp:effectExtent l="0" t="0" r="3175" b="5715"/>
                  <wp:docPr id="3" name="图片 3" descr="施工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施工3"/>
                          <pic:cNvPicPr>
                            <a:picLocks noChangeAspect="1"/>
                          </pic:cNvPicPr>
                        </pic:nvPicPr>
                        <pic:blipFill>
                          <a:blip r:embed="rId11"/>
                          <a:stretch>
                            <a:fillRect/>
                          </a:stretch>
                        </pic:blipFill>
                        <pic:spPr>
                          <a:xfrm>
                            <a:off x="0" y="0"/>
                            <a:ext cx="5340350" cy="1337310"/>
                          </a:xfrm>
                          <a:prstGeom prst="rect">
                            <a:avLst/>
                          </a:prstGeom>
                        </pic:spPr>
                      </pic:pic>
                    </a:graphicData>
                  </a:graphic>
                </wp:inline>
              </w:drawing>
            </w:r>
          </w:p>
          <w:p w14:paraId="7BF4D91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000000" w:themeColor="text1"/>
                <w:sz w:val="21"/>
                <w:szCs w:val="21"/>
                <w14:textFill>
                  <w14:solidFill>
                    <w14:schemeClr w14:val="tx1"/>
                  </w14:solidFill>
                </w14:textFill>
              </w:rPr>
            </w:pPr>
            <w:r>
              <w:rPr>
                <w:rFonts w:hint="eastAsia" w:ascii="Times New Roman" w:hAnsi="Times New Roman" w:eastAsia="宋体" w:cs="Times New Roman"/>
                <w:b/>
                <w:bCs/>
                <w:color w:val="000000" w:themeColor="text1"/>
                <w:sz w:val="21"/>
                <w:szCs w:val="21"/>
                <w14:textFill>
                  <w14:solidFill>
                    <w14:schemeClr w14:val="tx1"/>
                  </w14:solidFill>
                </w14:textFill>
              </w:rPr>
              <w:t>图2-</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b/>
                <w:bCs/>
                <w:color w:val="000000" w:themeColor="text1"/>
                <w:sz w:val="21"/>
                <w:szCs w:val="21"/>
                <w14:textFill>
                  <w14:solidFill>
                    <w14:schemeClr w14:val="tx1"/>
                  </w14:solidFill>
                </w14:textFill>
              </w:rPr>
              <w:t xml:space="preserve">  施工期工艺流程及产污环节图</w:t>
            </w:r>
          </w:p>
          <w:p w14:paraId="3B6EC622">
            <w:pPr>
              <w:keepNext w:val="0"/>
              <w:keepLines w:val="0"/>
              <w:pageBreakBefore w:val="0"/>
              <w:widowControl w:val="0"/>
              <w:numPr>
                <w:ilvl w:val="0"/>
                <w:numId w:val="0"/>
              </w:numPr>
              <w:tabs>
                <w:tab w:val="left" w:pos="2235"/>
              </w:tabs>
              <w:kinsoku/>
              <w:wordWrap/>
              <w:overflowPunct/>
              <w:topLinePunct w:val="0"/>
              <w:autoSpaceDE/>
              <w:autoSpaceDN/>
              <w:bidi w:val="0"/>
              <w:adjustRightInd w:val="0"/>
              <w:snapToGrid w:val="0"/>
              <w:spacing w:line="360" w:lineRule="auto"/>
              <w:ind w:leftChars="0" w:firstLine="464" w:firstLineChars="200"/>
              <w:textAlignment w:val="auto"/>
              <w:rPr>
                <w:rFonts w:ascii="Times New Roman" w:hAnsi="Times New Roman" w:eastAsia="Times New Roman" w:cs="Times New Roman"/>
                <w:b w:val="0"/>
                <w:bCs w:val="0"/>
                <w:color w:val="000000" w:themeColor="text1"/>
                <w:spacing w:val="-4"/>
                <w14:textFill>
                  <w14:solidFill>
                    <w14:schemeClr w14:val="tx1"/>
                  </w14:solidFill>
                </w14:textFill>
              </w:rPr>
            </w:pPr>
            <w:r>
              <w:rPr>
                <w:rFonts w:ascii="Times New Roman" w:hAnsi="Times New Roman" w:eastAsia="Times New Roman" w:cs="Times New Roman"/>
                <w:b w:val="0"/>
                <w:bCs w:val="0"/>
                <w:color w:val="000000" w:themeColor="text1"/>
                <w:spacing w:val="-4"/>
                <w14:textFill>
                  <w14:solidFill>
                    <w14:schemeClr w14:val="tx1"/>
                  </w14:solidFill>
                </w14:textFill>
              </w:rPr>
              <w:t>2.施工期产排污环节</w:t>
            </w:r>
          </w:p>
          <w:p w14:paraId="79F10DC8">
            <w:pPr>
              <w:keepNext w:val="0"/>
              <w:keepLines w:val="0"/>
              <w:pageBreakBefore w:val="0"/>
              <w:widowControl w:val="0"/>
              <w:numPr>
                <w:ilvl w:val="0"/>
                <w:numId w:val="0"/>
              </w:numPr>
              <w:tabs>
                <w:tab w:val="left" w:pos="2235"/>
              </w:tabs>
              <w:kinsoku/>
              <w:wordWrap/>
              <w:overflowPunct/>
              <w:topLinePunct w:val="0"/>
              <w:autoSpaceDE/>
              <w:autoSpaceDN/>
              <w:bidi w:val="0"/>
              <w:adjustRightInd w:val="0"/>
              <w:snapToGrid w:val="0"/>
              <w:spacing w:line="360" w:lineRule="auto"/>
              <w:ind w:leftChars="0" w:firstLine="464" w:firstLineChars="200"/>
              <w:textAlignment w:val="auto"/>
              <w:rPr>
                <w:rFonts w:ascii="Times New Roman" w:hAnsi="Times New Roman" w:eastAsia="Times New Roman" w:cs="Times New Roman"/>
                <w:b w:val="0"/>
                <w:bCs w:val="0"/>
                <w:color w:val="000000" w:themeColor="text1"/>
                <w:spacing w:val="-4"/>
                <w14:textFill>
                  <w14:solidFill>
                    <w14:schemeClr w14:val="tx1"/>
                  </w14:solidFill>
                </w14:textFill>
              </w:rPr>
            </w:pPr>
            <w:r>
              <w:rPr>
                <w:rFonts w:ascii="Times New Roman" w:hAnsi="Times New Roman" w:eastAsia="Times New Roman" w:cs="Times New Roman"/>
                <w:b w:val="0"/>
                <w:bCs w:val="0"/>
                <w:color w:val="000000" w:themeColor="text1"/>
                <w:spacing w:val="-4"/>
                <w14:textFill>
                  <w14:solidFill>
                    <w14:schemeClr w14:val="tx1"/>
                  </w14:solidFill>
                </w14:textFill>
              </w:rPr>
              <w:t>根据项目生产工艺流程及产污分析，本项目施工期产污工序及污染物情况如下。</w:t>
            </w:r>
          </w:p>
          <w:p w14:paraId="68F1BF4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000000" w:themeColor="text1"/>
                <w:sz w:val="21"/>
                <w:szCs w:val="21"/>
                <w14:textFill>
                  <w14:solidFill>
                    <w14:schemeClr w14:val="tx1"/>
                  </w14:solidFill>
                </w14:textFill>
              </w:rPr>
            </w:pPr>
            <w:r>
              <w:rPr>
                <w:rFonts w:hint="eastAsia" w:ascii="Times New Roman" w:hAnsi="Times New Roman" w:eastAsia="宋体" w:cs="Times New Roman"/>
                <w:b/>
                <w:bCs/>
                <w:color w:val="000000" w:themeColor="text1"/>
                <w:sz w:val="21"/>
                <w:szCs w:val="21"/>
                <w14:textFill>
                  <w14:solidFill>
                    <w14:schemeClr w14:val="tx1"/>
                  </w14:solidFill>
                </w14:textFill>
              </w:rPr>
              <w:t>表 2-</w:t>
            </w:r>
            <w:r>
              <w:rPr>
                <w:rFonts w:hint="eastAsia" w:cs="Times New Roman"/>
                <w:b/>
                <w:bCs/>
                <w:color w:val="000000" w:themeColor="text1"/>
                <w:sz w:val="21"/>
                <w:szCs w:val="21"/>
                <w:lang w:val="en-US" w:eastAsia="zh-CN"/>
                <w14:textFill>
                  <w14:solidFill>
                    <w14:schemeClr w14:val="tx1"/>
                  </w14:solidFill>
                </w14:textFill>
              </w:rPr>
              <w:t>6</w:t>
            </w:r>
            <w:r>
              <w:rPr>
                <w:rFonts w:hint="eastAsia" w:ascii="Times New Roman" w:hAnsi="Times New Roman" w:eastAsia="宋体" w:cs="Times New Roman"/>
                <w:b/>
                <w:bCs/>
                <w:color w:val="000000" w:themeColor="text1"/>
                <w:sz w:val="21"/>
                <w:szCs w:val="21"/>
                <w14:textFill>
                  <w14:solidFill>
                    <w14:schemeClr w14:val="tx1"/>
                  </w14:solidFill>
                </w14:textFill>
              </w:rPr>
              <w:t xml:space="preserve">  本项目施工期产污环节一览表</w:t>
            </w:r>
          </w:p>
          <w:tbl>
            <w:tblPr>
              <w:tblStyle w:val="43"/>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4"/>
              <w:gridCol w:w="3075"/>
              <w:gridCol w:w="3077"/>
            </w:tblGrid>
            <w:tr w14:paraId="49B4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Borders>
                    <w:top w:val="single" w:color="000000" w:sz="12" w:space="0"/>
                    <w:left w:val="nil"/>
                    <w:tl2br w:val="nil"/>
                  </w:tcBorders>
                  <w:shd w:val="clear" w:color="auto" w:fill="FFFFFF"/>
                  <w:vAlign w:val="center"/>
                </w:tcPr>
                <w:p w14:paraId="7AE1BDB8">
                  <w:pPr>
                    <w:pStyle w:val="227"/>
                    <w:spacing w:before="122" w:line="214"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bCs/>
                      <w:color w:val="000000" w:themeColor="text1"/>
                      <w:spacing w:val="3"/>
                      <w:sz w:val="21"/>
                      <w:szCs w:val="21"/>
                      <w14:textFill>
                        <w14:solidFill>
                          <w14:schemeClr w14:val="tx1"/>
                        </w14:solidFill>
                      </w14:textFill>
                    </w:rPr>
                    <w:t>类别</w:t>
                  </w:r>
                </w:p>
              </w:tc>
              <w:tc>
                <w:tcPr>
                  <w:tcW w:w="1666" w:type="pct"/>
                  <w:tcBorders>
                    <w:top w:val="single" w:color="000000" w:sz="12" w:space="0"/>
                  </w:tcBorders>
                  <w:shd w:val="clear" w:color="auto" w:fill="FFFFFF"/>
                  <w:vAlign w:val="center"/>
                </w:tcPr>
                <w:p w14:paraId="75614DCA">
                  <w:pPr>
                    <w:pStyle w:val="227"/>
                    <w:spacing w:before="122" w:line="214"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bCs/>
                      <w:color w:val="000000" w:themeColor="text1"/>
                      <w:spacing w:val="5"/>
                      <w:sz w:val="21"/>
                      <w:szCs w:val="21"/>
                      <w14:textFill>
                        <w14:solidFill>
                          <w14:schemeClr w14:val="tx1"/>
                        </w14:solidFill>
                      </w14:textFill>
                    </w:rPr>
                    <w:t>污染物</w:t>
                  </w:r>
                </w:p>
              </w:tc>
              <w:tc>
                <w:tcPr>
                  <w:tcW w:w="1667" w:type="pct"/>
                  <w:tcBorders>
                    <w:top w:val="single" w:color="000000" w:sz="12" w:space="0"/>
                    <w:right w:val="nil"/>
                  </w:tcBorders>
                  <w:shd w:val="clear" w:color="auto" w:fill="FFFFFF"/>
                  <w:vAlign w:val="center"/>
                </w:tcPr>
                <w:p w14:paraId="566FAE01">
                  <w:pPr>
                    <w:pStyle w:val="227"/>
                    <w:spacing w:before="122" w:line="214"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bCs/>
                      <w:color w:val="000000" w:themeColor="text1"/>
                      <w:spacing w:val="6"/>
                      <w:sz w:val="21"/>
                      <w:szCs w:val="21"/>
                      <w14:textFill>
                        <w14:solidFill>
                          <w14:schemeClr w14:val="tx1"/>
                        </w14:solidFill>
                      </w14:textFill>
                    </w:rPr>
                    <w:t>产污工序</w:t>
                  </w:r>
                </w:p>
              </w:tc>
            </w:tr>
            <w:tr w14:paraId="5CBE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restart"/>
                  <w:tcBorders>
                    <w:left w:val="nil"/>
                  </w:tcBorders>
                  <w:shd w:val="clear" w:color="auto" w:fill="FFFFFF"/>
                  <w:vAlign w:val="center"/>
                </w:tcPr>
                <w:p w14:paraId="0AF8C83A">
                  <w:pPr>
                    <w:pStyle w:val="227"/>
                    <w:spacing w:before="65" w:line="228" w:lineRule="auto"/>
                    <w:ind w:left="0" w:leftChars="0" w:firstLine="0" w:firstLineChars="0"/>
                    <w:jc w:val="center"/>
                    <w:rPr>
                      <w:rFonts w:hint="eastAsia" w:ascii="Times New Roman" w:hAnsi="Times New Roman" w:eastAsia="宋体"/>
                      <w:b w:val="0"/>
                      <w:bCs/>
                      <w:color w:val="000000" w:themeColor="text1"/>
                      <w:spacing w:val="0"/>
                      <w:sz w:val="21"/>
                      <w:szCs w:val="21"/>
                      <w:vertAlign w:val="baseline"/>
                      <w14:textFill>
                        <w14:solidFill>
                          <w14:schemeClr w14:val="tx1"/>
                        </w14:solidFill>
                      </w14:textFill>
                    </w:rPr>
                  </w:pPr>
                  <w:r>
                    <w:rPr>
                      <w:rFonts w:ascii="Times New Roman" w:hAnsi="Times New Roman" w:eastAsia="宋体"/>
                      <w:b w:val="0"/>
                      <w:color w:val="000000" w:themeColor="text1"/>
                      <w:spacing w:val="5"/>
                      <w:sz w:val="21"/>
                      <w:szCs w:val="21"/>
                      <w14:textFill>
                        <w14:solidFill>
                          <w14:schemeClr w14:val="tx1"/>
                        </w14:solidFill>
                      </w14:textFill>
                    </w:rPr>
                    <w:t>废水</w:t>
                  </w:r>
                </w:p>
              </w:tc>
              <w:tc>
                <w:tcPr>
                  <w:tcW w:w="1666" w:type="pct"/>
                  <w:shd w:val="clear" w:color="auto" w:fill="FFFFFF"/>
                  <w:vAlign w:val="center"/>
                </w:tcPr>
                <w:p w14:paraId="775B52AA">
                  <w:pPr>
                    <w:pStyle w:val="227"/>
                    <w:spacing w:before="122" w:line="214"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生活污水</w:t>
                  </w:r>
                </w:p>
              </w:tc>
              <w:tc>
                <w:tcPr>
                  <w:tcW w:w="1667" w:type="pct"/>
                  <w:tcBorders>
                    <w:right w:val="nil"/>
                  </w:tcBorders>
                  <w:shd w:val="clear" w:color="auto" w:fill="FFFFFF"/>
                  <w:vAlign w:val="center"/>
                </w:tcPr>
                <w:p w14:paraId="2D1EE1BB">
                  <w:pPr>
                    <w:pStyle w:val="227"/>
                    <w:spacing w:before="122" w:line="214"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7"/>
                      <w:sz w:val="21"/>
                      <w:szCs w:val="21"/>
                      <w14:textFill>
                        <w14:solidFill>
                          <w14:schemeClr w14:val="tx1"/>
                        </w14:solidFill>
                      </w14:textFill>
                    </w:rPr>
                    <w:t>施工人员</w:t>
                  </w:r>
                </w:p>
              </w:tc>
            </w:tr>
            <w:tr w14:paraId="7315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continue"/>
                  <w:tcBorders>
                    <w:left w:val="nil"/>
                  </w:tcBorders>
                  <w:shd w:val="clear" w:color="auto" w:fill="FFFFFF"/>
                  <w:vAlign w:val="center"/>
                </w:tcPr>
                <w:p w14:paraId="7EFFB53E">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val="0"/>
                      <w:bCs/>
                      <w:color w:val="000000" w:themeColor="text1"/>
                      <w:spacing w:val="0"/>
                      <w:sz w:val="21"/>
                      <w:szCs w:val="21"/>
                      <w:vertAlign w:val="baseline"/>
                      <w14:textFill>
                        <w14:solidFill>
                          <w14:schemeClr w14:val="tx1"/>
                        </w14:solidFill>
                      </w14:textFill>
                    </w:rPr>
                  </w:pPr>
                </w:p>
              </w:tc>
              <w:tc>
                <w:tcPr>
                  <w:tcW w:w="1666" w:type="pct"/>
                  <w:shd w:val="clear" w:color="auto" w:fill="FFFFFF"/>
                  <w:vAlign w:val="center"/>
                </w:tcPr>
                <w:p w14:paraId="6C24685F">
                  <w:pPr>
                    <w:pStyle w:val="227"/>
                    <w:spacing w:before="123" w:line="213"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7"/>
                      <w:sz w:val="21"/>
                      <w:szCs w:val="21"/>
                      <w14:textFill>
                        <w14:solidFill>
                          <w14:schemeClr w14:val="tx1"/>
                        </w14:solidFill>
                      </w14:textFill>
                    </w:rPr>
                    <w:t>施工废水</w:t>
                  </w:r>
                </w:p>
              </w:tc>
              <w:tc>
                <w:tcPr>
                  <w:tcW w:w="1667" w:type="pct"/>
                  <w:tcBorders>
                    <w:right w:val="nil"/>
                  </w:tcBorders>
                  <w:shd w:val="clear" w:color="auto" w:fill="FFFFFF"/>
                  <w:vAlign w:val="center"/>
                </w:tcPr>
                <w:p w14:paraId="07EB7BE0">
                  <w:pPr>
                    <w:pStyle w:val="227"/>
                    <w:spacing w:before="123" w:line="213"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8"/>
                      <w:sz w:val="21"/>
                      <w:szCs w:val="21"/>
                      <w14:textFill>
                        <w14:solidFill>
                          <w14:schemeClr w14:val="tx1"/>
                        </w14:solidFill>
                      </w14:textFill>
                    </w:rPr>
                    <w:t>施工、车辆冲洗</w:t>
                  </w:r>
                </w:p>
              </w:tc>
            </w:tr>
            <w:tr w14:paraId="1387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restart"/>
                  <w:tcBorders>
                    <w:left w:val="nil"/>
                  </w:tcBorders>
                  <w:shd w:val="clear" w:color="auto" w:fill="FFFFFF"/>
                  <w:vAlign w:val="center"/>
                </w:tcPr>
                <w:p w14:paraId="7730ACE0">
                  <w:pPr>
                    <w:pStyle w:val="227"/>
                    <w:spacing w:before="65" w:line="228" w:lineRule="auto"/>
                    <w:ind w:left="0" w:leftChars="0" w:firstLine="0" w:firstLineChars="0"/>
                    <w:jc w:val="center"/>
                    <w:rPr>
                      <w:rFonts w:hint="eastAsia" w:ascii="Times New Roman" w:hAnsi="Times New Roman" w:eastAsia="宋体"/>
                      <w:b w:val="0"/>
                      <w:bCs/>
                      <w:color w:val="000000" w:themeColor="text1"/>
                      <w:spacing w:val="0"/>
                      <w:sz w:val="21"/>
                      <w:szCs w:val="21"/>
                      <w:vertAlign w:val="baseline"/>
                      <w14:textFill>
                        <w14:solidFill>
                          <w14:schemeClr w14:val="tx1"/>
                        </w14:solidFill>
                      </w14:textFill>
                    </w:rPr>
                  </w:pPr>
                  <w:r>
                    <w:rPr>
                      <w:rFonts w:ascii="Times New Roman" w:hAnsi="Times New Roman" w:eastAsia="宋体"/>
                      <w:b w:val="0"/>
                      <w:color w:val="000000" w:themeColor="text1"/>
                      <w:spacing w:val="5"/>
                      <w:sz w:val="21"/>
                      <w:szCs w:val="21"/>
                      <w14:textFill>
                        <w14:solidFill>
                          <w14:schemeClr w14:val="tx1"/>
                        </w14:solidFill>
                      </w14:textFill>
                    </w:rPr>
                    <w:t>废气</w:t>
                  </w:r>
                </w:p>
              </w:tc>
              <w:tc>
                <w:tcPr>
                  <w:tcW w:w="1666" w:type="pct"/>
                  <w:shd w:val="clear" w:color="auto" w:fill="FFFFFF"/>
                  <w:vAlign w:val="center"/>
                </w:tcPr>
                <w:p w14:paraId="179D398D">
                  <w:pPr>
                    <w:pStyle w:val="227"/>
                    <w:spacing w:before="126" w:line="211"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7"/>
                      <w:sz w:val="21"/>
                      <w:szCs w:val="21"/>
                      <w14:textFill>
                        <w14:solidFill>
                          <w14:schemeClr w14:val="tx1"/>
                        </w14:solidFill>
                      </w14:textFill>
                    </w:rPr>
                    <w:t>施工扬尘</w:t>
                  </w:r>
                </w:p>
              </w:tc>
              <w:tc>
                <w:tcPr>
                  <w:tcW w:w="1667" w:type="pct"/>
                  <w:tcBorders>
                    <w:right w:val="nil"/>
                  </w:tcBorders>
                  <w:shd w:val="clear" w:color="auto" w:fill="FFFFFF"/>
                  <w:vAlign w:val="center"/>
                </w:tcPr>
                <w:p w14:paraId="1CE99D66">
                  <w:pPr>
                    <w:pStyle w:val="227"/>
                    <w:spacing w:before="126" w:line="211"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7"/>
                      <w:sz w:val="21"/>
                      <w:szCs w:val="21"/>
                      <w14:textFill>
                        <w14:solidFill>
                          <w14:schemeClr w14:val="tx1"/>
                        </w14:solidFill>
                      </w14:textFill>
                    </w:rPr>
                    <w:t>施工过程</w:t>
                  </w:r>
                </w:p>
              </w:tc>
            </w:tr>
            <w:tr w14:paraId="4350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continue"/>
                  <w:tcBorders>
                    <w:left w:val="nil"/>
                  </w:tcBorders>
                  <w:shd w:val="clear" w:color="auto" w:fill="FFFFFF"/>
                  <w:vAlign w:val="center"/>
                </w:tcPr>
                <w:p w14:paraId="296B8B50">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val="0"/>
                      <w:bCs/>
                      <w:color w:val="000000" w:themeColor="text1"/>
                      <w:spacing w:val="0"/>
                      <w:sz w:val="21"/>
                      <w:szCs w:val="21"/>
                      <w:vertAlign w:val="baseline"/>
                      <w14:textFill>
                        <w14:solidFill>
                          <w14:schemeClr w14:val="tx1"/>
                        </w14:solidFill>
                      </w14:textFill>
                    </w:rPr>
                  </w:pPr>
                </w:p>
              </w:tc>
              <w:tc>
                <w:tcPr>
                  <w:tcW w:w="1666" w:type="pct"/>
                  <w:shd w:val="clear" w:color="auto" w:fill="FFFFFF"/>
                  <w:vAlign w:val="center"/>
                </w:tcPr>
                <w:p w14:paraId="0FCABB7F">
                  <w:pPr>
                    <w:pStyle w:val="227"/>
                    <w:spacing w:before="126" w:line="210"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8"/>
                      <w:sz w:val="21"/>
                      <w:szCs w:val="21"/>
                      <w14:textFill>
                        <w14:solidFill>
                          <w14:schemeClr w14:val="tx1"/>
                        </w14:solidFill>
                      </w14:textFill>
                    </w:rPr>
                    <w:t>机械车辆尾气</w:t>
                  </w:r>
                </w:p>
              </w:tc>
              <w:tc>
                <w:tcPr>
                  <w:tcW w:w="1667" w:type="pct"/>
                  <w:tcBorders>
                    <w:right w:val="nil"/>
                  </w:tcBorders>
                  <w:shd w:val="clear" w:color="auto" w:fill="FFFFFF"/>
                  <w:vAlign w:val="center"/>
                </w:tcPr>
                <w:p w14:paraId="32ACC7B0">
                  <w:pPr>
                    <w:pStyle w:val="227"/>
                    <w:spacing w:before="126" w:line="210"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车辆运输</w:t>
                  </w:r>
                </w:p>
              </w:tc>
            </w:tr>
            <w:tr w14:paraId="15A2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Borders>
                    <w:left w:val="nil"/>
                  </w:tcBorders>
                  <w:shd w:val="clear" w:color="auto" w:fill="FFFFFF"/>
                  <w:vAlign w:val="center"/>
                </w:tcPr>
                <w:p w14:paraId="7ABBB5EF">
                  <w:pPr>
                    <w:pStyle w:val="227"/>
                    <w:spacing w:before="127" w:line="209"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1"/>
                      <w:sz w:val="21"/>
                      <w:szCs w:val="21"/>
                      <w14:textFill>
                        <w14:solidFill>
                          <w14:schemeClr w14:val="tx1"/>
                        </w14:solidFill>
                      </w14:textFill>
                    </w:rPr>
                    <w:t>噪声</w:t>
                  </w:r>
                </w:p>
              </w:tc>
              <w:tc>
                <w:tcPr>
                  <w:tcW w:w="1666" w:type="pct"/>
                  <w:shd w:val="clear" w:color="auto" w:fill="FFFFFF"/>
                  <w:vAlign w:val="center"/>
                </w:tcPr>
                <w:p w14:paraId="00562591">
                  <w:pPr>
                    <w:pStyle w:val="227"/>
                    <w:spacing w:before="127" w:line="209"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9"/>
                      <w:sz w:val="21"/>
                      <w:szCs w:val="21"/>
                      <w14:textFill>
                        <w14:solidFill>
                          <w14:schemeClr w14:val="tx1"/>
                        </w14:solidFill>
                      </w14:textFill>
                    </w:rPr>
                    <w:t>施工机械及车辆运输噪声</w:t>
                  </w:r>
                </w:p>
              </w:tc>
              <w:tc>
                <w:tcPr>
                  <w:tcW w:w="1667" w:type="pct"/>
                  <w:tcBorders>
                    <w:right w:val="nil"/>
                  </w:tcBorders>
                  <w:shd w:val="clear" w:color="auto" w:fill="FFFFFF"/>
                  <w:vAlign w:val="center"/>
                </w:tcPr>
                <w:p w14:paraId="3F1FC2B4">
                  <w:pPr>
                    <w:pStyle w:val="227"/>
                    <w:spacing w:before="127" w:line="209"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7"/>
                      <w:sz w:val="21"/>
                      <w:szCs w:val="21"/>
                      <w14:textFill>
                        <w14:solidFill>
                          <w14:schemeClr w14:val="tx1"/>
                        </w14:solidFill>
                      </w14:textFill>
                    </w:rPr>
                    <w:t>施工过程</w:t>
                  </w:r>
                </w:p>
              </w:tc>
            </w:tr>
            <w:tr w14:paraId="6FDB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restart"/>
                  <w:tcBorders>
                    <w:left w:val="nil"/>
                  </w:tcBorders>
                  <w:shd w:val="clear" w:color="auto" w:fill="FFFFFF"/>
                  <w:vAlign w:val="center"/>
                </w:tcPr>
                <w:p w14:paraId="1546363B">
                  <w:pPr>
                    <w:pStyle w:val="227"/>
                    <w:spacing w:before="65" w:line="228" w:lineRule="auto"/>
                    <w:ind w:left="0" w:leftChars="0" w:firstLine="0" w:firstLineChars="0"/>
                    <w:jc w:val="center"/>
                    <w:rPr>
                      <w:rFonts w:hint="eastAsia" w:ascii="Times New Roman" w:hAnsi="Times New Roman" w:eastAsia="宋体"/>
                      <w:b w:val="0"/>
                      <w:bCs/>
                      <w:color w:val="000000" w:themeColor="text1"/>
                      <w:spacing w:val="0"/>
                      <w:sz w:val="21"/>
                      <w:szCs w:val="21"/>
                      <w:vertAlign w:val="baseline"/>
                      <w14:textFill>
                        <w14:solidFill>
                          <w14:schemeClr w14:val="tx1"/>
                        </w14:solidFill>
                      </w14:textFill>
                    </w:rPr>
                  </w:pPr>
                  <w:r>
                    <w:rPr>
                      <w:rFonts w:ascii="Times New Roman" w:hAnsi="Times New Roman" w:eastAsia="宋体"/>
                      <w:b w:val="0"/>
                      <w:color w:val="000000" w:themeColor="text1"/>
                      <w:spacing w:val="-5"/>
                      <w:sz w:val="21"/>
                      <w:szCs w:val="21"/>
                      <w14:textFill>
                        <w14:solidFill>
                          <w14:schemeClr w14:val="tx1"/>
                        </w14:solidFill>
                      </w14:textFill>
                    </w:rPr>
                    <w:t>固废</w:t>
                  </w:r>
                </w:p>
              </w:tc>
              <w:tc>
                <w:tcPr>
                  <w:tcW w:w="1666" w:type="pct"/>
                  <w:shd w:val="clear" w:color="auto" w:fill="FFFFFF"/>
                  <w:vAlign w:val="center"/>
                </w:tcPr>
                <w:p w14:paraId="06E75C1A">
                  <w:pPr>
                    <w:pStyle w:val="227"/>
                    <w:spacing w:before="127" w:line="209"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生活垃圾</w:t>
                  </w:r>
                </w:p>
              </w:tc>
              <w:tc>
                <w:tcPr>
                  <w:tcW w:w="1667" w:type="pct"/>
                  <w:tcBorders>
                    <w:right w:val="nil"/>
                  </w:tcBorders>
                  <w:shd w:val="clear" w:color="auto" w:fill="FFFFFF"/>
                  <w:vAlign w:val="center"/>
                </w:tcPr>
                <w:p w14:paraId="0F795FC7">
                  <w:pPr>
                    <w:pStyle w:val="227"/>
                    <w:spacing w:before="127" w:line="209"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7"/>
                      <w:sz w:val="21"/>
                      <w:szCs w:val="21"/>
                      <w14:textFill>
                        <w14:solidFill>
                          <w14:schemeClr w14:val="tx1"/>
                        </w14:solidFill>
                      </w14:textFill>
                    </w:rPr>
                    <w:t>施工人员</w:t>
                  </w:r>
                </w:p>
              </w:tc>
            </w:tr>
            <w:tr w14:paraId="175A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continue"/>
                  <w:tcBorders>
                    <w:left w:val="nil"/>
                  </w:tcBorders>
                  <w:shd w:val="clear" w:color="auto" w:fill="FFFFFF"/>
                  <w:vAlign w:val="center"/>
                </w:tcPr>
                <w:p w14:paraId="66F89308">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b w:val="0"/>
                      <w:bCs/>
                      <w:color w:val="000000" w:themeColor="text1"/>
                      <w:spacing w:val="0"/>
                      <w:sz w:val="21"/>
                      <w:szCs w:val="21"/>
                      <w:vertAlign w:val="baseline"/>
                      <w14:textFill>
                        <w14:solidFill>
                          <w14:schemeClr w14:val="tx1"/>
                        </w14:solidFill>
                      </w14:textFill>
                    </w:rPr>
                  </w:pPr>
                </w:p>
              </w:tc>
              <w:tc>
                <w:tcPr>
                  <w:tcW w:w="1666" w:type="pct"/>
                  <w:shd w:val="clear" w:color="auto" w:fill="FFFFFF"/>
                  <w:vAlign w:val="center"/>
                </w:tcPr>
                <w:p w14:paraId="604D606A">
                  <w:pPr>
                    <w:pStyle w:val="227"/>
                    <w:spacing w:before="128" w:line="208" w:lineRule="auto"/>
                    <w:ind w:left="0" w:leftChars="0" w:firstLine="0" w:firstLineChars="0"/>
                    <w:jc w:val="center"/>
                    <w:rPr>
                      <w:rFonts w:hint="default" w:ascii="Times New Roman" w:hAnsi="Times New Roman" w:eastAsia="宋体" w:cs="仿宋"/>
                      <w:b w:val="0"/>
                      <w:color w:val="000000" w:themeColor="text1"/>
                      <w:kern w:val="2"/>
                      <w:sz w:val="21"/>
                      <w:szCs w:val="21"/>
                      <w:lang w:val="en-US" w:eastAsia="zh-CN" w:bidi="ar-SA"/>
                      <w14:textFill>
                        <w14:solidFill>
                          <w14:schemeClr w14:val="tx1"/>
                        </w14:solidFill>
                      </w14:textFill>
                    </w:rPr>
                  </w:pPr>
                  <w:r>
                    <w:rPr>
                      <w:rFonts w:ascii="Times New Roman" w:hAnsi="Times New Roman" w:eastAsia="宋体"/>
                      <w:b w:val="0"/>
                      <w:color w:val="000000" w:themeColor="text1"/>
                      <w:spacing w:val="6"/>
                      <w:sz w:val="21"/>
                      <w:szCs w:val="21"/>
                      <w14:textFill>
                        <w14:solidFill>
                          <w14:schemeClr w14:val="tx1"/>
                        </w14:solidFill>
                      </w14:textFill>
                    </w:rPr>
                    <w:t>建筑垃圾</w:t>
                  </w:r>
                  <w:r>
                    <w:rPr>
                      <w:rFonts w:hint="eastAsia" w:ascii="Times New Roman" w:hAnsi="Times New Roman" w:eastAsia="宋体"/>
                      <w:b w:val="0"/>
                      <w:color w:val="000000" w:themeColor="text1"/>
                      <w:spacing w:val="6"/>
                      <w:sz w:val="21"/>
                      <w:szCs w:val="21"/>
                      <w:lang w:eastAsia="zh-CN"/>
                      <w14:textFill>
                        <w14:solidFill>
                          <w14:schemeClr w14:val="tx1"/>
                        </w14:solidFill>
                      </w14:textFill>
                    </w:rPr>
                    <w:t>、</w:t>
                  </w:r>
                  <w:r>
                    <w:rPr>
                      <w:rFonts w:hint="eastAsia" w:ascii="Times New Roman" w:hAnsi="Times New Roman" w:eastAsia="宋体"/>
                      <w:b w:val="0"/>
                      <w:color w:val="000000" w:themeColor="text1"/>
                      <w:spacing w:val="6"/>
                      <w:sz w:val="21"/>
                      <w:szCs w:val="21"/>
                      <w:lang w:val="en-US" w:eastAsia="zh-CN"/>
                      <w14:textFill>
                        <w14:solidFill>
                          <w14:schemeClr w14:val="tx1"/>
                        </w14:solidFill>
                      </w14:textFill>
                    </w:rPr>
                    <w:t>焊条</w:t>
                  </w:r>
                </w:p>
              </w:tc>
              <w:tc>
                <w:tcPr>
                  <w:tcW w:w="1667" w:type="pct"/>
                  <w:tcBorders>
                    <w:right w:val="nil"/>
                  </w:tcBorders>
                  <w:shd w:val="clear" w:color="auto" w:fill="FFFFFF"/>
                  <w:vAlign w:val="center"/>
                </w:tcPr>
                <w:p w14:paraId="2E6EDEC0">
                  <w:pPr>
                    <w:pStyle w:val="227"/>
                    <w:spacing w:before="128" w:line="208" w:lineRule="auto"/>
                    <w:ind w:left="0" w:leftChars="0" w:firstLine="0" w:firstLineChars="0"/>
                    <w:jc w:val="center"/>
                    <w:rPr>
                      <w:rFonts w:hint="eastAsia" w:ascii="Times New Roman" w:hAnsi="Times New Roman" w:eastAsia="宋体" w:cs="仿宋"/>
                      <w:b w:val="0"/>
                      <w:color w:val="000000" w:themeColor="text1"/>
                      <w:kern w:val="2"/>
                      <w:sz w:val="21"/>
                      <w:szCs w:val="21"/>
                      <w:lang w:val="en-US" w:eastAsia="en-US" w:bidi="ar-SA"/>
                      <w14:textFill>
                        <w14:solidFill>
                          <w14:schemeClr w14:val="tx1"/>
                        </w14:solidFill>
                      </w14:textFill>
                    </w:rPr>
                  </w:pPr>
                  <w:r>
                    <w:rPr>
                      <w:rFonts w:ascii="Times New Roman" w:hAnsi="Times New Roman" w:eastAsia="宋体"/>
                      <w:b w:val="0"/>
                      <w:color w:val="000000" w:themeColor="text1"/>
                      <w:spacing w:val="7"/>
                      <w:sz w:val="21"/>
                      <w:szCs w:val="21"/>
                      <w14:textFill>
                        <w14:solidFill>
                          <w14:schemeClr w14:val="tx1"/>
                        </w14:solidFill>
                      </w14:textFill>
                    </w:rPr>
                    <w:t>施工过程</w:t>
                  </w:r>
                </w:p>
              </w:tc>
            </w:tr>
            <w:tr w14:paraId="2F14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Borders>
                    <w:left w:val="nil"/>
                    <w:bottom w:val="single" w:color="000000" w:sz="12" w:space="0"/>
                  </w:tcBorders>
                  <w:shd w:val="clear" w:color="auto" w:fill="FFFFFF"/>
                  <w:vAlign w:val="center"/>
                </w:tcPr>
                <w:p w14:paraId="4A97BA8C">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Times New Roman" w:hAnsi="Times New Roman" w:eastAsia="宋体"/>
                      <w:b w:val="0"/>
                      <w:bCs w:val="0"/>
                      <w:color w:val="000000" w:themeColor="text1"/>
                      <w:spacing w:val="0"/>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0"/>
                      <w:sz w:val="21"/>
                      <w:szCs w:val="21"/>
                      <w:vertAlign w:val="baseline"/>
                      <w:lang w:val="en-US" w:eastAsia="zh-CN"/>
                      <w14:textFill>
                        <w14:solidFill>
                          <w14:schemeClr w14:val="tx1"/>
                        </w14:solidFill>
                      </w14:textFill>
                    </w:rPr>
                    <w:t>生态</w:t>
                  </w:r>
                </w:p>
              </w:tc>
              <w:tc>
                <w:tcPr>
                  <w:tcW w:w="1666" w:type="pct"/>
                  <w:tcBorders>
                    <w:bottom w:val="single" w:color="000000" w:sz="12" w:space="0"/>
                  </w:tcBorders>
                  <w:shd w:val="clear" w:color="auto" w:fill="FFFFFF"/>
                  <w:vAlign w:val="center"/>
                </w:tcPr>
                <w:p w14:paraId="2CF837D4">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eastAsia="宋体"/>
                      <w:b w:val="0"/>
                      <w:bCs w:val="0"/>
                      <w:color w:val="000000" w:themeColor="text1"/>
                      <w:spacing w:val="0"/>
                      <w:sz w:val="21"/>
                      <w:szCs w:val="21"/>
                      <w:vertAlign w:val="baseline"/>
                      <w:lang w:val="en-US" w:eastAsia="zh-CN"/>
                      <w14:textFill>
                        <w14:solidFill>
                          <w14:schemeClr w14:val="tx1"/>
                        </w14:solidFill>
                      </w14:textFill>
                    </w:rPr>
                  </w:pPr>
                  <w:r>
                    <w:rPr>
                      <w:rFonts w:ascii="Times New Roman" w:hAnsi="Times New Roman" w:eastAsia="宋体" w:cs="宋体"/>
                      <w:b w:val="0"/>
                      <w:bCs w:val="0"/>
                      <w:color w:val="000000" w:themeColor="text1"/>
                      <w:sz w:val="21"/>
                      <w:szCs w:val="21"/>
                      <w14:textFill>
                        <w14:solidFill>
                          <w14:schemeClr w14:val="tx1"/>
                        </w14:solidFill>
                      </w14:textFill>
                    </w:rPr>
                    <w:t>地表扰动、临时占地、植被破坏</w:t>
                  </w:r>
                </w:p>
              </w:tc>
              <w:tc>
                <w:tcPr>
                  <w:tcW w:w="1667" w:type="pct"/>
                  <w:tcBorders>
                    <w:bottom w:val="single" w:color="000000" w:sz="12" w:space="0"/>
                    <w:right w:val="nil"/>
                  </w:tcBorders>
                  <w:shd w:val="clear" w:color="auto" w:fill="FFFFFF"/>
                  <w:vAlign w:val="center"/>
                </w:tcPr>
                <w:p w14:paraId="6C2A2DF3">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eastAsia="宋体"/>
                      <w:b w:val="0"/>
                      <w:bCs w:val="0"/>
                      <w:color w:val="000000" w:themeColor="text1"/>
                      <w:spacing w:val="0"/>
                      <w:sz w:val="21"/>
                      <w:szCs w:val="21"/>
                      <w:vertAlign w:val="baseline"/>
                      <w:lang w:val="en-US" w:eastAsia="zh-CN"/>
                      <w14:textFill>
                        <w14:solidFill>
                          <w14:schemeClr w14:val="tx1"/>
                        </w14:solidFill>
                      </w14:textFill>
                    </w:rPr>
                  </w:pPr>
                  <w:r>
                    <w:rPr>
                      <w:rFonts w:hint="eastAsia" w:ascii="Times New Roman" w:hAnsi="Times New Roman" w:eastAsia="宋体"/>
                      <w:b w:val="0"/>
                      <w:bCs w:val="0"/>
                      <w:color w:val="000000" w:themeColor="text1"/>
                      <w:spacing w:val="0"/>
                      <w:sz w:val="21"/>
                      <w:szCs w:val="21"/>
                      <w:vertAlign w:val="baseline"/>
                      <w:lang w:val="en-US" w:eastAsia="zh-CN"/>
                      <w14:textFill>
                        <w14:solidFill>
                          <w14:schemeClr w14:val="tx1"/>
                        </w14:solidFill>
                      </w14:textFill>
                    </w:rPr>
                    <w:t>施工过程</w:t>
                  </w:r>
                </w:p>
              </w:tc>
            </w:tr>
          </w:tbl>
          <w:p w14:paraId="176F3E92">
            <w:pPr>
              <w:keepNext w:val="0"/>
              <w:keepLines w:val="0"/>
              <w:pageBreakBefore w:val="0"/>
              <w:widowControl w:val="0"/>
              <w:numPr>
                <w:ilvl w:val="0"/>
                <w:numId w:val="6"/>
              </w:numPr>
              <w:tabs>
                <w:tab w:val="left" w:pos="2235"/>
              </w:tabs>
              <w:kinsoku/>
              <w:wordWrap/>
              <w:overflowPunct/>
              <w:topLinePunct w:val="0"/>
              <w:autoSpaceDE/>
              <w:autoSpaceDN/>
              <w:bidi w:val="0"/>
              <w:adjustRightInd w:val="0"/>
              <w:snapToGrid w:val="0"/>
              <w:spacing w:line="360" w:lineRule="auto"/>
              <w:ind w:left="0" w:leftChars="0" w:firstLine="0" w:firstLineChars="0"/>
              <w:textAlignment w:val="auto"/>
              <w:rPr>
                <w:rFonts w:hint="eastAsia"/>
                <w:b/>
                <w:bCs/>
                <w:color w:val="000000" w:themeColor="text1"/>
                <w:spacing w:val="0"/>
                <w:sz w:val="24"/>
                <w:lang w:val="en-US" w:eastAsia="zh-CN"/>
                <w14:textFill>
                  <w14:solidFill>
                    <w14:schemeClr w14:val="tx1"/>
                  </w14:solidFill>
                </w14:textFill>
              </w:rPr>
            </w:pPr>
            <w:r>
              <w:rPr>
                <w:rFonts w:hint="eastAsia"/>
                <w:b/>
                <w:bCs/>
                <w:color w:val="000000" w:themeColor="text1"/>
                <w:spacing w:val="0"/>
                <w:sz w:val="24"/>
                <w:lang w:val="en-US" w:eastAsia="zh-CN"/>
                <w14:textFill>
                  <w14:solidFill>
                    <w14:schemeClr w14:val="tx1"/>
                  </w14:solidFill>
                </w14:textFill>
              </w:rPr>
              <w:t>运行期</w:t>
            </w:r>
          </w:p>
          <w:p w14:paraId="058C8E23">
            <w:pPr>
              <w:keepNext w:val="0"/>
              <w:keepLines w:val="0"/>
              <w:pageBreakBefore w:val="0"/>
              <w:widowControl w:val="0"/>
              <w:numPr>
                <w:ilvl w:val="0"/>
                <w:numId w:val="0"/>
              </w:numPr>
              <w:tabs>
                <w:tab w:val="left" w:pos="2235"/>
              </w:tabs>
              <w:kinsoku/>
              <w:wordWrap/>
              <w:overflowPunct/>
              <w:topLinePunct w:val="0"/>
              <w:autoSpaceDE/>
              <w:autoSpaceDN/>
              <w:bidi w:val="0"/>
              <w:adjustRightInd w:val="0"/>
              <w:snapToGrid w:val="0"/>
              <w:spacing w:line="360" w:lineRule="auto"/>
              <w:ind w:leftChars="0"/>
              <w:textAlignment w:val="auto"/>
              <w:rPr>
                <w:rFonts w:hint="default"/>
                <w:b/>
                <w:bCs/>
                <w:color w:val="000000" w:themeColor="text1"/>
                <w:spacing w:val="0"/>
                <w:sz w:val="24"/>
                <w:lang w:val="en-US" w:eastAsia="zh-CN"/>
                <w14:textFill>
                  <w14:solidFill>
                    <w14:schemeClr w14:val="tx1"/>
                  </w14:solidFill>
                </w14:textFill>
              </w:rPr>
            </w:pPr>
            <w:r>
              <w:rPr>
                <w:rFonts w:hint="eastAsia"/>
                <w:b/>
                <w:bCs/>
                <w:color w:val="000000" w:themeColor="text1"/>
                <w:spacing w:val="0"/>
                <w:sz w:val="24"/>
                <w:lang w:val="en-US" w:eastAsia="zh-CN"/>
                <w14:textFill>
                  <w14:solidFill>
                    <w14:schemeClr w14:val="tx1"/>
                  </w14:solidFill>
                </w14:textFill>
              </w:rPr>
              <w:t>（1）本项目运行期工艺流程及产污节点分析</w:t>
            </w:r>
          </w:p>
          <w:p w14:paraId="56A0743E">
            <w:pPr>
              <w:keepNext w:val="0"/>
              <w:keepLines w:val="0"/>
              <w:pageBreakBefore w:val="0"/>
              <w:widowControl w:val="0"/>
              <w:suppressLineNumbers w:val="0"/>
              <w:kinsoku/>
              <w:wordWrap/>
              <w:overflowPunct/>
              <w:topLinePunct w:val="0"/>
              <w:bidi w:val="0"/>
              <w:adjustRightInd w:val="0"/>
              <w:snapToGrid w:val="0"/>
              <w:jc w:val="left"/>
              <w:textAlignment w:val="auto"/>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本项目运行期</w:t>
            </w:r>
            <w:r>
              <w:rPr>
                <w:rFonts w:hint="eastAsia" w:ascii="宋体" w:hAnsi="宋体" w:eastAsia="宋体" w:cs="宋体"/>
                <w:color w:val="000000" w:themeColor="text1"/>
                <w:kern w:val="0"/>
                <w:sz w:val="24"/>
                <w:szCs w:val="24"/>
                <w:lang w:val="en-US" w:eastAsia="zh-CN" w:bidi="ar"/>
                <w14:textFill>
                  <w14:solidFill>
                    <w14:schemeClr w14:val="tx1"/>
                  </w14:solidFill>
                </w14:textFill>
              </w:rPr>
              <w:t>工艺流程见下图。</w:t>
            </w:r>
          </w:p>
          <w:p w14:paraId="23DC99A3">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ind w:left="0" w:leftChars="0" w:firstLine="0" w:firstLineChars="0"/>
              <w:textAlignment w:val="auto"/>
              <w:rPr>
                <w:rFonts w:hint="eastAsia" w:eastAsia="宋体"/>
                <w:b/>
                <w:bCs/>
                <w:color w:val="000000" w:themeColor="text1"/>
                <w:spacing w:val="0"/>
                <w:sz w:val="24"/>
                <w:lang w:eastAsia="zh-CN"/>
                <w14:textFill>
                  <w14:solidFill>
                    <w14:schemeClr w14:val="tx1"/>
                  </w14:solidFill>
                </w14:textFill>
              </w:rPr>
            </w:pPr>
            <w:r>
              <w:rPr>
                <w:rFonts w:hint="eastAsia" w:eastAsia="宋体"/>
                <w:b/>
                <w:bCs/>
                <w:color w:val="000000" w:themeColor="text1"/>
                <w:spacing w:val="0"/>
                <w:sz w:val="24"/>
                <w:lang w:eastAsia="zh-CN"/>
                <w14:textFill>
                  <w14:solidFill>
                    <w14:schemeClr w14:val="tx1"/>
                  </w14:solidFill>
                </w14:textFill>
              </w:rPr>
              <w:drawing>
                <wp:inline distT="0" distB="0" distL="114300" distR="114300">
                  <wp:extent cx="5532120" cy="7233285"/>
                  <wp:effectExtent l="0" t="0" r="1905" b="5715"/>
                  <wp:docPr id="30" name="图片 30" descr="未命名文件(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未命名文件(120)"/>
                          <pic:cNvPicPr>
                            <a:picLocks noChangeAspect="1"/>
                          </pic:cNvPicPr>
                        </pic:nvPicPr>
                        <pic:blipFill>
                          <a:blip r:embed="rId12"/>
                          <a:stretch>
                            <a:fillRect/>
                          </a:stretch>
                        </pic:blipFill>
                        <pic:spPr>
                          <a:xfrm>
                            <a:off x="0" y="0"/>
                            <a:ext cx="5532120" cy="7233285"/>
                          </a:xfrm>
                          <a:prstGeom prst="rect">
                            <a:avLst/>
                          </a:prstGeom>
                        </pic:spPr>
                      </pic:pic>
                    </a:graphicData>
                  </a:graphic>
                </wp:inline>
              </w:drawing>
            </w:r>
          </w:p>
          <w:p w14:paraId="5F4D06C2">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ind w:left="0" w:leftChars="0" w:firstLine="0" w:firstLineChars="0"/>
              <w:jc w:val="center"/>
              <w:textAlignment w:val="auto"/>
              <w:rPr>
                <w:b w:val="0"/>
                <w:bCs w:val="0"/>
                <w:color w:val="000000" w:themeColor="text1"/>
                <w:spacing w:val="0"/>
                <w:sz w:val="24"/>
                <w14:textFill>
                  <w14:solidFill>
                    <w14:schemeClr w14:val="tx1"/>
                  </w14:solidFill>
                </w14:textFill>
              </w:rPr>
            </w:pPr>
            <w:r>
              <w:rPr>
                <w:rFonts w:hint="eastAsia"/>
                <w:b/>
                <w:bCs/>
                <w:color w:val="000000" w:themeColor="text1"/>
                <w:spacing w:val="0"/>
                <w:sz w:val="21"/>
                <w:szCs w:val="21"/>
                <w:highlight w:val="none"/>
                <w:lang w:val="en-US" w:eastAsia="zh-CN"/>
                <w14:textFill>
                  <w14:solidFill>
                    <w14:schemeClr w14:val="tx1"/>
                  </w14:solidFill>
                </w14:textFill>
              </w:rPr>
              <w:t>图2-3   本项目运行期工艺流程及产污节点图</w:t>
            </w:r>
          </w:p>
          <w:p w14:paraId="72FF8E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本项目依托现有厂区开展砂厂固废制砂加工，工艺流程：原料堆场→上料平台→振动筛分→湿式滚筛分级→捞沙机分选→绞龙脱水→多级沉淀→压滤脱水；产出碎石、成品砂，泥浆压滤形成泥饼外售，生产废水闭路循环回用。各工序产污环节详述如下：</w:t>
            </w:r>
          </w:p>
          <w:p w14:paraId="52E298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原料堆场：原料堆存、铲车装卸作业产生无组织粉尘（风蚀扬尘、装卸扬尘）；铲车作业产生机械噪声；物料堆存无废水产生。</w:t>
            </w:r>
          </w:p>
          <w:p w14:paraId="78D749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上料平台：铲车向平台投料，物料落差产生无组织+集气收集有组织粉尘；装载机产生噪声；本工段为干法作业，无生产废水。</w:t>
            </w:r>
          </w:p>
          <w:p w14:paraId="641037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振动筛（筛分振动）：原料干法筛分，物料碰撞、筛分扰动产生有组织粉尘，配套集气罩收集；筛分设备运行产生噪声；干法筛分，不产生工艺废水。</w:t>
            </w:r>
          </w:p>
          <w:p w14:paraId="0AD8D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湿式滚筛：物料加水湿式分级，从源头抑制粉尘产生，无粉尘逸散；滚筛设备运转产生噪声；湿式分选产生含泥废水，向下游捞沙机输送。分级产物：15</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40mm碎石送碎石堆场，＞40mm大块石料运回一期原料堆场循环加工；碎石堆场堆存、装车过程新增无组织粉尘。</w:t>
            </w:r>
          </w:p>
          <w:p w14:paraId="0B2608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捞沙机：全程湿式分选，物料浸没水中，无粉尘产生；设备运行产生噪声；持续输送含砂泥水至绞龙脱水工序。</w:t>
            </w:r>
          </w:p>
          <w:p w14:paraId="2BADEE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绞龙（脱水）：螺旋机械运转产生噪声；细砂脱水后输送至成品砂堆场（成品装车产生无组织粉尘）；脱出含泥废水送入沉降罐。</w:t>
            </w:r>
          </w:p>
          <w:p w14:paraId="4076084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沉降罐、二沉池、清水池：主要实现泥水分离，构筑物无设备噪声；上清清水自流至清水池，全部回用于洗砂、喷淋、湿式滚筛，生产废水不外排；底部浓缩泥浆输送至压滤机。</w:t>
            </w:r>
          </w:p>
          <w:p w14:paraId="675CD1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压滤机：压滤设备运行产生噪声；泥浆脱水形成泥饼（一般固废，外售砖厂）；压滤滤液回流至二沉池循环使用。</w:t>
            </w:r>
          </w:p>
          <w:p w14:paraId="1D8BA95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color w:val="000000" w:themeColor="text1"/>
                <w:sz w:val="21"/>
                <w:szCs w:val="21"/>
                <w14:textFill>
                  <w14:solidFill>
                    <w14:schemeClr w14:val="tx1"/>
                  </w14:solidFill>
                </w14:textFill>
              </w:rPr>
            </w:pPr>
            <w:r>
              <w:rPr>
                <w:rFonts w:hint="eastAsia" w:ascii="Times New Roman" w:hAnsi="Times New Roman" w:eastAsia="宋体" w:cs="Times New Roman"/>
                <w:b/>
                <w:bCs/>
                <w:color w:val="000000" w:themeColor="text1"/>
                <w:sz w:val="21"/>
                <w:szCs w:val="21"/>
                <w14:textFill>
                  <w14:solidFill>
                    <w14:schemeClr w14:val="tx1"/>
                  </w14:solidFill>
                </w14:textFill>
              </w:rPr>
              <w:t>表2-</w:t>
            </w:r>
            <w:r>
              <w:rPr>
                <w:rFonts w:hint="eastAsia" w:cs="Times New Roman"/>
                <w:b/>
                <w:bCs/>
                <w:color w:val="000000" w:themeColor="text1"/>
                <w:sz w:val="21"/>
                <w:szCs w:val="21"/>
                <w:lang w:val="en-US" w:eastAsia="zh-CN"/>
                <w14:textFill>
                  <w14:solidFill>
                    <w14:schemeClr w14:val="tx1"/>
                  </w14:solidFill>
                </w14:textFill>
              </w:rPr>
              <w:t>7</w:t>
            </w:r>
            <w:r>
              <w:rPr>
                <w:rFonts w:hint="eastAsia" w:ascii="Times New Roman" w:hAnsi="Times New Roman" w:eastAsia="宋体" w:cs="Times New Roman"/>
                <w:b/>
                <w:bCs/>
                <w:color w:val="000000" w:themeColor="text1"/>
                <w:sz w:val="21"/>
                <w:szCs w:val="21"/>
                <w14:textFill>
                  <w14:solidFill>
                    <w14:schemeClr w14:val="tx1"/>
                  </w14:solidFill>
                </w14:textFill>
              </w:rPr>
              <w:t xml:space="preserve">  本项目运营期产污环节一览表</w:t>
            </w:r>
          </w:p>
          <w:tbl>
            <w:tblPr>
              <w:tblStyle w:val="42"/>
              <w:tblW w:w="499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388"/>
              <w:gridCol w:w="3211"/>
              <w:gridCol w:w="2304"/>
              <w:gridCol w:w="2308"/>
            </w:tblGrid>
            <w:tr w14:paraId="0EBB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tcBorders>
                    <w:top w:val="single" w:color="000000" w:sz="12" w:space="0"/>
                    <w:left w:val="nil"/>
                    <w:tl2br w:val="nil"/>
                  </w:tcBorders>
                  <w:shd w:val="clear" w:color="auto" w:fill="FFFFFF"/>
                  <w:tcMar>
                    <w:top w:w="60" w:type="dxa"/>
                    <w:left w:w="120" w:type="dxa"/>
                    <w:bottom w:w="30" w:type="dxa"/>
                    <w:right w:w="120" w:type="dxa"/>
                  </w:tcMar>
                  <w:vAlign w:val="center"/>
                </w:tcPr>
                <w:p w14:paraId="76A755AA">
                  <w:pPr>
                    <w:spacing w:before="120" w:after="120" w:line="288" w:lineRule="auto"/>
                    <w:ind w:left="0" w:leftChars="0" w:firstLine="0" w:firstLineChars="0"/>
                    <w:jc w:val="center"/>
                    <w:rPr>
                      <w:rFonts w:ascii="Times New Roman" w:hAnsi="Times New Roman" w:eastAsia="宋体"/>
                      <w:b w:val="0"/>
                      <w:bCs/>
                      <w:color w:val="000000" w:themeColor="text1"/>
                      <w:sz w:val="21"/>
                      <w:szCs w:val="21"/>
                      <w14:textFill>
                        <w14:solidFill>
                          <w14:schemeClr w14:val="tx1"/>
                        </w14:solidFill>
                      </w14:textFill>
                    </w:rPr>
                  </w:pPr>
                  <w:r>
                    <w:rPr>
                      <w:rFonts w:ascii="Times New Roman" w:hAnsi="Times New Roman" w:eastAsia="宋体" w:cs="Arial"/>
                      <w:b w:val="0"/>
                      <w:bCs/>
                      <w:color w:val="000000" w:themeColor="text1"/>
                      <w:sz w:val="21"/>
                      <w:szCs w:val="21"/>
                      <w14:textFill>
                        <w14:solidFill>
                          <w14:schemeClr w14:val="tx1"/>
                        </w14:solidFill>
                      </w14:textFill>
                    </w:rPr>
                    <w:t>类别</w:t>
                  </w:r>
                </w:p>
              </w:tc>
              <w:tc>
                <w:tcPr>
                  <w:tcW w:w="1742" w:type="pct"/>
                  <w:tcBorders>
                    <w:top w:val="single" w:color="000000" w:sz="12" w:space="0"/>
                  </w:tcBorders>
                  <w:shd w:val="clear" w:color="auto" w:fill="FFFFFF"/>
                  <w:tcMar>
                    <w:top w:w="60" w:type="dxa"/>
                    <w:left w:w="120" w:type="dxa"/>
                    <w:bottom w:w="30" w:type="dxa"/>
                    <w:right w:w="120" w:type="dxa"/>
                  </w:tcMar>
                  <w:vAlign w:val="center"/>
                </w:tcPr>
                <w:p w14:paraId="48AC9E9A">
                  <w:pPr>
                    <w:spacing w:before="120" w:after="120" w:line="288" w:lineRule="auto"/>
                    <w:ind w:left="0" w:leftChars="0" w:firstLine="0" w:firstLineChars="0"/>
                    <w:jc w:val="center"/>
                    <w:rPr>
                      <w:rFonts w:ascii="Times New Roman" w:hAnsi="Times New Roman" w:eastAsia="宋体"/>
                      <w:b w:val="0"/>
                      <w:bCs/>
                      <w:color w:val="000000" w:themeColor="text1"/>
                      <w:sz w:val="21"/>
                      <w:szCs w:val="21"/>
                      <w14:textFill>
                        <w14:solidFill>
                          <w14:schemeClr w14:val="tx1"/>
                        </w14:solidFill>
                      </w14:textFill>
                    </w:rPr>
                  </w:pPr>
                  <w:r>
                    <w:rPr>
                      <w:rFonts w:ascii="Times New Roman" w:hAnsi="Times New Roman" w:eastAsia="宋体" w:cs="Arial"/>
                      <w:b w:val="0"/>
                      <w:bCs/>
                      <w:color w:val="000000" w:themeColor="text1"/>
                      <w:sz w:val="21"/>
                      <w:szCs w:val="21"/>
                      <w14:textFill>
                        <w14:solidFill>
                          <w14:schemeClr w14:val="tx1"/>
                        </w14:solidFill>
                      </w14:textFill>
                    </w:rPr>
                    <w:t>污染物名称</w:t>
                  </w:r>
                </w:p>
              </w:tc>
              <w:tc>
                <w:tcPr>
                  <w:tcW w:w="1250" w:type="pct"/>
                  <w:tcBorders>
                    <w:top w:val="single" w:color="000000" w:sz="12" w:space="0"/>
                  </w:tcBorders>
                  <w:shd w:val="clear" w:color="auto" w:fill="FFFFFF"/>
                  <w:tcMar>
                    <w:top w:w="60" w:type="dxa"/>
                    <w:left w:w="120" w:type="dxa"/>
                    <w:bottom w:w="30" w:type="dxa"/>
                    <w:right w:w="120" w:type="dxa"/>
                  </w:tcMar>
                  <w:vAlign w:val="center"/>
                </w:tcPr>
                <w:p w14:paraId="179F8151">
                  <w:pPr>
                    <w:spacing w:before="120" w:after="120" w:line="288" w:lineRule="auto"/>
                    <w:ind w:left="0"/>
                    <w:jc w:val="center"/>
                    <w:rPr>
                      <w:rFonts w:ascii="Times New Roman" w:hAnsi="Times New Roman" w:eastAsia="宋体"/>
                      <w:b w:val="0"/>
                      <w:bCs/>
                      <w:color w:val="000000" w:themeColor="text1"/>
                      <w:sz w:val="21"/>
                      <w:szCs w:val="21"/>
                      <w14:textFill>
                        <w14:solidFill>
                          <w14:schemeClr w14:val="tx1"/>
                        </w14:solidFill>
                      </w14:textFill>
                    </w:rPr>
                  </w:pPr>
                  <w:r>
                    <w:rPr>
                      <w:rFonts w:ascii="Times New Roman" w:hAnsi="Times New Roman" w:eastAsia="宋体" w:cs="Arial"/>
                      <w:b w:val="0"/>
                      <w:bCs/>
                      <w:color w:val="000000" w:themeColor="text1"/>
                      <w:sz w:val="21"/>
                      <w:szCs w:val="21"/>
                      <w14:textFill>
                        <w14:solidFill>
                          <w14:schemeClr w14:val="tx1"/>
                        </w14:solidFill>
                      </w14:textFill>
                    </w:rPr>
                    <w:t>产污工序</w:t>
                  </w:r>
                </w:p>
              </w:tc>
              <w:tc>
                <w:tcPr>
                  <w:tcW w:w="1252" w:type="pct"/>
                  <w:tcBorders>
                    <w:top w:val="single" w:color="000000" w:sz="12" w:space="0"/>
                    <w:right w:val="nil"/>
                  </w:tcBorders>
                  <w:shd w:val="clear" w:color="auto" w:fill="FFFFFF"/>
                  <w:tcMar>
                    <w:top w:w="60" w:type="dxa"/>
                    <w:left w:w="120" w:type="dxa"/>
                    <w:bottom w:w="30" w:type="dxa"/>
                    <w:right w:w="120" w:type="dxa"/>
                  </w:tcMar>
                  <w:vAlign w:val="center"/>
                </w:tcPr>
                <w:p w14:paraId="6AE05321">
                  <w:pPr>
                    <w:spacing w:before="120" w:after="120" w:line="288" w:lineRule="auto"/>
                    <w:ind w:left="0"/>
                    <w:jc w:val="center"/>
                    <w:rPr>
                      <w:rFonts w:ascii="Times New Roman" w:hAnsi="Times New Roman" w:eastAsia="宋体"/>
                      <w:b w:val="0"/>
                      <w:bCs/>
                      <w:color w:val="000000" w:themeColor="text1"/>
                      <w:sz w:val="21"/>
                      <w:szCs w:val="21"/>
                      <w14:textFill>
                        <w14:solidFill>
                          <w14:schemeClr w14:val="tx1"/>
                        </w14:solidFill>
                      </w14:textFill>
                    </w:rPr>
                  </w:pPr>
                  <w:r>
                    <w:rPr>
                      <w:rFonts w:ascii="Times New Roman" w:hAnsi="Times New Roman" w:eastAsia="宋体" w:cs="Arial"/>
                      <w:b w:val="0"/>
                      <w:bCs/>
                      <w:color w:val="000000" w:themeColor="text1"/>
                      <w:sz w:val="21"/>
                      <w:szCs w:val="21"/>
                      <w14:textFill>
                        <w14:solidFill>
                          <w14:schemeClr w14:val="tx1"/>
                        </w14:solidFill>
                      </w14:textFill>
                    </w:rPr>
                    <w:t>主要污染物</w:t>
                  </w:r>
                </w:p>
              </w:tc>
            </w:tr>
            <w:tr w14:paraId="7BFF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restart"/>
                  <w:tcBorders>
                    <w:left w:val="nil"/>
                  </w:tcBorders>
                  <w:shd w:val="clear" w:color="auto" w:fill="FFFFFF"/>
                  <w:tcMar>
                    <w:top w:w="60" w:type="dxa"/>
                    <w:left w:w="120" w:type="dxa"/>
                    <w:bottom w:w="30" w:type="dxa"/>
                    <w:right w:w="120" w:type="dxa"/>
                  </w:tcMar>
                  <w:vAlign w:val="center"/>
                </w:tcPr>
                <w:p w14:paraId="15B9324B">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废水</w:t>
                  </w:r>
                </w:p>
              </w:tc>
              <w:tc>
                <w:tcPr>
                  <w:tcW w:w="1742" w:type="pct"/>
                  <w:shd w:val="clear" w:color="auto" w:fill="FFFFFF"/>
                  <w:tcMar>
                    <w:top w:w="60" w:type="dxa"/>
                    <w:left w:w="120" w:type="dxa"/>
                    <w:bottom w:w="30" w:type="dxa"/>
                    <w:right w:w="120" w:type="dxa"/>
                  </w:tcMar>
                  <w:vAlign w:val="center"/>
                </w:tcPr>
                <w:p w14:paraId="73C93334">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生活污水</w:t>
                  </w:r>
                </w:p>
              </w:tc>
              <w:tc>
                <w:tcPr>
                  <w:tcW w:w="1250" w:type="pct"/>
                  <w:shd w:val="clear" w:color="auto" w:fill="FFFFFF"/>
                  <w:tcMar>
                    <w:top w:w="60" w:type="dxa"/>
                    <w:left w:w="120" w:type="dxa"/>
                    <w:bottom w:w="30" w:type="dxa"/>
                    <w:right w:w="120" w:type="dxa"/>
                  </w:tcMar>
                  <w:vAlign w:val="center"/>
                </w:tcPr>
                <w:p w14:paraId="29C1FCE3">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工作人员日常办公、生活</w:t>
                  </w:r>
                </w:p>
              </w:tc>
              <w:tc>
                <w:tcPr>
                  <w:tcW w:w="1252" w:type="pct"/>
                  <w:tcBorders>
                    <w:right w:val="nil"/>
                  </w:tcBorders>
                  <w:shd w:val="clear" w:color="auto" w:fill="FFFFFF"/>
                  <w:tcMar>
                    <w:top w:w="60" w:type="dxa"/>
                    <w:left w:w="120" w:type="dxa"/>
                    <w:bottom w:w="30" w:type="dxa"/>
                    <w:right w:w="120" w:type="dxa"/>
                  </w:tcMar>
                  <w:vAlign w:val="center"/>
                </w:tcPr>
                <w:p w14:paraId="1667D53E">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pH值、COD、BOD</w:t>
                  </w:r>
                  <w:r>
                    <w:rPr>
                      <w:rFonts w:ascii="Times New Roman" w:hAnsi="Times New Roman" w:eastAsia="宋体" w:cs="Arial"/>
                      <w:b w:val="0"/>
                      <w:color w:val="000000" w:themeColor="text1"/>
                      <w:sz w:val="21"/>
                      <w:szCs w:val="21"/>
                      <w:vertAlign w:val="subscript"/>
                      <w14:textFill>
                        <w14:solidFill>
                          <w14:schemeClr w14:val="tx1"/>
                        </w14:solidFill>
                      </w14:textFill>
                    </w:rPr>
                    <w:t>5</w:t>
                  </w:r>
                  <w:r>
                    <w:rPr>
                      <w:rFonts w:ascii="Times New Roman" w:hAnsi="Times New Roman" w:eastAsia="宋体" w:cs="Arial"/>
                      <w:b w:val="0"/>
                      <w:color w:val="000000" w:themeColor="text1"/>
                      <w:sz w:val="21"/>
                      <w:szCs w:val="21"/>
                      <w14:textFill>
                        <w14:solidFill>
                          <w14:schemeClr w14:val="tx1"/>
                        </w14:solidFill>
                      </w14:textFill>
                    </w:rPr>
                    <w:t>、SS、NH</w:t>
                  </w:r>
                  <w:r>
                    <w:rPr>
                      <w:rFonts w:ascii="Times New Roman" w:hAnsi="Times New Roman" w:eastAsia="宋体" w:cs="Arial"/>
                      <w:b w:val="0"/>
                      <w:color w:val="000000" w:themeColor="text1"/>
                      <w:sz w:val="21"/>
                      <w:szCs w:val="21"/>
                      <w:vertAlign w:val="subscript"/>
                      <w14:textFill>
                        <w14:solidFill>
                          <w14:schemeClr w14:val="tx1"/>
                        </w14:solidFill>
                      </w14:textFill>
                    </w:rPr>
                    <w:t>3</w:t>
                  </w:r>
                  <w:r>
                    <w:rPr>
                      <w:rFonts w:ascii="Times New Roman" w:hAnsi="Times New Roman" w:eastAsia="宋体" w:cs="Arial"/>
                      <w:b w:val="0"/>
                      <w:color w:val="000000" w:themeColor="text1"/>
                      <w:sz w:val="21"/>
                      <w:szCs w:val="21"/>
                      <w14:textFill>
                        <w14:solidFill>
                          <w14:schemeClr w14:val="tx1"/>
                        </w14:solidFill>
                      </w14:textFill>
                    </w:rPr>
                    <w:t>-N、总磷</w:t>
                  </w:r>
                </w:p>
              </w:tc>
            </w:tr>
            <w:tr w14:paraId="4C62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continue"/>
                  <w:tcBorders>
                    <w:left w:val="nil"/>
                  </w:tcBorders>
                  <w:shd w:val="clear" w:color="auto" w:fill="FFFFFF"/>
                  <w:tcMar>
                    <w:top w:w="60" w:type="dxa"/>
                    <w:left w:w="120" w:type="dxa"/>
                    <w:bottom w:w="30" w:type="dxa"/>
                    <w:right w:w="120" w:type="dxa"/>
                  </w:tcMar>
                  <w:vAlign w:val="center"/>
                </w:tcPr>
                <w:p w14:paraId="1C00289B">
                  <w:pPr>
                    <w:spacing w:before="120" w:after="120" w:line="288" w:lineRule="auto"/>
                    <w:ind w:left="0" w:leftChars="0" w:firstLine="0" w:firstLineChars="0"/>
                    <w:jc w:val="center"/>
                    <w:rPr>
                      <w:rFonts w:ascii="Times New Roman" w:hAnsi="Times New Roman" w:eastAsia="宋体" w:cs="Arial"/>
                      <w:b w:val="0"/>
                      <w:color w:val="000000" w:themeColor="text1"/>
                      <w:sz w:val="21"/>
                      <w:szCs w:val="21"/>
                      <w14:textFill>
                        <w14:solidFill>
                          <w14:schemeClr w14:val="tx1"/>
                        </w14:solidFill>
                      </w14:textFill>
                    </w:rPr>
                  </w:pPr>
                </w:p>
              </w:tc>
              <w:tc>
                <w:tcPr>
                  <w:tcW w:w="1742" w:type="pct"/>
                  <w:shd w:val="clear" w:color="auto" w:fill="FFFFFF"/>
                  <w:tcMar>
                    <w:top w:w="60" w:type="dxa"/>
                    <w:left w:w="120" w:type="dxa"/>
                    <w:bottom w:w="30" w:type="dxa"/>
                    <w:right w:w="120" w:type="dxa"/>
                  </w:tcMar>
                  <w:vAlign w:val="center"/>
                </w:tcPr>
                <w:p w14:paraId="2AA76101">
                  <w:pPr>
                    <w:spacing w:before="120" w:after="120" w:line="288" w:lineRule="auto"/>
                    <w:ind w:left="0" w:leftChars="0" w:firstLine="0" w:firstLineChars="0"/>
                    <w:jc w:val="center"/>
                    <w:rPr>
                      <w:rFonts w:hint="default" w:ascii="Times New Roman" w:hAnsi="Times New Roman" w:eastAsia="宋体" w:cs="Arial"/>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生产废水</w:t>
                  </w:r>
                </w:p>
              </w:tc>
              <w:tc>
                <w:tcPr>
                  <w:tcW w:w="1250" w:type="pct"/>
                  <w:shd w:val="clear" w:color="auto" w:fill="FFFFFF"/>
                  <w:tcMar>
                    <w:top w:w="60" w:type="dxa"/>
                    <w:left w:w="120" w:type="dxa"/>
                    <w:bottom w:w="30" w:type="dxa"/>
                    <w:right w:w="120" w:type="dxa"/>
                  </w:tcMar>
                  <w:vAlign w:val="center"/>
                </w:tcPr>
                <w:p w14:paraId="7A3D7A47">
                  <w:pPr>
                    <w:spacing w:before="120" w:after="120" w:line="288" w:lineRule="auto"/>
                    <w:ind w:left="0" w:leftChars="0" w:firstLine="0" w:firstLineChars="0"/>
                    <w:jc w:val="center"/>
                    <w:rPr>
                      <w:rFonts w:hint="default" w:ascii="Times New Roman" w:hAnsi="Times New Roman" w:eastAsia="宋体" w:cs="Arial"/>
                      <w:b w:val="0"/>
                      <w:color w:val="000000" w:themeColor="text1"/>
                      <w:sz w:val="21"/>
                      <w:szCs w:val="21"/>
                      <w:lang w:val="en-US" w:eastAsia="zh-CN"/>
                      <w14:textFill>
                        <w14:solidFill>
                          <w14:schemeClr w14:val="tx1"/>
                        </w14:solidFill>
                      </w14:textFill>
                    </w:rPr>
                  </w:pPr>
                  <w:r>
                    <w:rPr>
                      <w:rFonts w:hint="eastAsia" w:ascii="Times New Roman" w:hAnsi="Times New Roman" w:eastAsia="宋体" w:cs="Arial"/>
                      <w:b w:val="0"/>
                      <w:color w:val="000000" w:themeColor="text1"/>
                      <w:sz w:val="21"/>
                      <w:szCs w:val="21"/>
                      <w:lang w:val="en-US" w:eastAsia="zh-CN"/>
                      <w14:textFill>
                        <w14:solidFill>
                          <w14:schemeClr w14:val="tx1"/>
                        </w14:solidFill>
                      </w14:textFill>
                    </w:rPr>
                    <w:t>地面</w:t>
                  </w:r>
                  <w:r>
                    <w:rPr>
                      <w:rFonts w:hint="eastAsia" w:cs="Arial"/>
                      <w:b w:val="0"/>
                      <w:color w:val="000000" w:themeColor="text1"/>
                      <w:sz w:val="21"/>
                      <w:szCs w:val="21"/>
                      <w:lang w:val="en-US" w:eastAsia="zh-CN"/>
                      <w14:textFill>
                        <w14:solidFill>
                          <w14:schemeClr w14:val="tx1"/>
                        </w14:solidFill>
                      </w14:textFill>
                    </w:rPr>
                    <w:t>（车辆）</w:t>
                  </w:r>
                  <w:r>
                    <w:rPr>
                      <w:rFonts w:hint="eastAsia" w:ascii="Times New Roman" w:hAnsi="Times New Roman" w:eastAsia="宋体" w:cs="Arial"/>
                      <w:b w:val="0"/>
                      <w:color w:val="000000" w:themeColor="text1"/>
                      <w:sz w:val="21"/>
                      <w:szCs w:val="21"/>
                      <w:lang w:val="en-US" w:eastAsia="zh-CN"/>
                      <w14:textFill>
                        <w14:solidFill>
                          <w14:schemeClr w14:val="tx1"/>
                        </w14:solidFill>
                      </w14:textFill>
                    </w:rPr>
                    <w:t>冲洗</w:t>
                  </w:r>
                  <w:r>
                    <w:rPr>
                      <w:rFonts w:hint="eastAsia" w:cs="Arial"/>
                      <w:b w:val="0"/>
                      <w:color w:val="000000" w:themeColor="text1"/>
                      <w:sz w:val="21"/>
                      <w:szCs w:val="21"/>
                      <w:lang w:val="en-US" w:eastAsia="zh-CN"/>
                      <w14:textFill>
                        <w14:solidFill>
                          <w14:schemeClr w14:val="tx1"/>
                        </w14:solidFill>
                      </w14:textFill>
                    </w:rPr>
                    <w:t>、洗砂以及降尘</w:t>
                  </w:r>
                </w:p>
              </w:tc>
              <w:tc>
                <w:tcPr>
                  <w:tcW w:w="1252" w:type="pct"/>
                  <w:tcBorders>
                    <w:right w:val="nil"/>
                  </w:tcBorders>
                  <w:shd w:val="clear" w:color="auto" w:fill="FFFFFF"/>
                  <w:tcMar>
                    <w:top w:w="60" w:type="dxa"/>
                    <w:left w:w="120" w:type="dxa"/>
                    <w:bottom w:w="30" w:type="dxa"/>
                    <w:right w:w="120" w:type="dxa"/>
                  </w:tcMar>
                  <w:vAlign w:val="center"/>
                </w:tcPr>
                <w:p w14:paraId="019385E2">
                  <w:pPr>
                    <w:spacing w:before="120" w:after="120" w:line="288" w:lineRule="auto"/>
                    <w:ind w:left="0" w:leftChars="0" w:firstLine="0" w:firstLineChars="0"/>
                    <w:jc w:val="center"/>
                    <w:rPr>
                      <w:rFonts w:hint="default" w:ascii="Times New Roman" w:hAnsi="Times New Roman" w:eastAsia="宋体" w:cs="Arial"/>
                      <w:b w:val="0"/>
                      <w:color w:val="000000" w:themeColor="text1"/>
                      <w:sz w:val="21"/>
                      <w:szCs w:val="21"/>
                      <w:lang w:val="en-US" w:eastAsia="zh-CN"/>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SS</w:t>
                  </w:r>
                </w:p>
              </w:tc>
            </w:tr>
            <w:tr w14:paraId="4C58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restart"/>
                  <w:tcBorders>
                    <w:left w:val="nil"/>
                  </w:tcBorders>
                  <w:shd w:val="clear" w:color="auto" w:fill="FFFFFF"/>
                  <w:tcMar>
                    <w:top w:w="60" w:type="dxa"/>
                    <w:left w:w="120" w:type="dxa"/>
                    <w:bottom w:w="30" w:type="dxa"/>
                    <w:right w:w="120" w:type="dxa"/>
                  </w:tcMar>
                  <w:vAlign w:val="center"/>
                </w:tcPr>
                <w:p w14:paraId="0D96EDA3">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废气</w:t>
                  </w:r>
                </w:p>
              </w:tc>
              <w:tc>
                <w:tcPr>
                  <w:tcW w:w="1742" w:type="pct"/>
                  <w:shd w:val="clear" w:color="auto" w:fill="FFFFFF"/>
                  <w:tcMar>
                    <w:top w:w="60" w:type="dxa"/>
                    <w:left w:w="120" w:type="dxa"/>
                    <w:bottom w:w="30" w:type="dxa"/>
                    <w:right w:w="120" w:type="dxa"/>
                  </w:tcMar>
                  <w:vAlign w:val="center"/>
                </w:tcPr>
                <w:p w14:paraId="5F0C2DAC">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卸料废气</w:t>
                  </w:r>
                  <w:r>
                    <w:rPr>
                      <w:rFonts w:hint="eastAsia" w:cs="Arial"/>
                      <w:b w:val="0"/>
                      <w:color w:val="000000" w:themeColor="text1"/>
                      <w:sz w:val="21"/>
                      <w:szCs w:val="21"/>
                      <w:lang w:val="en-US" w:eastAsia="zh-CN"/>
                      <w14:textFill>
                        <w14:solidFill>
                          <w14:schemeClr w14:val="tx1"/>
                        </w14:solidFill>
                      </w14:textFill>
                    </w:rPr>
                    <w:t>及上料废气</w:t>
                  </w:r>
                </w:p>
              </w:tc>
              <w:tc>
                <w:tcPr>
                  <w:tcW w:w="1250" w:type="pct"/>
                  <w:shd w:val="clear" w:color="auto" w:fill="FFFFFF"/>
                  <w:tcMar>
                    <w:top w:w="60" w:type="dxa"/>
                    <w:left w:w="120" w:type="dxa"/>
                    <w:bottom w:w="30" w:type="dxa"/>
                    <w:right w:w="120" w:type="dxa"/>
                  </w:tcMar>
                  <w:vAlign w:val="center"/>
                </w:tcPr>
                <w:p w14:paraId="2568D98B">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原料卸车</w:t>
                  </w:r>
                </w:p>
              </w:tc>
              <w:tc>
                <w:tcPr>
                  <w:tcW w:w="1252" w:type="pct"/>
                  <w:tcBorders>
                    <w:right w:val="nil"/>
                  </w:tcBorders>
                  <w:shd w:val="clear" w:color="auto" w:fill="FFFFFF"/>
                  <w:tcMar>
                    <w:top w:w="60" w:type="dxa"/>
                    <w:left w:w="120" w:type="dxa"/>
                    <w:bottom w:w="30" w:type="dxa"/>
                    <w:right w:w="120" w:type="dxa"/>
                  </w:tcMar>
                  <w:vAlign w:val="center"/>
                </w:tcPr>
                <w:p w14:paraId="7B8DAB95">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颗粒物</w:t>
                  </w:r>
                </w:p>
              </w:tc>
            </w:tr>
            <w:tr w14:paraId="2211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continue"/>
                  <w:tcBorders>
                    <w:left w:val="nil"/>
                  </w:tcBorders>
                  <w:shd w:val="clear" w:color="auto" w:fill="FFFFFF"/>
                  <w:tcMar>
                    <w:top w:w="60" w:type="dxa"/>
                    <w:left w:w="120" w:type="dxa"/>
                    <w:bottom w:w="30" w:type="dxa"/>
                    <w:right w:w="120" w:type="dxa"/>
                  </w:tcMar>
                  <w:vAlign w:val="center"/>
                </w:tcPr>
                <w:p w14:paraId="221697E6">
                  <w:pPr>
                    <w:spacing w:before="120" w:after="120" w:line="288" w:lineRule="auto"/>
                    <w:ind w:left="0"/>
                    <w:jc w:val="center"/>
                    <w:rPr>
                      <w:rFonts w:ascii="Times New Roman" w:hAnsi="Times New Roman" w:eastAsia="宋体"/>
                      <w:b w:val="0"/>
                      <w:color w:val="000000" w:themeColor="text1"/>
                      <w:sz w:val="21"/>
                      <w:szCs w:val="21"/>
                      <w14:textFill>
                        <w14:solidFill>
                          <w14:schemeClr w14:val="tx1"/>
                        </w14:solidFill>
                      </w14:textFill>
                    </w:rPr>
                  </w:pPr>
                </w:p>
              </w:tc>
              <w:tc>
                <w:tcPr>
                  <w:tcW w:w="1742" w:type="pct"/>
                  <w:shd w:val="clear" w:color="auto" w:fill="FFFFFF"/>
                  <w:tcMar>
                    <w:top w:w="60" w:type="dxa"/>
                    <w:left w:w="120" w:type="dxa"/>
                    <w:bottom w:w="30" w:type="dxa"/>
                    <w:right w:w="120" w:type="dxa"/>
                  </w:tcMar>
                  <w:vAlign w:val="center"/>
                </w:tcPr>
                <w:p w14:paraId="0159B0D8">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振动筛分</w:t>
                  </w:r>
                  <w:r>
                    <w:rPr>
                      <w:rFonts w:ascii="Times New Roman" w:hAnsi="Times New Roman" w:eastAsia="宋体" w:cs="Arial"/>
                      <w:b w:val="0"/>
                      <w:color w:val="000000" w:themeColor="text1"/>
                      <w:sz w:val="21"/>
                      <w:szCs w:val="21"/>
                      <w14:textFill>
                        <w14:solidFill>
                          <w14:schemeClr w14:val="tx1"/>
                        </w14:solidFill>
                      </w14:textFill>
                    </w:rPr>
                    <w:t>废气</w:t>
                  </w:r>
                </w:p>
              </w:tc>
              <w:tc>
                <w:tcPr>
                  <w:tcW w:w="1250" w:type="pct"/>
                  <w:shd w:val="clear" w:color="auto" w:fill="FFFFFF"/>
                  <w:tcMar>
                    <w:top w:w="60" w:type="dxa"/>
                    <w:left w:w="120" w:type="dxa"/>
                    <w:bottom w:w="30" w:type="dxa"/>
                    <w:right w:w="120" w:type="dxa"/>
                  </w:tcMar>
                  <w:vAlign w:val="center"/>
                </w:tcPr>
                <w:p w14:paraId="59BF987A">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振动筛分工序</w:t>
                  </w:r>
                </w:p>
              </w:tc>
              <w:tc>
                <w:tcPr>
                  <w:tcW w:w="1252" w:type="pct"/>
                  <w:tcBorders>
                    <w:right w:val="nil"/>
                  </w:tcBorders>
                  <w:shd w:val="clear" w:color="auto" w:fill="FFFFFF"/>
                  <w:tcMar>
                    <w:top w:w="60" w:type="dxa"/>
                    <w:left w:w="120" w:type="dxa"/>
                    <w:bottom w:w="30" w:type="dxa"/>
                    <w:right w:w="120" w:type="dxa"/>
                  </w:tcMar>
                  <w:vAlign w:val="center"/>
                </w:tcPr>
                <w:p w14:paraId="35DE2E65">
                  <w:pPr>
                    <w:spacing w:before="120" w:after="120" w:line="288" w:lineRule="auto"/>
                    <w:ind w:left="0" w:leftChars="0" w:firstLine="0" w:firstLineChars="0"/>
                    <w:jc w:val="center"/>
                    <w:rPr>
                      <w:rFonts w:hint="eastAsia" w:ascii="Times New Roman" w:hAnsi="Times New Roman" w:eastAsia="宋体"/>
                      <w:b w:val="0"/>
                      <w:color w:val="000000" w:themeColor="text1"/>
                      <w:sz w:val="21"/>
                      <w:szCs w:val="21"/>
                      <w:lang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颗粒物</w:t>
                  </w:r>
                </w:p>
              </w:tc>
            </w:tr>
            <w:tr w14:paraId="5143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continue"/>
                  <w:tcBorders>
                    <w:left w:val="nil"/>
                  </w:tcBorders>
                  <w:shd w:val="clear" w:color="auto" w:fill="FFFFFF"/>
                  <w:tcMar>
                    <w:top w:w="60" w:type="dxa"/>
                    <w:left w:w="120" w:type="dxa"/>
                    <w:bottom w:w="30" w:type="dxa"/>
                    <w:right w:w="120" w:type="dxa"/>
                  </w:tcMar>
                  <w:vAlign w:val="center"/>
                </w:tcPr>
                <w:p w14:paraId="2CD68B09">
                  <w:pPr>
                    <w:spacing w:before="120" w:after="120" w:line="288" w:lineRule="auto"/>
                    <w:ind w:left="0"/>
                    <w:jc w:val="center"/>
                    <w:rPr>
                      <w:rFonts w:ascii="Times New Roman" w:hAnsi="Times New Roman" w:eastAsia="宋体"/>
                      <w:b w:val="0"/>
                      <w:color w:val="000000" w:themeColor="text1"/>
                      <w:sz w:val="21"/>
                      <w:szCs w:val="21"/>
                      <w14:textFill>
                        <w14:solidFill>
                          <w14:schemeClr w14:val="tx1"/>
                        </w14:solidFill>
                      </w14:textFill>
                    </w:rPr>
                  </w:pPr>
                </w:p>
              </w:tc>
              <w:tc>
                <w:tcPr>
                  <w:tcW w:w="1742" w:type="pct"/>
                  <w:shd w:val="clear" w:color="auto" w:fill="FFFFFF"/>
                  <w:tcMar>
                    <w:top w:w="60" w:type="dxa"/>
                    <w:left w:w="120" w:type="dxa"/>
                    <w:bottom w:w="30" w:type="dxa"/>
                    <w:right w:w="120" w:type="dxa"/>
                  </w:tcMar>
                  <w:vAlign w:val="center"/>
                </w:tcPr>
                <w:p w14:paraId="7D4E643A">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车辆尾气</w:t>
                  </w:r>
                </w:p>
              </w:tc>
              <w:tc>
                <w:tcPr>
                  <w:tcW w:w="1250" w:type="pct"/>
                  <w:shd w:val="clear" w:color="auto" w:fill="FFFFFF"/>
                  <w:tcMar>
                    <w:top w:w="60" w:type="dxa"/>
                    <w:left w:w="120" w:type="dxa"/>
                    <w:bottom w:w="30" w:type="dxa"/>
                    <w:right w:w="120" w:type="dxa"/>
                  </w:tcMar>
                  <w:vAlign w:val="center"/>
                </w:tcPr>
                <w:p w14:paraId="2C168BC2">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车辆运输以及装卸车</w:t>
                  </w:r>
                </w:p>
              </w:tc>
              <w:tc>
                <w:tcPr>
                  <w:tcW w:w="1252" w:type="pct"/>
                  <w:tcBorders>
                    <w:right w:val="nil"/>
                  </w:tcBorders>
                  <w:shd w:val="clear" w:color="auto" w:fill="FFFFFF"/>
                  <w:tcMar>
                    <w:top w:w="60" w:type="dxa"/>
                    <w:left w:w="120" w:type="dxa"/>
                    <w:bottom w:w="30" w:type="dxa"/>
                    <w:right w:w="120" w:type="dxa"/>
                  </w:tcMar>
                  <w:vAlign w:val="center"/>
                </w:tcPr>
                <w:p w14:paraId="7AA98469">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hint="default" w:ascii="Times New Roman" w:hAnsi="Times New Roman" w:eastAsia="宋体" w:cs="Arial"/>
                      <w:b w:val="0"/>
                      <w:color w:val="000000" w:themeColor="text1"/>
                      <w:sz w:val="21"/>
                      <w:szCs w:val="21"/>
                      <w14:textFill>
                        <w14:solidFill>
                          <w14:schemeClr w14:val="tx1"/>
                        </w14:solidFill>
                      </w14:textFill>
                    </w:rPr>
                    <w:t>CO、NOx、THC等</w:t>
                  </w:r>
                </w:p>
              </w:tc>
            </w:tr>
            <w:tr w14:paraId="6036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continue"/>
                  <w:tcBorders>
                    <w:left w:val="nil"/>
                  </w:tcBorders>
                  <w:shd w:val="clear" w:color="auto" w:fill="FFFFFF"/>
                  <w:tcMar>
                    <w:top w:w="60" w:type="dxa"/>
                    <w:left w:w="120" w:type="dxa"/>
                    <w:bottom w:w="30" w:type="dxa"/>
                    <w:right w:w="120" w:type="dxa"/>
                  </w:tcMar>
                  <w:vAlign w:val="center"/>
                </w:tcPr>
                <w:p w14:paraId="6CFCBDDC">
                  <w:pPr>
                    <w:spacing w:before="120" w:after="120" w:line="288" w:lineRule="auto"/>
                    <w:ind w:left="0"/>
                    <w:jc w:val="center"/>
                    <w:rPr>
                      <w:rFonts w:ascii="Times New Roman" w:hAnsi="Times New Roman" w:eastAsia="宋体"/>
                      <w:b w:val="0"/>
                      <w:color w:val="000000" w:themeColor="text1"/>
                      <w:sz w:val="21"/>
                      <w:szCs w:val="21"/>
                      <w14:textFill>
                        <w14:solidFill>
                          <w14:schemeClr w14:val="tx1"/>
                        </w14:solidFill>
                      </w14:textFill>
                    </w:rPr>
                  </w:pPr>
                </w:p>
              </w:tc>
              <w:tc>
                <w:tcPr>
                  <w:tcW w:w="1742" w:type="pct"/>
                  <w:shd w:val="clear" w:color="auto" w:fill="FFFFFF"/>
                  <w:tcMar>
                    <w:top w:w="60" w:type="dxa"/>
                    <w:left w:w="120" w:type="dxa"/>
                    <w:bottom w:w="30" w:type="dxa"/>
                    <w:right w:w="120" w:type="dxa"/>
                  </w:tcMar>
                  <w:vAlign w:val="center"/>
                </w:tcPr>
                <w:p w14:paraId="27186D81">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堆场粉尘</w:t>
                  </w:r>
                </w:p>
              </w:tc>
              <w:tc>
                <w:tcPr>
                  <w:tcW w:w="1250" w:type="pct"/>
                  <w:shd w:val="clear" w:color="auto" w:fill="FFFFFF"/>
                  <w:tcMar>
                    <w:top w:w="60" w:type="dxa"/>
                    <w:left w:w="120" w:type="dxa"/>
                    <w:bottom w:w="30" w:type="dxa"/>
                    <w:right w:w="120" w:type="dxa"/>
                  </w:tcMar>
                  <w:vAlign w:val="center"/>
                </w:tcPr>
                <w:p w14:paraId="68CEF792">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原料以及产品堆场</w:t>
                  </w:r>
                </w:p>
              </w:tc>
              <w:tc>
                <w:tcPr>
                  <w:tcW w:w="1252" w:type="pct"/>
                  <w:tcBorders>
                    <w:right w:val="nil"/>
                  </w:tcBorders>
                  <w:shd w:val="clear" w:color="auto" w:fill="FFFFFF"/>
                  <w:tcMar>
                    <w:top w:w="60" w:type="dxa"/>
                    <w:left w:w="120" w:type="dxa"/>
                    <w:bottom w:w="30" w:type="dxa"/>
                    <w:right w:w="120" w:type="dxa"/>
                  </w:tcMar>
                  <w:vAlign w:val="center"/>
                </w:tcPr>
                <w:p w14:paraId="3BD458AD">
                  <w:pPr>
                    <w:spacing w:before="120" w:after="120" w:line="288" w:lineRule="auto"/>
                    <w:ind w:left="0" w:leftChars="0" w:firstLine="0" w:firstLineChars="0"/>
                    <w:jc w:val="center"/>
                    <w:rPr>
                      <w:rFonts w:hint="eastAsia" w:ascii="Times New Roman" w:hAnsi="Times New Roman" w:eastAsia="宋体"/>
                      <w:b w:val="0"/>
                      <w:color w:val="000000" w:themeColor="text1"/>
                      <w:sz w:val="21"/>
                      <w:szCs w:val="21"/>
                      <w:lang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颗粒物</w:t>
                  </w:r>
                </w:p>
              </w:tc>
            </w:tr>
            <w:tr w14:paraId="03CE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continue"/>
                  <w:tcBorders>
                    <w:left w:val="nil"/>
                  </w:tcBorders>
                  <w:shd w:val="clear" w:color="auto" w:fill="FFFFFF"/>
                  <w:tcMar>
                    <w:top w:w="60" w:type="dxa"/>
                    <w:left w:w="120" w:type="dxa"/>
                    <w:bottom w:w="30" w:type="dxa"/>
                    <w:right w:w="120" w:type="dxa"/>
                  </w:tcMar>
                  <w:vAlign w:val="center"/>
                </w:tcPr>
                <w:p w14:paraId="54935DAE">
                  <w:pPr>
                    <w:spacing w:before="120" w:after="120" w:line="288" w:lineRule="auto"/>
                    <w:ind w:left="0"/>
                    <w:jc w:val="center"/>
                    <w:rPr>
                      <w:rFonts w:ascii="Times New Roman" w:hAnsi="Times New Roman" w:eastAsia="宋体"/>
                      <w:b w:val="0"/>
                      <w:color w:val="000000" w:themeColor="text1"/>
                      <w:sz w:val="21"/>
                      <w:szCs w:val="21"/>
                      <w14:textFill>
                        <w14:solidFill>
                          <w14:schemeClr w14:val="tx1"/>
                        </w14:solidFill>
                      </w14:textFill>
                    </w:rPr>
                  </w:pPr>
                </w:p>
              </w:tc>
              <w:tc>
                <w:tcPr>
                  <w:tcW w:w="1742" w:type="pct"/>
                  <w:shd w:val="clear" w:color="auto" w:fill="FFFFFF"/>
                  <w:tcMar>
                    <w:top w:w="60" w:type="dxa"/>
                    <w:left w:w="120" w:type="dxa"/>
                    <w:bottom w:w="30" w:type="dxa"/>
                    <w:right w:w="120" w:type="dxa"/>
                  </w:tcMar>
                  <w:vAlign w:val="center"/>
                </w:tcPr>
                <w:p w14:paraId="7568635D">
                  <w:pPr>
                    <w:spacing w:before="120" w:after="120" w:line="288" w:lineRule="auto"/>
                    <w:ind w:left="0" w:leftChars="0" w:firstLine="0" w:firstLineChars="0"/>
                    <w:jc w:val="center"/>
                    <w:rPr>
                      <w:rFonts w:hint="default" w:cs="Arial"/>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物料转移及输送粉尘</w:t>
                  </w:r>
                </w:p>
              </w:tc>
              <w:tc>
                <w:tcPr>
                  <w:tcW w:w="1250" w:type="pct"/>
                  <w:shd w:val="clear" w:color="auto" w:fill="FFFFFF"/>
                  <w:tcMar>
                    <w:top w:w="60" w:type="dxa"/>
                    <w:left w:w="120" w:type="dxa"/>
                    <w:bottom w:w="30" w:type="dxa"/>
                    <w:right w:w="120" w:type="dxa"/>
                  </w:tcMar>
                  <w:vAlign w:val="center"/>
                </w:tcPr>
                <w:p w14:paraId="20A76602">
                  <w:pPr>
                    <w:spacing w:before="120" w:after="120" w:line="288" w:lineRule="auto"/>
                    <w:ind w:left="0" w:leftChars="0" w:firstLine="0" w:firstLineChars="0"/>
                    <w:jc w:val="center"/>
                    <w:rPr>
                      <w:rFonts w:hint="eastAsia" w:cs="Arial"/>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物料转移及输送</w:t>
                  </w:r>
                </w:p>
              </w:tc>
              <w:tc>
                <w:tcPr>
                  <w:tcW w:w="1252" w:type="pct"/>
                  <w:tcBorders>
                    <w:right w:val="nil"/>
                  </w:tcBorders>
                  <w:shd w:val="clear" w:color="auto" w:fill="FFFFFF"/>
                  <w:tcMar>
                    <w:top w:w="60" w:type="dxa"/>
                    <w:left w:w="120" w:type="dxa"/>
                    <w:bottom w:w="30" w:type="dxa"/>
                    <w:right w:w="120" w:type="dxa"/>
                  </w:tcMar>
                  <w:vAlign w:val="center"/>
                </w:tcPr>
                <w:p w14:paraId="384074F9">
                  <w:pPr>
                    <w:spacing w:before="120" w:after="120" w:line="288" w:lineRule="auto"/>
                    <w:ind w:left="0" w:leftChars="0" w:firstLine="0" w:firstLineChars="0"/>
                    <w:jc w:val="center"/>
                    <w:rPr>
                      <w:rFonts w:hint="eastAsia" w:cs="Arial"/>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颗粒物</w:t>
                  </w:r>
                </w:p>
              </w:tc>
            </w:tr>
            <w:tr w14:paraId="555E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tcBorders>
                    <w:left w:val="nil"/>
                  </w:tcBorders>
                  <w:shd w:val="clear" w:color="auto" w:fill="FFFFFF"/>
                  <w:tcMar>
                    <w:top w:w="60" w:type="dxa"/>
                    <w:left w:w="120" w:type="dxa"/>
                    <w:bottom w:w="30" w:type="dxa"/>
                    <w:right w:w="120" w:type="dxa"/>
                  </w:tcMar>
                  <w:vAlign w:val="center"/>
                </w:tcPr>
                <w:p w14:paraId="6086CD8D">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噪声</w:t>
                  </w:r>
                </w:p>
              </w:tc>
              <w:tc>
                <w:tcPr>
                  <w:tcW w:w="1742" w:type="pct"/>
                  <w:shd w:val="clear" w:color="auto" w:fill="FFFFFF"/>
                  <w:tcMar>
                    <w:top w:w="60" w:type="dxa"/>
                    <w:left w:w="120" w:type="dxa"/>
                    <w:bottom w:w="30" w:type="dxa"/>
                    <w:right w:w="120" w:type="dxa"/>
                  </w:tcMar>
                  <w:vAlign w:val="center"/>
                </w:tcPr>
                <w:p w14:paraId="7AB6DB76">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设备噪声</w:t>
                  </w:r>
                </w:p>
              </w:tc>
              <w:tc>
                <w:tcPr>
                  <w:tcW w:w="1250" w:type="pct"/>
                  <w:shd w:val="clear" w:color="auto" w:fill="FFFFFF"/>
                  <w:tcMar>
                    <w:top w:w="60" w:type="dxa"/>
                    <w:left w:w="120" w:type="dxa"/>
                    <w:bottom w:w="30" w:type="dxa"/>
                    <w:right w:w="120" w:type="dxa"/>
                  </w:tcMar>
                  <w:vAlign w:val="center"/>
                </w:tcPr>
                <w:p w14:paraId="3B322CCF">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cs="Arial"/>
                      <w:b w:val="0"/>
                      <w:color w:val="000000" w:themeColor="text1"/>
                      <w:sz w:val="21"/>
                      <w:szCs w:val="21"/>
                      <w:lang w:val="en-US" w:eastAsia="zh-CN"/>
                      <w14:textFill>
                        <w14:solidFill>
                          <w14:schemeClr w14:val="tx1"/>
                        </w14:solidFill>
                      </w14:textFill>
                    </w:rPr>
                    <w:t>各运输设施以及运行生产设备</w:t>
                  </w:r>
                </w:p>
              </w:tc>
              <w:tc>
                <w:tcPr>
                  <w:tcW w:w="1252" w:type="pct"/>
                  <w:tcBorders>
                    <w:right w:val="nil"/>
                  </w:tcBorders>
                  <w:shd w:val="clear" w:color="auto" w:fill="FFFFFF"/>
                  <w:tcMar>
                    <w:top w:w="60" w:type="dxa"/>
                    <w:left w:w="120" w:type="dxa"/>
                    <w:bottom w:w="30" w:type="dxa"/>
                    <w:right w:w="120" w:type="dxa"/>
                  </w:tcMar>
                  <w:vAlign w:val="center"/>
                </w:tcPr>
                <w:p w14:paraId="4DBCA436">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Leq(A)</w:t>
                  </w:r>
                </w:p>
              </w:tc>
            </w:tr>
            <w:tr w14:paraId="1A2B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restart"/>
                  <w:tcBorders>
                    <w:left w:val="nil"/>
                  </w:tcBorders>
                  <w:shd w:val="clear" w:color="auto" w:fill="FFFFFF"/>
                  <w:tcMar>
                    <w:top w:w="60" w:type="dxa"/>
                    <w:left w:w="120" w:type="dxa"/>
                    <w:bottom w:w="30" w:type="dxa"/>
                    <w:right w:w="120" w:type="dxa"/>
                  </w:tcMar>
                  <w:vAlign w:val="center"/>
                </w:tcPr>
                <w:p w14:paraId="76B112F8">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固废</w:t>
                  </w:r>
                </w:p>
              </w:tc>
              <w:tc>
                <w:tcPr>
                  <w:tcW w:w="1742" w:type="pct"/>
                  <w:shd w:val="clear" w:color="auto" w:fill="FFFFFF"/>
                  <w:tcMar>
                    <w:top w:w="60" w:type="dxa"/>
                    <w:left w:w="120" w:type="dxa"/>
                    <w:bottom w:w="30" w:type="dxa"/>
                    <w:right w:w="120" w:type="dxa"/>
                  </w:tcMar>
                  <w:vAlign w:val="center"/>
                </w:tcPr>
                <w:p w14:paraId="1CA9A69A">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生活垃圾</w:t>
                  </w:r>
                </w:p>
              </w:tc>
              <w:tc>
                <w:tcPr>
                  <w:tcW w:w="1250" w:type="pct"/>
                  <w:shd w:val="clear" w:color="auto" w:fill="FFFFFF"/>
                  <w:tcMar>
                    <w:top w:w="60" w:type="dxa"/>
                    <w:left w:w="120" w:type="dxa"/>
                    <w:bottom w:w="30" w:type="dxa"/>
                    <w:right w:w="120" w:type="dxa"/>
                  </w:tcMar>
                  <w:vAlign w:val="center"/>
                </w:tcPr>
                <w:p w14:paraId="445596E0">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工作人员日常办公、生活</w:t>
                  </w:r>
                </w:p>
              </w:tc>
              <w:tc>
                <w:tcPr>
                  <w:tcW w:w="1252" w:type="pct"/>
                  <w:tcBorders>
                    <w:right w:val="nil"/>
                  </w:tcBorders>
                  <w:shd w:val="clear" w:color="auto" w:fill="FFFFFF"/>
                  <w:tcMar>
                    <w:top w:w="60" w:type="dxa"/>
                    <w:left w:w="120" w:type="dxa"/>
                    <w:bottom w:w="30" w:type="dxa"/>
                    <w:right w:w="120" w:type="dxa"/>
                  </w:tcMar>
                  <w:vAlign w:val="center"/>
                </w:tcPr>
                <w:p w14:paraId="11C79777">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生活垃圾</w:t>
                  </w:r>
                </w:p>
              </w:tc>
            </w:tr>
            <w:tr w14:paraId="22B8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continue"/>
                  <w:tcBorders>
                    <w:left w:val="nil"/>
                  </w:tcBorders>
                  <w:shd w:val="clear" w:color="auto" w:fill="FFFFFF"/>
                  <w:tcMar>
                    <w:top w:w="60" w:type="dxa"/>
                    <w:left w:w="120" w:type="dxa"/>
                    <w:bottom w:w="30" w:type="dxa"/>
                    <w:right w:w="120" w:type="dxa"/>
                  </w:tcMar>
                  <w:vAlign w:val="center"/>
                </w:tcPr>
                <w:p w14:paraId="4428E57A">
                  <w:pPr>
                    <w:spacing w:before="120" w:after="120" w:line="288" w:lineRule="auto"/>
                    <w:ind w:left="0"/>
                    <w:jc w:val="center"/>
                    <w:rPr>
                      <w:rFonts w:ascii="Times New Roman" w:hAnsi="Times New Roman" w:eastAsia="宋体"/>
                      <w:b w:val="0"/>
                      <w:color w:val="000000" w:themeColor="text1"/>
                      <w:sz w:val="21"/>
                      <w:szCs w:val="21"/>
                      <w14:textFill>
                        <w14:solidFill>
                          <w14:schemeClr w14:val="tx1"/>
                        </w14:solidFill>
                      </w14:textFill>
                    </w:rPr>
                  </w:pPr>
                </w:p>
              </w:tc>
              <w:tc>
                <w:tcPr>
                  <w:tcW w:w="1742" w:type="pct"/>
                  <w:shd w:val="clear" w:color="auto" w:fill="FFFFFF"/>
                  <w:tcMar>
                    <w:top w:w="60" w:type="dxa"/>
                    <w:left w:w="120" w:type="dxa"/>
                    <w:bottom w:w="30" w:type="dxa"/>
                    <w:right w:w="120" w:type="dxa"/>
                  </w:tcMar>
                  <w:vAlign w:val="center"/>
                </w:tcPr>
                <w:p w14:paraId="61AA6AEE">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一般工业固体废物</w:t>
                  </w:r>
                </w:p>
              </w:tc>
              <w:tc>
                <w:tcPr>
                  <w:tcW w:w="1250" w:type="pct"/>
                  <w:shd w:val="clear" w:color="auto" w:fill="FFFFFF"/>
                  <w:tcMar>
                    <w:top w:w="60" w:type="dxa"/>
                    <w:left w:w="120" w:type="dxa"/>
                    <w:bottom w:w="30" w:type="dxa"/>
                    <w:right w:w="120" w:type="dxa"/>
                  </w:tcMar>
                  <w:vAlign w:val="center"/>
                </w:tcPr>
                <w:p w14:paraId="2BF28098">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物料遮盖、布袋除尘、压滤</w:t>
                  </w:r>
                </w:p>
              </w:tc>
              <w:tc>
                <w:tcPr>
                  <w:tcW w:w="1252" w:type="pct"/>
                  <w:tcBorders>
                    <w:right w:val="nil"/>
                  </w:tcBorders>
                  <w:shd w:val="clear" w:color="auto" w:fill="FFFFFF"/>
                  <w:tcMar>
                    <w:top w:w="60" w:type="dxa"/>
                    <w:left w:w="120" w:type="dxa"/>
                    <w:bottom w:w="30" w:type="dxa"/>
                    <w:right w:w="120" w:type="dxa"/>
                  </w:tcMar>
                  <w:vAlign w:val="center"/>
                </w:tcPr>
                <w:p w14:paraId="4A7A530C">
                  <w:pPr>
                    <w:spacing w:before="120" w:after="120" w:line="288" w:lineRule="auto"/>
                    <w:ind w:left="0" w:leftChars="0" w:firstLine="0" w:firstLineChars="0"/>
                    <w:jc w:val="center"/>
                    <w:rPr>
                      <w:rFonts w:hint="default" w:ascii="Times New Roman" w:hAnsi="Times New Roman" w:eastAsia="宋体"/>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防风抑尘网、泥饼、收集粉尘、废布袋</w:t>
                  </w:r>
                </w:p>
              </w:tc>
            </w:tr>
            <w:tr w14:paraId="0122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3" w:type="pct"/>
                  <w:vMerge w:val="continue"/>
                  <w:tcBorders>
                    <w:left w:val="nil"/>
                    <w:bottom w:val="single" w:color="000000" w:sz="12" w:space="0"/>
                  </w:tcBorders>
                  <w:shd w:val="clear" w:color="auto" w:fill="FFFFFF"/>
                  <w:tcMar>
                    <w:top w:w="60" w:type="dxa"/>
                    <w:left w:w="120" w:type="dxa"/>
                    <w:bottom w:w="30" w:type="dxa"/>
                    <w:right w:w="120" w:type="dxa"/>
                  </w:tcMar>
                  <w:vAlign w:val="center"/>
                </w:tcPr>
                <w:p w14:paraId="18F1908D">
                  <w:pPr>
                    <w:spacing w:before="120" w:after="120" w:line="288" w:lineRule="auto"/>
                    <w:ind w:left="0"/>
                    <w:jc w:val="center"/>
                    <w:rPr>
                      <w:rFonts w:ascii="Times New Roman" w:hAnsi="Times New Roman" w:eastAsia="宋体"/>
                      <w:b w:val="0"/>
                      <w:color w:val="000000" w:themeColor="text1"/>
                      <w:sz w:val="21"/>
                      <w:szCs w:val="21"/>
                      <w14:textFill>
                        <w14:solidFill>
                          <w14:schemeClr w14:val="tx1"/>
                        </w14:solidFill>
                      </w14:textFill>
                    </w:rPr>
                  </w:pPr>
                </w:p>
              </w:tc>
              <w:tc>
                <w:tcPr>
                  <w:tcW w:w="1742" w:type="pct"/>
                  <w:tcBorders>
                    <w:bottom w:val="single" w:color="000000" w:sz="12" w:space="0"/>
                  </w:tcBorders>
                  <w:shd w:val="clear" w:color="auto" w:fill="FFFFFF"/>
                  <w:tcMar>
                    <w:top w:w="60" w:type="dxa"/>
                    <w:left w:w="120" w:type="dxa"/>
                    <w:bottom w:w="30" w:type="dxa"/>
                    <w:right w:w="120" w:type="dxa"/>
                  </w:tcMar>
                  <w:vAlign w:val="center"/>
                </w:tcPr>
                <w:p w14:paraId="0CB37CA6">
                  <w:pPr>
                    <w:spacing w:before="120" w:after="120" w:line="288" w:lineRule="auto"/>
                    <w:ind w:left="0" w:leftChars="0" w:firstLine="0" w:firstLineChars="0"/>
                    <w:jc w:val="center"/>
                    <w:rPr>
                      <w:rFonts w:ascii="Times New Roman" w:hAnsi="Times New Roman" w:eastAsia="宋体" w:cs="Arial"/>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危险废物</w:t>
                  </w:r>
                </w:p>
              </w:tc>
              <w:tc>
                <w:tcPr>
                  <w:tcW w:w="1250" w:type="pct"/>
                  <w:tcBorders>
                    <w:bottom w:val="single" w:color="000000" w:sz="12" w:space="0"/>
                  </w:tcBorders>
                  <w:shd w:val="clear" w:color="auto" w:fill="FFFFFF"/>
                  <w:tcMar>
                    <w:top w:w="60" w:type="dxa"/>
                    <w:left w:w="120" w:type="dxa"/>
                    <w:bottom w:w="30" w:type="dxa"/>
                    <w:right w:w="120" w:type="dxa"/>
                  </w:tcMar>
                  <w:vAlign w:val="center"/>
                </w:tcPr>
                <w:p w14:paraId="3844AF4A">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设备检修维护</w:t>
                  </w:r>
                </w:p>
              </w:tc>
              <w:tc>
                <w:tcPr>
                  <w:tcW w:w="1252" w:type="pct"/>
                  <w:tcBorders>
                    <w:bottom w:val="single" w:color="000000" w:sz="12" w:space="0"/>
                    <w:right w:val="nil"/>
                  </w:tcBorders>
                  <w:shd w:val="clear" w:color="auto" w:fill="FFFFFF"/>
                  <w:tcMar>
                    <w:top w:w="60" w:type="dxa"/>
                    <w:left w:w="120" w:type="dxa"/>
                    <w:bottom w:w="30" w:type="dxa"/>
                    <w:right w:w="120" w:type="dxa"/>
                  </w:tcMar>
                  <w:vAlign w:val="center"/>
                </w:tcPr>
                <w:p w14:paraId="7C4CC132">
                  <w:pPr>
                    <w:spacing w:before="120" w:after="120" w:line="288" w:lineRule="auto"/>
                    <w:ind w:left="0" w:leftChars="0" w:firstLine="0" w:firstLineChars="0"/>
                    <w:jc w:val="center"/>
                    <w:rPr>
                      <w:rFonts w:ascii="Times New Roman" w:hAnsi="Times New Roman" w:eastAsia="宋体"/>
                      <w:b w:val="0"/>
                      <w:color w:val="000000" w:themeColor="text1"/>
                      <w:sz w:val="21"/>
                      <w:szCs w:val="21"/>
                      <w14:textFill>
                        <w14:solidFill>
                          <w14:schemeClr w14:val="tx1"/>
                        </w14:solidFill>
                      </w14:textFill>
                    </w:rPr>
                  </w:pPr>
                  <w:r>
                    <w:rPr>
                      <w:rFonts w:ascii="Times New Roman" w:hAnsi="Times New Roman" w:eastAsia="宋体" w:cs="Arial"/>
                      <w:b w:val="0"/>
                      <w:color w:val="000000" w:themeColor="text1"/>
                      <w:sz w:val="21"/>
                      <w:szCs w:val="21"/>
                      <w14:textFill>
                        <w14:solidFill>
                          <w14:schemeClr w14:val="tx1"/>
                        </w14:solidFill>
                      </w14:textFill>
                    </w:rPr>
                    <w:t>废润滑油、润滑油废包装桶</w:t>
                  </w:r>
                </w:p>
              </w:tc>
            </w:tr>
          </w:tbl>
          <w:p w14:paraId="3F90D9D8">
            <w:pPr>
              <w:keepNext w:val="0"/>
              <w:keepLines w:val="0"/>
              <w:pageBreakBefore w:val="0"/>
              <w:widowControl w:val="0"/>
              <w:kinsoku/>
              <w:wordWrap/>
              <w:overflowPunct/>
              <w:topLinePunct w:val="0"/>
              <w:bidi w:val="0"/>
              <w:adjustRightInd w:val="0"/>
              <w:snapToGrid w:val="0"/>
              <w:ind w:firstLine="0" w:firstLineChars="0"/>
              <w:textAlignment w:val="auto"/>
              <w:rPr>
                <w:rFonts w:ascii="宋体" w:hAnsi="宋体"/>
                <w:bCs/>
                <w:color w:val="000000" w:themeColor="text1"/>
                <w:szCs w:val="21"/>
                <w14:textFill>
                  <w14:solidFill>
                    <w14:schemeClr w14:val="tx1"/>
                  </w14:solidFill>
                </w14:textFill>
              </w:rPr>
            </w:pPr>
          </w:p>
        </w:tc>
      </w:tr>
      <w:tr w14:paraId="0EF7B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6" w:type="dxa"/>
            <w:tcBorders>
              <w:tl2br w:val="nil"/>
              <w:tr2bl w:val="nil"/>
            </w:tcBorders>
            <w:vAlign w:val="center"/>
          </w:tcPr>
          <w:p w14:paraId="3ED22F01">
            <w:pPr>
              <w:pStyle w:val="37"/>
              <w:keepNext w:val="0"/>
              <w:keepLines w:val="0"/>
              <w:pageBreakBefore w:val="0"/>
              <w:widowControl w:val="0"/>
              <w:kinsoku/>
              <w:wordWrap/>
              <w:overflowPunct/>
              <w:topLinePunct w:val="0"/>
              <w:bidi w:val="0"/>
              <w:adjustRightInd w:val="0"/>
              <w:snapToGrid w:val="0"/>
              <w:spacing w:before="0" w:beforeAutospacing="0" w:after="0" w:afterAutospacing="0"/>
              <w:ind w:firstLine="0" w:firstLineChars="0"/>
              <w:jc w:val="both"/>
              <w:textAlignment w:val="auto"/>
              <w:rPr>
                <w:b/>
                <w:bCs/>
                <w:color w:val="000000" w:themeColor="text1"/>
                <w14:textFill>
                  <w14:solidFill>
                    <w14:schemeClr w14:val="tx1"/>
                  </w14:solidFill>
                </w14:textFill>
              </w:rPr>
            </w:pPr>
            <w:r>
              <w:rPr>
                <w:rFonts w:hint="eastAsia" w:cs="宋体"/>
                <w:b/>
                <w:color w:val="000000" w:themeColor="text1"/>
                <w:kern w:val="2"/>
                <w:sz w:val="21"/>
                <w:szCs w:val="21"/>
                <w14:textFill>
                  <w14:solidFill>
                    <w14:schemeClr w14:val="tx1"/>
                  </w14:solidFill>
                </w14:textFill>
              </w:rPr>
              <w:t>与</w:t>
            </w:r>
            <w:r>
              <w:rPr>
                <w:rFonts w:hint="eastAsia"/>
                <w:b/>
                <w:bCs/>
                <w:color w:val="000000" w:themeColor="text1"/>
                <w14:textFill>
                  <w14:solidFill>
                    <w14:schemeClr w14:val="tx1"/>
                  </w14:solidFill>
                </w14:textFill>
              </w:rPr>
              <w:t>项目有关的原有环境污染问题</w:t>
            </w:r>
          </w:p>
        </w:tc>
        <w:tc>
          <w:tcPr>
            <w:tcW w:w="8493" w:type="dxa"/>
            <w:tcBorders>
              <w:tl2br w:val="nil"/>
              <w:tr2bl w:val="nil"/>
            </w:tcBorders>
            <w:vAlign w:val="top"/>
          </w:tcPr>
          <w:p w14:paraId="39B7735B">
            <w:pPr>
              <w:keepNext w:val="0"/>
              <w:keepLines w:val="0"/>
              <w:pageBreakBefore w:val="0"/>
              <w:widowControl w:val="0"/>
              <w:kinsoku/>
              <w:wordWrap/>
              <w:overflowPunct/>
              <w:topLinePunct w:val="0"/>
              <w:autoSpaceDE/>
              <w:autoSpaceDN/>
              <w:bidi w:val="0"/>
              <w:adjustRightInd w:val="0"/>
              <w:snapToGrid w:val="0"/>
              <w:ind w:left="0" w:leftChars="0" w:firstLine="480" w:firstLineChars="200"/>
              <w:jc w:val="left"/>
              <w:textAlignment w:val="auto"/>
              <w:rPr>
                <w:rFonts w:hint="eastAsia" w:cs="宋体"/>
                <w:color w:val="000000" w:themeColor="text1"/>
                <w:sz w:val="24"/>
                <w:szCs w:val="24"/>
                <w:lang w:val="en-US" w:eastAsia="zh-CN"/>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1.现有项目工程概况</w:t>
            </w:r>
          </w:p>
          <w:p w14:paraId="0C60B213">
            <w:pPr>
              <w:keepNext w:val="0"/>
              <w:keepLines w:val="0"/>
              <w:pageBreakBefore w:val="0"/>
              <w:widowControl w:val="0"/>
              <w:kinsoku/>
              <w:wordWrap/>
              <w:overflowPunct/>
              <w:topLinePunct w:val="0"/>
              <w:autoSpaceDE/>
              <w:autoSpaceDN/>
              <w:bidi w:val="0"/>
              <w:adjustRightInd w:val="0"/>
              <w:snapToGrid w:val="0"/>
              <w:ind w:left="0" w:leftChars="0" w:firstLine="480" w:firstLineChars="200"/>
              <w:jc w:val="left"/>
              <w:textAlignment w:val="auto"/>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新疆森淼建筑工程有限公司建筑垃圾和砂厂固废加工项目坐落于昌吉市三工镇常胜四队99号，中心坐标87°11′52.59″E、43°59′17.51″，租赁闲置厂房建设，设计及实际加工规模为年处理建筑垃圾、砂厂固废8万吨。</w:t>
            </w:r>
          </w:p>
          <w:p w14:paraId="269F683A">
            <w:pPr>
              <w:keepNext w:val="0"/>
              <w:keepLines w:val="0"/>
              <w:pageBreakBefore w:val="0"/>
              <w:widowControl w:val="0"/>
              <w:numPr>
                <w:ilvl w:val="0"/>
                <w:numId w:val="7"/>
              </w:numPr>
              <w:kinsoku/>
              <w:wordWrap/>
              <w:overflowPunct/>
              <w:topLinePunct w:val="0"/>
              <w:autoSpaceDE/>
              <w:autoSpaceDN/>
              <w:bidi w:val="0"/>
              <w:adjustRightInd w:val="0"/>
              <w:snapToGrid w:val="0"/>
              <w:jc w:val="left"/>
              <w:textAlignment w:val="auto"/>
              <w:rPr>
                <w:rFonts w:hint="eastAsia" w:cs="宋体"/>
                <w:color w:val="000000" w:themeColor="text1"/>
                <w:sz w:val="24"/>
                <w:szCs w:val="24"/>
                <w:lang w:val="en-US" w:eastAsia="zh-CN"/>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现有项目生产工艺</w:t>
            </w:r>
          </w:p>
          <w:p w14:paraId="622F825D">
            <w:pPr>
              <w:keepNext w:val="0"/>
              <w:keepLines w:val="0"/>
              <w:pageBreakBefore w:val="0"/>
              <w:widowControl w:val="0"/>
              <w:numPr>
                <w:ilvl w:val="0"/>
                <w:numId w:val="0"/>
              </w:numPr>
              <w:kinsoku/>
              <w:wordWrap/>
              <w:overflowPunct/>
              <w:topLinePunct w:val="0"/>
              <w:autoSpaceDE/>
              <w:autoSpaceDN/>
              <w:bidi w:val="0"/>
              <w:adjustRightInd w:val="0"/>
              <w:snapToGrid w:val="0"/>
              <w:ind w:leftChars="200"/>
              <w:jc w:val="center"/>
              <w:textAlignment w:val="auto"/>
              <w:rPr>
                <w:rFonts w:hint="eastAsia" w:eastAsia="宋体"/>
                <w:bCs/>
                <w:color w:val="000000" w:themeColor="text1"/>
                <w:kern w:val="2"/>
                <w:lang w:eastAsia="zh-CN"/>
                <w14:textFill>
                  <w14:solidFill>
                    <w14:schemeClr w14:val="tx1"/>
                  </w14:solidFill>
                </w14:textFill>
              </w:rPr>
            </w:pPr>
            <w:r>
              <w:rPr>
                <w:rFonts w:hint="eastAsia" w:eastAsia="宋体"/>
                <w:bCs/>
                <w:color w:val="000000" w:themeColor="text1"/>
                <w:kern w:val="2"/>
                <w:lang w:eastAsia="zh-CN"/>
                <w14:textFill>
                  <w14:solidFill>
                    <w14:schemeClr w14:val="tx1"/>
                  </w14:solidFill>
                </w14:textFill>
              </w:rPr>
              <w:drawing>
                <wp:inline distT="0" distB="0" distL="114300" distR="114300">
                  <wp:extent cx="3216275" cy="2580005"/>
                  <wp:effectExtent l="0" t="0" r="3175" b="1270"/>
                  <wp:docPr id="4" name="图片 8" descr="工艺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descr="工艺流程图"/>
                          <pic:cNvPicPr>
                            <a:picLocks noChangeAspect="1"/>
                          </pic:cNvPicPr>
                        </pic:nvPicPr>
                        <pic:blipFill>
                          <a:blip r:embed="rId13"/>
                          <a:stretch>
                            <a:fillRect/>
                          </a:stretch>
                        </pic:blipFill>
                        <pic:spPr>
                          <a:xfrm>
                            <a:off x="0" y="0"/>
                            <a:ext cx="3216275" cy="2580005"/>
                          </a:xfrm>
                          <a:prstGeom prst="rect">
                            <a:avLst/>
                          </a:prstGeom>
                          <a:noFill/>
                          <a:ln>
                            <a:noFill/>
                          </a:ln>
                        </pic:spPr>
                      </pic:pic>
                    </a:graphicData>
                  </a:graphic>
                </wp:inline>
              </w:drawing>
            </w:r>
          </w:p>
          <w:p w14:paraId="56CAA69C">
            <w:pPr>
              <w:keepNext w:val="0"/>
              <w:keepLines w:val="0"/>
              <w:pageBreakBefore w:val="0"/>
              <w:widowControl w:val="0"/>
              <w:tabs>
                <w:tab w:val="left" w:pos="2235"/>
              </w:tabs>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eastAsia="宋体"/>
                <w:b/>
                <w:bCs/>
                <w:color w:val="000000" w:themeColor="text1"/>
                <w:spacing w:val="0"/>
                <w:sz w:val="21"/>
                <w:szCs w:val="21"/>
                <w:highlight w:val="none"/>
                <w:lang w:val="en-US" w:eastAsia="zh-CN"/>
                <w14:textFill>
                  <w14:solidFill>
                    <w14:schemeClr w14:val="tx1"/>
                  </w14:solidFill>
                </w14:textFill>
              </w:rPr>
            </w:pPr>
            <w:r>
              <w:rPr>
                <w:rFonts w:hint="eastAsia" w:eastAsia="宋体"/>
                <w:b/>
                <w:bCs/>
                <w:color w:val="000000" w:themeColor="text1"/>
                <w:spacing w:val="0"/>
                <w:sz w:val="21"/>
                <w:szCs w:val="21"/>
                <w:highlight w:val="none"/>
                <w:lang w:val="en-US" w:eastAsia="zh-CN"/>
                <w14:textFill>
                  <w14:solidFill>
                    <w14:schemeClr w14:val="tx1"/>
                  </w14:solidFill>
                </w14:textFill>
              </w:rPr>
              <w:t>图2-4   现有项目生产工艺流程</w:t>
            </w:r>
          </w:p>
          <w:p w14:paraId="0FA27952">
            <w:pPr>
              <w:keepNext w:val="0"/>
              <w:keepLines w:val="0"/>
              <w:pageBreakBefore w:val="0"/>
              <w:widowControl w:val="0"/>
              <w:kinsoku/>
              <w:wordWrap/>
              <w:overflowPunct/>
              <w:topLinePunct w:val="0"/>
              <w:autoSpaceDE/>
              <w:autoSpaceDN/>
              <w:bidi w:val="0"/>
              <w:adjustRightInd w:val="0"/>
              <w:snapToGrid w:val="0"/>
              <w:ind w:left="0" w:leftChars="0" w:firstLine="480" w:firstLineChars="200"/>
              <w:jc w:val="left"/>
              <w:textAlignment w:val="auto"/>
              <w:rPr>
                <w:rFonts w:hint="default" w:ascii="Times New Roman" w:hAnsi="Times New Roman" w:eastAsia="宋体" w:cs="宋体"/>
                <w:color w:val="000000" w:themeColor="text1"/>
                <w:sz w:val="24"/>
                <w:szCs w:val="24"/>
                <w:lang w:val="en-US" w:eastAsia="zh-CN"/>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工艺流程描述：</w:t>
            </w:r>
          </w:p>
          <w:p w14:paraId="61454E14">
            <w:pPr>
              <w:keepNext w:val="0"/>
              <w:keepLines w:val="0"/>
              <w:widowControl/>
              <w:suppressLineNumbers w:val="0"/>
              <w:spacing w:line="360" w:lineRule="auto"/>
              <w:ind w:firstLine="480" w:firstLineChars="200"/>
              <w:jc w:val="left"/>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宋体"/>
                <w:bCs/>
                <w:color w:val="000000" w:themeColor="text1"/>
                <w:kern w:val="2"/>
                <w:sz w:val="24"/>
                <w:szCs w:val="21"/>
                <w:lang w:val="en-US" w:eastAsia="zh-CN" w:bidi="ar-SA"/>
                <w14:textFill>
                  <w14:solidFill>
                    <w14:schemeClr w14:val="tx1"/>
                  </w14:solidFill>
                </w14:textFill>
              </w:rPr>
              <w:t>1</w:t>
            </w: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）卸料</w:t>
            </w:r>
          </w:p>
          <w:p w14:paraId="5004F9BA">
            <w:pPr>
              <w:keepNext w:val="0"/>
              <w:keepLines w:val="0"/>
              <w:widowControl/>
              <w:suppressLineNumbers w:val="0"/>
              <w:spacing w:line="360" w:lineRule="auto"/>
              <w:ind w:firstLine="480" w:firstLineChars="200"/>
              <w:jc w:val="left"/>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本项目生产加工原料为建筑垃圾和砂厂废石，采用运载车运至项目厂区内，运载车</w:t>
            </w:r>
            <w:r>
              <w:rPr>
                <w:rFonts w:hint="eastAsia" w:cs="宋体"/>
                <w:bCs/>
                <w:color w:val="000000" w:themeColor="text1"/>
                <w:kern w:val="2"/>
                <w:sz w:val="24"/>
                <w:szCs w:val="21"/>
                <w:lang w:val="en-US" w:eastAsia="zh-CN" w:bidi="ar-SA"/>
                <w14:textFill>
                  <w14:solidFill>
                    <w14:schemeClr w14:val="tx1"/>
                  </w14:solidFill>
                </w14:textFill>
              </w:rPr>
              <w:t>做</w:t>
            </w: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遮蔽处理。来料不进行清洗，运载车将来料运输至厂内后直接倒进料斗，通过料斗下方的出料口落入皮带输送机，通过皮带输送进入下一道工序。</w:t>
            </w:r>
          </w:p>
          <w:p w14:paraId="777ED821">
            <w:pPr>
              <w:keepNext w:val="0"/>
              <w:keepLines w:val="0"/>
              <w:widowControl/>
              <w:suppressLineNumbers w:val="0"/>
              <w:spacing w:line="360" w:lineRule="auto"/>
              <w:ind w:firstLine="480" w:firstLineChars="200"/>
              <w:jc w:val="left"/>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w:t>
            </w:r>
            <w:r>
              <w:rPr>
                <w:rFonts w:hint="default" w:ascii="Times New Roman" w:hAnsi="Times New Roman" w:eastAsia="宋体" w:cs="宋体"/>
                <w:bCs/>
                <w:color w:val="000000" w:themeColor="text1"/>
                <w:kern w:val="2"/>
                <w:sz w:val="24"/>
                <w:szCs w:val="21"/>
                <w:lang w:val="en-US" w:eastAsia="zh-CN" w:bidi="ar-SA"/>
                <w14:textFill>
                  <w14:solidFill>
                    <w14:schemeClr w14:val="tx1"/>
                  </w14:solidFill>
                </w14:textFill>
              </w:rPr>
              <w:t>2</w:t>
            </w: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）人工初选和除铁</w:t>
            </w:r>
          </w:p>
          <w:p w14:paraId="22ECF4A5">
            <w:pPr>
              <w:keepNext w:val="0"/>
              <w:keepLines w:val="0"/>
              <w:widowControl/>
              <w:suppressLineNumbers w:val="0"/>
              <w:spacing w:line="360" w:lineRule="auto"/>
              <w:ind w:firstLine="480" w:firstLineChars="200"/>
              <w:jc w:val="left"/>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建筑废弃物经人工分拣选出钢筋等固废后，</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在</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输送带</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上安装</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磁选除铁器除去原料中的铁</w:t>
            </w:r>
            <w:r>
              <w:rPr>
                <w:rFonts w:hint="eastAsia" w:cs="Times New Roman"/>
                <w:color w:val="000000" w:themeColor="text1"/>
                <w:kern w:val="0"/>
                <w:sz w:val="24"/>
                <w:szCs w:val="24"/>
                <w:lang w:val="en-US" w:eastAsia="zh-CN" w:bidi="ar"/>
                <w14:textFill>
                  <w14:solidFill>
                    <w14:schemeClr w14:val="tx1"/>
                  </w14:solidFill>
                </w14:textFill>
              </w:rPr>
              <w:t>。</w:t>
            </w:r>
          </w:p>
          <w:p w14:paraId="634D9AD2">
            <w:pPr>
              <w:keepNext w:val="0"/>
              <w:keepLines w:val="0"/>
              <w:widowControl/>
              <w:suppressLineNumbers w:val="0"/>
              <w:spacing w:line="360" w:lineRule="auto"/>
              <w:ind w:firstLine="480" w:firstLineChars="200"/>
              <w:jc w:val="left"/>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（3）破碎</w:t>
            </w:r>
          </w:p>
          <w:p w14:paraId="2F205488">
            <w:pPr>
              <w:keepNext w:val="0"/>
              <w:keepLines w:val="0"/>
              <w:widowControl/>
              <w:suppressLineNumbers w:val="0"/>
              <w:spacing w:line="360" w:lineRule="auto"/>
              <w:ind w:firstLine="480" w:firstLineChars="200"/>
              <w:jc w:val="left"/>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石块通过给料机落入密闭的破碎机进行破碎，部分原料粗破碎后通过皮带输送进入修行机进行第二次破碎。为防止扬尘和设备发热，采用湿式破碎</w:t>
            </w:r>
            <w:r>
              <w:rPr>
                <w:rFonts w:hint="eastAsia" w:cs="宋体"/>
                <w:bCs/>
                <w:color w:val="000000" w:themeColor="text1"/>
                <w:kern w:val="2"/>
                <w:sz w:val="24"/>
                <w:szCs w:val="21"/>
                <w:lang w:val="en-US" w:eastAsia="zh-CN" w:bidi="ar-SA"/>
                <w14:textFill>
                  <w14:solidFill>
                    <w14:schemeClr w14:val="tx1"/>
                  </w14:solidFill>
                </w14:textFill>
              </w:rPr>
              <w:t>。</w:t>
            </w:r>
          </w:p>
          <w:p w14:paraId="566CAE49">
            <w:pPr>
              <w:keepNext w:val="0"/>
              <w:keepLines w:val="0"/>
              <w:widowControl/>
              <w:suppressLineNumbers w:val="0"/>
              <w:spacing w:line="360" w:lineRule="auto"/>
              <w:ind w:firstLine="480" w:firstLineChars="200"/>
              <w:jc w:val="left"/>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（4）筛分、制砂</w:t>
            </w:r>
          </w:p>
          <w:p w14:paraId="1ED309B2">
            <w:pPr>
              <w:keepNext w:val="0"/>
              <w:keepLines w:val="0"/>
              <w:widowControl/>
              <w:suppressLineNumbers w:val="0"/>
              <w:spacing w:line="360" w:lineRule="auto"/>
              <w:ind w:firstLine="480" w:firstLineChars="200"/>
              <w:jc w:val="left"/>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经过破碎机后的石料进入分选振动筛，在此筛选过程中</w:t>
            </w:r>
            <w:r>
              <w:rPr>
                <w:rFonts w:hint="eastAsia" w:cs="宋体"/>
                <w:bCs/>
                <w:color w:val="000000" w:themeColor="text1"/>
                <w:kern w:val="2"/>
                <w:sz w:val="24"/>
                <w:szCs w:val="21"/>
                <w:lang w:val="en-US" w:eastAsia="zh-CN" w:bidi="ar-SA"/>
                <w14:textFill>
                  <w14:solidFill>
                    <w14:schemeClr w14:val="tx1"/>
                  </w14:solidFill>
                </w14:textFill>
              </w:rPr>
              <w:t>一部分</w:t>
            </w: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粒径小于</w:t>
            </w:r>
            <w:r>
              <w:rPr>
                <w:rFonts w:hint="default" w:ascii="Times New Roman" w:hAnsi="Times New Roman" w:eastAsia="宋体" w:cs="宋体"/>
                <w:bCs/>
                <w:color w:val="000000" w:themeColor="text1"/>
                <w:kern w:val="2"/>
                <w:sz w:val="24"/>
                <w:szCs w:val="21"/>
                <w:lang w:val="en-US" w:eastAsia="zh-CN" w:bidi="ar-SA"/>
                <w14:textFill>
                  <w14:solidFill>
                    <w14:schemeClr w14:val="tx1"/>
                  </w14:solidFill>
                </w14:textFill>
              </w:rPr>
              <w:t>15cm</w:t>
            </w: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左右的石料成为产品，筛上大于</w:t>
            </w:r>
            <w:r>
              <w:rPr>
                <w:rFonts w:hint="default" w:ascii="Times New Roman" w:hAnsi="Times New Roman" w:eastAsia="宋体" w:cs="宋体"/>
                <w:bCs/>
                <w:color w:val="000000" w:themeColor="text1"/>
                <w:kern w:val="2"/>
                <w:sz w:val="24"/>
                <w:szCs w:val="21"/>
                <w:lang w:val="en-US" w:eastAsia="zh-CN" w:bidi="ar-SA"/>
                <w14:textFill>
                  <w14:solidFill>
                    <w14:schemeClr w14:val="tx1"/>
                  </w14:solidFill>
                </w14:textFill>
              </w:rPr>
              <w:t>15cm</w:t>
            </w: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经修型机破碎后的石料进入下</w:t>
            </w:r>
            <w:bookmarkStart w:id="2" w:name="_Hlk77535248"/>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一个分选振动筛，在此筛选过程中一部分（小于</w:t>
            </w:r>
            <w:r>
              <w:rPr>
                <w:rFonts w:hint="default" w:ascii="Times New Roman" w:hAnsi="Times New Roman" w:eastAsia="宋体" w:cs="宋体"/>
                <w:bCs/>
                <w:color w:val="000000" w:themeColor="text1"/>
                <w:kern w:val="2"/>
                <w:sz w:val="24"/>
                <w:szCs w:val="21"/>
                <w:lang w:val="en-US" w:eastAsia="zh-CN" w:bidi="ar-SA"/>
                <w14:textFill>
                  <w14:solidFill>
                    <w14:schemeClr w14:val="tx1"/>
                  </w14:solidFill>
                </w14:textFill>
              </w:rPr>
              <w:t>5cm</w:t>
            </w: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）进入制砂机，筛上</w:t>
            </w:r>
            <w:r>
              <w:rPr>
                <w:rFonts w:hint="eastAsia" w:cs="宋体"/>
                <w:bCs/>
                <w:color w:val="000000" w:themeColor="text1"/>
                <w:kern w:val="2"/>
                <w:sz w:val="24"/>
                <w:szCs w:val="21"/>
                <w:lang w:val="en-US" w:eastAsia="zh-CN" w:bidi="ar-SA"/>
                <w14:textFill>
                  <w14:solidFill>
                    <w14:schemeClr w14:val="tx1"/>
                  </w14:solidFill>
                </w14:textFill>
              </w:rPr>
              <w:t>部分</w:t>
            </w: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（大于</w:t>
            </w:r>
            <w:r>
              <w:rPr>
                <w:rFonts w:hint="default" w:ascii="Times New Roman" w:hAnsi="Times New Roman" w:eastAsia="宋体" w:cs="宋体"/>
                <w:bCs/>
                <w:color w:val="000000" w:themeColor="text1"/>
                <w:kern w:val="2"/>
                <w:sz w:val="24"/>
                <w:szCs w:val="21"/>
                <w:lang w:val="en-US" w:eastAsia="zh-CN" w:bidi="ar-SA"/>
                <w14:textFill>
                  <w14:solidFill>
                    <w14:schemeClr w14:val="tx1"/>
                  </w14:solidFill>
                </w14:textFill>
              </w:rPr>
              <w:t>5cm</w:t>
            </w: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）回到修型机。为防止扬尘和设备发热，采用湿式筛分。</w:t>
            </w:r>
          </w:p>
          <w:p w14:paraId="414BF1E5">
            <w:pPr>
              <w:keepNext w:val="0"/>
              <w:keepLines w:val="0"/>
              <w:widowControl/>
              <w:suppressLineNumbers w:val="0"/>
              <w:spacing w:line="360" w:lineRule="auto"/>
              <w:ind w:firstLine="480" w:firstLineChars="200"/>
              <w:jc w:val="left"/>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（5）成品入库</w:t>
            </w:r>
          </w:p>
          <w:p w14:paraId="3443A0BA">
            <w:pPr>
              <w:keepNext w:val="0"/>
              <w:keepLines w:val="0"/>
              <w:widowControl/>
              <w:suppressLineNumbers w:val="0"/>
              <w:spacing w:line="360" w:lineRule="auto"/>
              <w:ind w:firstLine="480" w:firstLineChars="200"/>
              <w:jc w:val="left"/>
              <w:rPr>
                <w:rFonts w:hint="default" w:ascii="Times New Roman" w:hAnsi="Times New Roman" w:eastAsia="宋体" w:cs="宋体"/>
                <w:bCs/>
                <w:color w:val="000000" w:themeColor="text1"/>
                <w:kern w:val="2"/>
                <w:sz w:val="24"/>
                <w:szCs w:val="21"/>
                <w:lang w:val="en-US" w:eastAsia="zh-CN" w:bidi="ar-SA"/>
                <w14:textFill>
                  <w14:solidFill>
                    <w14:schemeClr w14:val="tx1"/>
                  </w14:solidFill>
                </w14:textFill>
              </w:rPr>
            </w:pPr>
            <w:r>
              <w:rPr>
                <w:rFonts w:hint="eastAsia" w:ascii="Times New Roman" w:hAnsi="Times New Roman" w:eastAsia="宋体" w:cs="宋体"/>
                <w:bCs/>
                <w:color w:val="000000" w:themeColor="text1"/>
                <w:kern w:val="2"/>
                <w:sz w:val="24"/>
                <w:szCs w:val="21"/>
                <w:lang w:val="en-US" w:eastAsia="zh-CN" w:bidi="ar-SA"/>
                <w14:textFill>
                  <w14:solidFill>
                    <w14:schemeClr w14:val="tx1"/>
                  </w14:solidFill>
                </w14:textFill>
              </w:rPr>
              <w:t>成品砂和碎石堆放至成品</w:t>
            </w:r>
            <w:r>
              <w:rPr>
                <w:rFonts w:hint="eastAsia" w:cs="宋体"/>
                <w:bCs/>
                <w:color w:val="000000" w:themeColor="text1"/>
                <w:kern w:val="2"/>
                <w:sz w:val="24"/>
                <w:szCs w:val="21"/>
                <w:lang w:val="en-US" w:eastAsia="zh-CN" w:bidi="ar-SA"/>
                <w14:textFill>
                  <w14:solidFill>
                    <w14:schemeClr w14:val="tx1"/>
                  </w14:solidFill>
                </w14:textFill>
              </w:rPr>
              <w:t>库和成品堆场。</w:t>
            </w:r>
          </w:p>
          <w:bookmarkEnd w:id="2"/>
          <w:p w14:paraId="7ECCD7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现有项目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达标排放情况及污染物实际排放量</w:t>
            </w:r>
          </w:p>
          <w:p w14:paraId="68EFFED8">
            <w:pPr>
              <w:keepNext/>
              <w:keepLines/>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昌吉市森淼建筑工程有限公司建筑垃圾和砂厂固废加工处理项目竣工环境保护验收意见</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》现有项目的污染物排放情况如下：</w:t>
            </w:r>
          </w:p>
          <w:p w14:paraId="6A318B03">
            <w:pPr>
              <w:keepNext/>
              <w:keepLines/>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废气</w:t>
            </w:r>
          </w:p>
          <w:p w14:paraId="68D7DEE9">
            <w:pPr>
              <w:pageBreakBefore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①现有项目生产线位于车间内部，生产破碎、筛分工序上方设置集气罩对粉尘收集后由布袋除尘器处理，处理后的粉尘通过1根15m高排气筒（DA001）排放。输送带全密闭</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车间全密闭，车间顶部设喷雾装置。</w:t>
            </w:r>
          </w:p>
          <w:p w14:paraId="2BE52188">
            <w:pPr>
              <w:keepNext w:val="0"/>
              <w:keepLines w:val="0"/>
              <w:pageBreakBefore w:val="0"/>
              <w:widowControl w:val="0"/>
              <w:kinsoku/>
              <w:wordWrap w:val="0"/>
              <w:overflowPunct/>
              <w:topLinePunct w:val="0"/>
              <w:autoSpaceDE/>
              <w:autoSpaceDN/>
              <w:bidi w:val="0"/>
              <w:adjustRightInd w:val="0"/>
              <w:snapToGrid w:val="0"/>
              <w:ind w:left="0" w:leftChars="0" w:firstLine="480" w:firstLineChars="200"/>
              <w:jc w:val="left"/>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布袋除尘器处理设施排放的颗粒物排放浓度最大值为2.29mg/m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，符合《大气污染物综合排放标准》</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GB16297-1996</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表2中的颗粒物排放限值</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120mg/m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的要求</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排放速率最大值为0.053kg</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h，符合《大气污染物综合排放标准》</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GB16297-1996</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表2中新污染源颗粒物排放标准</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排放速率3.5kgh</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的要求。现有项目颗粒物年排放总量为0.185吨，符合环评批复要求的颗粒物年排放总量指标0.19吨的要求。</w:t>
            </w:r>
          </w:p>
          <w:p w14:paraId="79720E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废水</w:t>
            </w:r>
          </w:p>
          <w:p w14:paraId="0BC6003D">
            <w:pPr>
              <w:keepNext w:val="0"/>
              <w:keepLines w:val="0"/>
              <w:pageBreakBefore w:val="0"/>
              <w:widowControl w:val="0"/>
              <w:kinsoku/>
              <w:wordWrap w:val="0"/>
              <w:overflowPunct/>
              <w:topLinePunct w:val="0"/>
              <w:autoSpaceDE/>
              <w:autoSpaceDN/>
              <w:bidi w:val="0"/>
              <w:adjustRightInd w:val="0"/>
              <w:snapToGrid w:val="0"/>
              <w:ind w:left="0" w:leftChars="0" w:firstLine="480" w:firstLineChars="200"/>
              <w:jc w:val="left"/>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昌吉市森淼建筑工程有限公司建筑垃圾和砂厂固废加工处理项目竣工环境保护验收意见</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以及现场勘查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，现有项目无生产废水产生，生活污水经化粪池</w:t>
            </w:r>
            <w:r>
              <w:rPr>
                <w:rFonts w:hint="eastAsia" w:cs="Times New Roman"/>
                <w:color w:val="000000" w:themeColor="text1"/>
                <w:sz w:val="24"/>
                <w:szCs w:val="24"/>
                <w:lang w:val="en-US" w:eastAsia="zh-CN"/>
                <w14:textFill>
                  <w14:solidFill>
                    <w14:schemeClr w14:val="tx1"/>
                  </w14:solidFill>
                </w14:textFill>
              </w:rPr>
              <w:t>收集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后由吸污车运往昌吉市第二污水处理厂，洗车废水配套沉淀池，沉淀后全部回用。</w:t>
            </w:r>
          </w:p>
          <w:p w14:paraId="495352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噪声</w:t>
            </w:r>
          </w:p>
          <w:p w14:paraId="4869AC9A">
            <w:pPr>
              <w:keepNext w:val="0"/>
              <w:keepLines w:val="0"/>
              <w:pageBreakBefore w:val="0"/>
              <w:widowControl w:val="0"/>
              <w:kinsoku/>
              <w:wordWrap w:val="0"/>
              <w:overflowPunct/>
              <w:topLinePunct w:val="0"/>
              <w:autoSpaceDE/>
              <w:autoSpaceDN/>
              <w:bidi w:val="0"/>
              <w:adjustRightInd w:val="0"/>
              <w:snapToGrid w:val="0"/>
              <w:ind w:left="0" w:leftChars="0" w:firstLine="480" w:firstLineChars="200"/>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昌吉市森淼建筑工程有限公司建筑垃圾和砂厂固废加工处理项目竣工环境保护验收意见</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监测结果显示</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项目区厂界噪声排放值符合《工业企业厂界环境噪声排放标准》</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GB12348-2008</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中2类标准限值要求。</w:t>
            </w:r>
          </w:p>
          <w:p w14:paraId="369756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固废</w:t>
            </w:r>
          </w:p>
          <w:p w14:paraId="5D19C661">
            <w:pPr>
              <w:keepNext w:val="0"/>
              <w:keepLines w:val="0"/>
              <w:pageBreakBefore w:val="0"/>
              <w:widowControl w:val="0"/>
              <w:kinsoku/>
              <w:wordWrap w:val="0"/>
              <w:overflowPunct/>
              <w:topLinePunct w:val="0"/>
              <w:autoSpaceDE/>
              <w:autoSpaceDN/>
              <w:bidi w:val="0"/>
              <w:adjustRightInd w:val="0"/>
              <w:snapToGrid w:val="0"/>
              <w:ind w:left="0" w:leftChars="0" w:firstLine="480" w:firstLineChars="200"/>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昌吉市森淼建筑工程有限公司建筑垃圾和砂厂固废加工处理项目竣工环境保护验收意见</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》以及现场勘查，现有项目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洗车池沉渣晾干后回用</w:t>
            </w:r>
            <w:r>
              <w:rPr>
                <w:rFonts w:hint="eastAsia" w:cs="Times New Roman"/>
                <w:color w:val="000000" w:themeColor="text1"/>
                <w:sz w:val="24"/>
                <w:szCs w:val="24"/>
                <w:lang w:val="en-US" w:eastAsia="zh-CN"/>
                <w14:textFill>
                  <w14:solidFill>
                    <w14:schemeClr w14:val="tx1"/>
                  </w14:solidFill>
                </w14:textFill>
              </w:rPr>
              <w:t>（2.5t/a）</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、收集的粉尘</w:t>
            </w:r>
            <w:r>
              <w:rPr>
                <w:rFonts w:hint="eastAsia" w:cs="Times New Roman"/>
                <w:color w:val="000000" w:themeColor="text1"/>
                <w:sz w:val="24"/>
                <w:szCs w:val="24"/>
                <w:lang w:val="en-US" w:eastAsia="zh-CN"/>
                <w14:textFill>
                  <w14:solidFill>
                    <w14:schemeClr w14:val="tx1"/>
                  </w14:solidFill>
                </w14:textFill>
              </w:rPr>
              <w:t>（5.02t/a）</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收集后作为产品外售</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生活垃圾</w:t>
            </w:r>
            <w:r>
              <w:rPr>
                <w:rFonts w:hint="eastAsia" w:cs="Times New Roman"/>
                <w:color w:val="000000" w:themeColor="text1"/>
                <w:sz w:val="24"/>
                <w:szCs w:val="24"/>
                <w:lang w:val="en-US" w:eastAsia="zh-CN"/>
                <w14:textFill>
                  <w14:solidFill>
                    <w14:schemeClr w14:val="tx1"/>
                  </w14:solidFill>
                </w14:textFill>
              </w:rPr>
              <w:t>（2.1t/a）由</w:t>
            </w:r>
            <w:r>
              <w:rPr>
                <w:rFonts w:hint="eastAsia"/>
                <w:color w:val="000000" w:themeColor="text1"/>
                <w14:textFill>
                  <w14:solidFill>
                    <w14:schemeClr w14:val="tx1"/>
                  </w14:solidFill>
                </w14:textFill>
              </w:rPr>
              <w:t>昌吉市三工镇常胜四队</w:t>
            </w:r>
            <w:r>
              <w:rPr>
                <w:rFonts w:hint="eastAsia"/>
                <w:color w:val="000000" w:themeColor="text1"/>
                <w:lang w:val="en-US" w:eastAsia="zh-CN"/>
                <w14:textFill>
                  <w14:solidFill>
                    <w14:schemeClr w14:val="tx1"/>
                  </w14:solidFill>
                </w14:textFill>
              </w:rPr>
              <w:t>村委会收集后统一交由</w:t>
            </w:r>
            <w:r>
              <w:rPr>
                <w:rFonts w:ascii="宋体" w:hAnsi="宋体" w:eastAsia="宋体" w:cs="宋体"/>
                <w:color w:val="000000" w:themeColor="text1"/>
                <w:sz w:val="24"/>
                <w:szCs w:val="24"/>
                <w14:textFill>
                  <w14:solidFill>
                    <w14:schemeClr w14:val="tx1"/>
                  </w14:solidFill>
                </w14:textFill>
              </w:rPr>
              <w:t>昌吉市市容环境卫生管理中心</w:t>
            </w:r>
            <w:r>
              <w:rPr>
                <w:rFonts w:hint="eastAsia" w:ascii="宋体" w:hAnsi="宋体" w:cs="宋体"/>
                <w:color w:val="000000" w:themeColor="text1"/>
                <w:sz w:val="24"/>
                <w:szCs w:val="24"/>
                <w:lang w:val="en-US" w:eastAsia="zh-CN"/>
                <w14:textFill>
                  <w14:solidFill>
                    <w14:schemeClr w14:val="tx1"/>
                  </w14:solidFill>
                </w14:textFill>
              </w:rPr>
              <w:t>处理处置</w:t>
            </w:r>
            <w:r>
              <w:rPr>
                <w:rFonts w:hint="eastAsia" w:cs="Times New Roman"/>
                <w:color w:val="000000" w:themeColor="text1"/>
                <w:sz w:val="24"/>
                <w:szCs w:val="24"/>
                <w:lang w:val="en-US" w:eastAsia="zh-CN"/>
                <w14:textFill>
                  <w14:solidFill>
                    <w14:schemeClr w14:val="tx1"/>
                  </w14:solidFill>
                </w14:textFill>
              </w:rPr>
              <w:t>；产生的废润滑油和废油桶分别为0.05t/a。</w:t>
            </w:r>
          </w:p>
          <w:p w14:paraId="09D64C66">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现有项目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环保手续履行情况</w:t>
            </w:r>
          </w:p>
          <w:p w14:paraId="22094E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环境影响评价</w:t>
            </w:r>
          </w:p>
          <w:p w14:paraId="22F45A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2021年8月26日昌吉州生态环境局出具了《昌吉回族自治州生态环境局责令改正违法行为决定书》昌州环责改字</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2021</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1-01号，责令其立即补办环评手续。2021年9月，</w:t>
            </w:r>
            <w:r>
              <w:rPr>
                <w:rFonts w:ascii="Times New Roman" w:hAnsi="Times New Roman" w:eastAsia="宋体" w:cs="宋体"/>
                <w:color w:val="000000" w:themeColor="text1"/>
                <w:sz w:val="24"/>
                <w:szCs w:val="24"/>
                <w14:textFill>
                  <w14:solidFill>
                    <w14:schemeClr w14:val="tx1"/>
                  </w14:solidFill>
                </w14:textFill>
              </w:rPr>
              <w:t>昌吉市森淼建筑工程有限公司</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委托</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新疆清风源环保咨询有限公司</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编制完成《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昌吉市森淼建筑工程有限公司建筑垃圾和砂厂固废加工处理项目环境影响报告表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》；2022年3月31日，取得昌吉州生态环境局《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关于昌吉市森淼建筑工程有限公司建筑垃圾和砂厂固废加工处理项目环境影响报告表的批复</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昌州环评</w:t>
            </w:r>
            <w:r>
              <w:rPr>
                <w:rFonts w:hint="eastAsia" w:ascii="Times New Roman" w:hAnsi="Times New Roman" w:eastAsia="黑体" w:cs="黑体"/>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2022</w:t>
            </w:r>
            <w:r>
              <w:rPr>
                <w:rFonts w:hint="eastAsia" w:ascii="Times New Roman" w:hAnsi="Times New Roman" w:eastAsia="黑体" w:cs="黑体"/>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41号</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424AD9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排污许可</w:t>
            </w:r>
          </w:p>
          <w:p w14:paraId="045216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新疆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森淼建筑工程有限公司</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首次申领</w:t>
            </w:r>
            <w:r>
              <w:rPr>
                <w:rFonts w:ascii="宋体" w:hAnsi="宋体" w:eastAsia="宋体" w:cs="宋体"/>
                <w:color w:val="000000" w:themeColor="text1"/>
                <w:sz w:val="24"/>
                <w:szCs w:val="24"/>
                <w14:textFill>
                  <w14:solidFill>
                    <w14:schemeClr w14:val="tx1"/>
                  </w14:solidFill>
                </w14:textFill>
              </w:rPr>
              <w:t>固定污染源排污登记</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（登记编号</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91652301MA77W3T97Q001W）</w:t>
            </w:r>
          </w:p>
          <w:p w14:paraId="4C2353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竣工环境保护验收</w:t>
            </w:r>
          </w:p>
          <w:p w14:paraId="7A740D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2023年4月，委托新疆环疆绿源环保科技有限公司于2023年4月23日至24日进行了现场竣工验收采样并出具检测报告。</w:t>
            </w:r>
          </w:p>
          <w:p w14:paraId="65ECC3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Times New Roman"/>
                <w:color w:val="000000" w:themeColor="text1"/>
                <w:sz w:val="24"/>
                <w:szCs w:val="24"/>
                <w:lang w:val="en-US" w:eastAsia="zh-CN"/>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（4）应急预案</w:t>
            </w:r>
          </w:p>
          <w:p w14:paraId="4544F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s="Times New Roman"/>
                <w:color w:val="000000" w:themeColor="text1"/>
                <w:sz w:val="24"/>
                <w:szCs w:val="24"/>
                <w:lang w:val="en-US" w:eastAsia="zh-CN"/>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2025年11月20日取得《新疆森淼建筑工程有限公司生产安全事故应急预案》备案登记表，备案号：CJSGMYA202527。</w:t>
            </w:r>
          </w:p>
          <w:p w14:paraId="132CC6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与本项目有关的原有环境污染问题</w:t>
            </w:r>
          </w:p>
          <w:p w14:paraId="4FEA47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经现场调查，现有厂区存在堆场、危废库、排污口、环保管理多类问题，全部整改工作须在本扩建项目正式开工前15日内全部完成，危废贮存库为本项目危险废物唯一依托贮存设施，若未按期整改达标，本期工程危废依托方案不可行，具体问题如下</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w:t>
            </w:r>
          </w:p>
          <w:p w14:paraId="2BFE8D05">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现有项目部分产品砂经过全覆盖后堆放至室外未堆放至全密闭的成品库房中，不符合</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《工业料堆场扬尘整治规范》</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DB65/T4061-2017</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）要求；</w:t>
            </w:r>
          </w:p>
          <w:p w14:paraId="07C341B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危险废物贮存库不满足</w:t>
            </w:r>
            <w:r>
              <w:rPr>
                <w:rFonts w:hint="eastAsia" w:ascii="Times New Roman" w:hAnsi="Times New Roman" w:eastAsia="宋体" w:cs="Times New Roman"/>
                <w:color w:val="000000" w:themeColor="text1"/>
                <w:sz w:val="24"/>
                <w:szCs w:val="24"/>
                <w:shd w:val="clear" w:color="auto" w:fill="FFFFFF"/>
                <w:lang w:val="en-US" w:eastAsia="zh-CN"/>
                <w14:textFill>
                  <w14:solidFill>
                    <w14:schemeClr w14:val="tx1"/>
                  </w14:solidFill>
                </w14:textFill>
              </w:rPr>
              <w:t>《危险废物贮存污染控制标准》（GB18597-2023）等相关规定（无危险废物标识牌、</w:t>
            </w:r>
            <w:r>
              <w:rPr>
                <w:rFonts w:ascii="宋体" w:hAnsi="宋体" w:eastAsia="宋体" w:cs="宋体"/>
                <w:color w:val="000000" w:themeColor="text1"/>
                <w:sz w:val="24"/>
                <w:szCs w:val="24"/>
                <w14:textFill>
                  <w14:solidFill>
                    <w14:schemeClr w14:val="tx1"/>
                  </w14:solidFill>
                </w14:textFill>
              </w:rPr>
              <w:t>现有危险废物贮存库房运营期间未出现废液渗漏、物料泄漏等环境事故，但场地仅采用一般防渗构造，未配套重点防渗层，防渗设施建设不满足国标强制要求</w:t>
            </w:r>
            <w:r>
              <w:rPr>
                <w:rFonts w:hint="eastAsia" w:ascii="Times New Roman" w:hAnsi="Times New Roman" w:eastAsia="宋体" w:cs="Times New Roman"/>
                <w:color w:val="000000" w:themeColor="text1"/>
                <w:sz w:val="24"/>
                <w:szCs w:val="24"/>
                <w:shd w:val="clear" w:color="auto" w:fill="FFFFFF"/>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3CEB4DB4">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现有项目废气排气筒DA001不满足</w:t>
            </w:r>
            <w:r>
              <w:rPr>
                <w:rFonts w:hint="eastAsia" w:ascii="Times New Roman" w:hAnsi="Times New Roman" w:eastAsia="宋体" w:cs="Times New Roman"/>
                <w:color w:val="000000" w:themeColor="text1"/>
                <w:sz w:val="24"/>
                <w:lang w:val="en-US" w:eastAsia="zh-CN"/>
                <w14:textFill>
                  <w14:solidFill>
                    <w14:schemeClr w14:val="tx1"/>
                  </w14:solidFill>
                </w14:textFill>
              </w:rPr>
              <w:t>《环境保护图形标志——排放口（源）》（GB15562.1-1995）及排污口规范化管理要求（未设置废气环保标志牌，无规范监测采样平台）</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61A7FE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w:t>
            </w:r>
            <w:r>
              <w:rPr>
                <w:rFonts w:hint="eastAsia" w:cs="Times New Roman"/>
                <w:b w:val="0"/>
                <w:bCs w:val="0"/>
                <w:color w:val="000000" w:themeColor="text1"/>
                <w:kern w:val="2"/>
                <w:sz w:val="24"/>
                <w:szCs w:val="24"/>
                <w:lang w:val="en-US" w:eastAsia="zh-CN"/>
                <w14:textFill>
                  <w14:solidFill>
                    <w14:schemeClr w14:val="tx1"/>
                  </w14:solidFill>
                </w14:textFill>
              </w:rPr>
              <w:t>4</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企业现有备案文件为《新疆森淼建筑工程有限公司生产安全事故应急预案》（备案号：CJSGMYA202527），该预案仅针对生产安全事故，未涵盖泄漏、扬尘、消防废水等突发环境污染事件，未按《突发环境事件应急管理办法》要求编制、备案专项突发环境事件应急预案，环境应急手续不完善。</w:t>
            </w:r>
          </w:p>
          <w:p w14:paraId="6FB6F3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6</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拟采取的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“以新代老”</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措施</w:t>
            </w:r>
          </w:p>
          <w:p w14:paraId="435D9A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（1）成品砂子全部转运至密闭成品库房堆放，厂区不再露天存放成品砂子，配套移动雾炮持续喷淋抑尘。</w:t>
            </w:r>
          </w:p>
          <w:p w14:paraId="7663998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000000" w:themeColor="text1"/>
                <w:kern w:val="2"/>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（2）危废</w:t>
            </w:r>
            <w:r>
              <w:rPr>
                <w:rFonts w:hint="eastAsia" w:cs="Times New Roman"/>
                <w:b w:val="0"/>
                <w:bCs w:val="0"/>
                <w:color w:val="000000" w:themeColor="text1"/>
                <w:kern w:val="2"/>
                <w:sz w:val="24"/>
                <w:szCs w:val="24"/>
                <w:lang w:val="en-US" w:eastAsia="zh-CN"/>
                <w14:textFill>
                  <w14:solidFill>
                    <w14:schemeClr w14:val="tx1"/>
                  </w14:solidFill>
                </w14:textFill>
              </w:rPr>
              <w:t>贮存</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库专项标准化整改：开工前完成全套改造，对危废库实施重点防渗改造，整体涂刷防渗防腐层，规范张贴危险废物警示标识、分区标识，修建完整导流收集沟，配齐专用危废收集容器，完善出入库全流程管理台账。若危废</w:t>
            </w:r>
            <w:r>
              <w:rPr>
                <w:rFonts w:hint="eastAsia" w:cs="Times New Roman"/>
                <w:b w:val="0"/>
                <w:bCs w:val="0"/>
                <w:color w:val="000000" w:themeColor="text1"/>
                <w:kern w:val="2"/>
                <w:sz w:val="24"/>
                <w:szCs w:val="24"/>
                <w:lang w:val="en-US" w:eastAsia="zh-CN"/>
                <w14:textFill>
                  <w14:solidFill>
                    <w14:schemeClr w14:val="tx1"/>
                  </w14:solidFill>
                </w14:textFill>
              </w:rPr>
              <w:t>贮存</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库未在规定时限内按《危险废物贮存污染控制标准》（GB18597-2023）完成全部整改，贮存条件不满足危废</w:t>
            </w:r>
            <w:r>
              <w:rPr>
                <w:rFonts w:hint="eastAsia" w:cs="Times New Roman"/>
                <w:b w:val="0"/>
                <w:bCs w:val="0"/>
                <w:color w:val="000000" w:themeColor="text1"/>
                <w:kern w:val="2"/>
                <w:sz w:val="24"/>
                <w:szCs w:val="24"/>
                <w:lang w:val="en-US" w:eastAsia="zh-CN"/>
                <w14:textFill>
                  <w14:solidFill>
                    <w14:schemeClr w14:val="tx1"/>
                  </w14:solidFill>
                </w14:textFill>
              </w:rPr>
              <w:t>贮存</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法定要求，本期扩建工程危险废物依托贮存方案不可行，项目不得投产。</w:t>
            </w:r>
          </w:p>
          <w:p w14:paraId="61CEF2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（3）对DA001排气筒标准化整治：加装规范废气排放环保图形标志牌，搭设合规监测采样平台、配套安全爬梯，满足监测采样及排污口规范化管控要求。</w:t>
            </w:r>
          </w:p>
          <w:p w14:paraId="09A82F7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w:t>
            </w:r>
            <w:r>
              <w:rPr>
                <w:rFonts w:hint="eastAsia" w:cs="Times New Roman"/>
                <w:b w:val="0"/>
                <w:bCs w:val="0"/>
                <w:color w:val="000000" w:themeColor="text1"/>
                <w:kern w:val="2"/>
                <w:sz w:val="24"/>
                <w:szCs w:val="24"/>
                <w:lang w:val="en-US" w:eastAsia="zh-CN"/>
                <w14:textFill>
                  <w14:solidFill>
                    <w14:schemeClr w14:val="tx1"/>
                  </w14:solidFill>
                </w14:textFill>
              </w:rPr>
              <w:t>4</w:t>
            </w:r>
            <w:r>
              <w:rPr>
                <w:rFonts w:hint="eastAsia" w:ascii="Times New Roman" w:hAnsi="Times New Roman" w:eastAsia="宋体" w:cs="Times New Roman"/>
                <w:b w:val="0"/>
                <w:bCs w:val="0"/>
                <w:color w:val="000000" w:themeColor="text1"/>
                <w:kern w:val="2"/>
                <w:sz w:val="24"/>
                <w:szCs w:val="24"/>
                <w:lang w:val="en-US" w:eastAsia="zh-CN"/>
                <w14:textFill>
                  <w14:solidFill>
                    <w14:schemeClr w14:val="tx1"/>
                  </w14:solidFill>
                </w14:textFill>
              </w:rPr>
              <w:t>）本次扩建项目配套完成环境风险评估，编制《突发环境事件应急预案》并报送生态环境主管部门备案，健全环境应急物资、处置流程台账。</w:t>
            </w:r>
          </w:p>
        </w:tc>
      </w:tr>
    </w:tbl>
    <w:p w14:paraId="50C5567C">
      <w:pPr>
        <w:ind w:firstLine="480"/>
        <w:rPr>
          <w:color w:val="000000" w:themeColor="text1"/>
          <w14:textFill>
            <w14:solidFill>
              <w14:schemeClr w14:val="tx1"/>
            </w14:solidFill>
          </w14:textFill>
        </w:rPr>
        <w:sectPr>
          <w:pgSz w:w="11906" w:h="16838"/>
          <w:pgMar w:top="1440" w:right="1531" w:bottom="1440" w:left="1531" w:header="851" w:footer="851" w:gutter="0"/>
          <w:pgBorders>
            <w:top w:val="none" w:sz="0" w:space="0"/>
            <w:left w:val="none" w:sz="0" w:space="0"/>
            <w:bottom w:val="none" w:sz="0" w:space="0"/>
            <w:right w:val="none" w:sz="0" w:space="0"/>
          </w:pgBorders>
          <w:cols w:space="720" w:num="1"/>
          <w:docGrid w:linePitch="312" w:charSpace="0"/>
        </w:sectPr>
      </w:pPr>
    </w:p>
    <w:p w14:paraId="3D93A5FE">
      <w:pPr>
        <w:pStyle w:val="37"/>
        <w:spacing w:line="240" w:lineRule="auto"/>
        <w:ind w:firstLine="600"/>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三、区域环境质量现状、环境保护目标及评价标准</w:t>
      </w:r>
    </w:p>
    <w:tbl>
      <w:tblPr>
        <w:tblStyle w:val="42"/>
        <w:tblW w:w="92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8766"/>
      </w:tblGrid>
      <w:tr w14:paraId="4E738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32" w:type="dxa"/>
            <w:tcBorders>
              <w:tl2br w:val="nil"/>
              <w:tr2bl w:val="nil"/>
            </w:tcBorders>
            <w:vAlign w:val="center"/>
          </w:tcPr>
          <w:p w14:paraId="6453DE08">
            <w:pPr>
              <w:adjustRightInd w:val="0"/>
              <w:snapToGrid w:val="0"/>
              <w:ind w:firstLine="0" w:firstLineChars="0"/>
              <w:jc w:val="center"/>
              <w:rPr>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区域环境质量现状</w:t>
            </w:r>
          </w:p>
        </w:tc>
        <w:tc>
          <w:tcPr>
            <w:tcW w:w="8766" w:type="dxa"/>
            <w:tcBorders>
              <w:tl2br w:val="nil"/>
              <w:tr2bl w:val="nil"/>
            </w:tcBorders>
            <w:vAlign w:val="center"/>
          </w:tcPr>
          <w:p w14:paraId="0079D42B">
            <w:pPr>
              <w:pStyle w:val="197"/>
              <w:keepNext w:val="0"/>
              <w:keepLines w:val="0"/>
              <w:pageBreakBefore w:val="0"/>
              <w:kinsoku/>
              <w:wordWrap/>
              <w:overflowPunct/>
              <w:topLinePunct w:val="0"/>
              <w:autoSpaceDE/>
              <w:autoSpaceDN/>
              <w:bidi w:val="0"/>
              <w:ind w:firstLine="482"/>
              <w:textAlignment w:val="auto"/>
              <w:rPr>
                <w:b/>
                <w:bCs/>
                <w:color w:val="000000" w:themeColor="text1"/>
                <w:kern w:val="2"/>
                <w:sz w:val="24"/>
                <w:szCs w:val="24"/>
                <w:highlight w:val="none"/>
                <w14:textFill>
                  <w14:solidFill>
                    <w14:schemeClr w14:val="tx1"/>
                  </w14:solidFill>
                </w14:textFill>
              </w:rPr>
            </w:pPr>
            <w:r>
              <w:rPr>
                <w:rFonts w:hint="eastAsia"/>
                <w:b/>
                <w:bCs/>
                <w:color w:val="000000" w:themeColor="text1"/>
                <w:kern w:val="2"/>
                <w:sz w:val="24"/>
                <w:szCs w:val="24"/>
                <w:highlight w:val="none"/>
                <w:lang w:eastAsia="zh-CN"/>
                <w14:textFill>
                  <w14:solidFill>
                    <w14:schemeClr w14:val="tx1"/>
                  </w14:solidFill>
                </w14:textFill>
              </w:rPr>
              <w:t>1.</w:t>
            </w:r>
            <w:r>
              <w:rPr>
                <w:b/>
                <w:bCs/>
                <w:color w:val="000000" w:themeColor="text1"/>
                <w:kern w:val="2"/>
                <w:sz w:val="24"/>
                <w:szCs w:val="24"/>
                <w:highlight w:val="none"/>
                <w14:textFill>
                  <w14:solidFill>
                    <w14:schemeClr w14:val="tx1"/>
                  </w14:solidFill>
                </w14:textFill>
              </w:rPr>
              <w:t>环境空气</w:t>
            </w:r>
          </w:p>
          <w:p w14:paraId="5CCD2161">
            <w:pPr>
              <w:pStyle w:val="37"/>
              <w:keepNext w:val="0"/>
              <w:keepLines w:val="0"/>
              <w:pageBreakBefore w:val="0"/>
              <w:kinsoku/>
              <w:wordWrap/>
              <w:overflowPunct/>
              <w:topLinePunct w:val="0"/>
              <w:autoSpaceDE/>
              <w:autoSpaceDN/>
              <w:bidi w:val="0"/>
              <w:adjustRightInd w:val="0"/>
              <w:snapToGrid w:val="0"/>
              <w:spacing w:before="0" w:beforeAutospacing="0" w:after="0" w:afterAutospacing="0"/>
              <w:ind w:firstLine="480"/>
              <w:textAlignment w:val="auto"/>
              <w:rPr>
                <w:rFonts w:ascii="Times New Roman" w:hAnsi="Times New Roman"/>
                <w:color w:val="000000" w:themeColor="text1"/>
                <w:szCs w:val="24"/>
                <w:highlight w:val="none"/>
                <w14:textFill>
                  <w14:solidFill>
                    <w14:schemeClr w14:val="tx1"/>
                  </w14:solidFill>
                </w14:textFill>
              </w:rPr>
            </w:pPr>
            <w:r>
              <w:rPr>
                <w:rFonts w:ascii="Times New Roman" w:hAnsi="Times New Roman"/>
                <w:color w:val="000000" w:themeColor="text1"/>
                <w:szCs w:val="24"/>
                <w:highlight w:val="none"/>
                <w14:textFill>
                  <w14:solidFill>
                    <w14:schemeClr w14:val="tx1"/>
                  </w14:solidFill>
                </w14:textFill>
              </w:rPr>
              <w:t>（1）达标区判断</w:t>
            </w:r>
          </w:p>
          <w:p w14:paraId="3D272FE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本项目位于</w:t>
            </w:r>
            <w:r>
              <w:rPr>
                <w:rFonts w:hint="eastAsia" w:ascii="Times New Roman" w:hAnsi="Times New Roman" w:eastAsia="宋体" w:cs="宋体"/>
                <w:color w:val="000000" w:themeColor="text1"/>
                <w:kern w:val="0"/>
                <w:sz w:val="24"/>
                <w:szCs w:val="21"/>
                <w:highlight w:val="none"/>
                <w:lang w:val="en-US" w:eastAsia="zh-CN" w:bidi="ar-SA"/>
                <w14:textFill>
                  <w14:solidFill>
                    <w14:schemeClr w14:val="tx1"/>
                  </w14:solidFill>
                </w14:textFill>
              </w:rPr>
              <w:t>昌吉市三工镇常胜四队99号</w:t>
            </w:r>
            <w:r>
              <w:rPr>
                <w:rFonts w:ascii="Times New Roman" w:hAnsi="Times New Roman" w:eastAsia="宋体" w:cs="Times New Roman"/>
                <w:color w:val="000000" w:themeColor="text1"/>
                <w:sz w:val="24"/>
                <w:szCs w:val="24"/>
                <w:highlight w:val="none"/>
                <w14:textFill>
                  <w14:solidFill>
                    <w14:schemeClr w14:val="tx1"/>
                  </w14:solidFill>
                </w14:textFill>
              </w:rPr>
              <w:t>，选择中国环境影响评价网环境空气质量模型技术</w:t>
            </w:r>
            <w:r>
              <w:rPr>
                <w:rFonts w:hint="eastAsia" w:cs="Times New Roman"/>
                <w:color w:val="000000" w:themeColor="text1"/>
                <w:sz w:val="24"/>
                <w:szCs w:val="24"/>
                <w:highlight w:val="none"/>
                <w:lang w:val="en-US" w:eastAsia="zh-CN"/>
                <w14:textFill>
                  <w14:solidFill>
                    <w14:schemeClr w14:val="tx1"/>
                  </w14:solidFill>
                </w14:textFill>
              </w:rPr>
              <w:t>昌吉</w:t>
            </w:r>
            <w:r>
              <w:rPr>
                <w:rFonts w:ascii="Times New Roman" w:hAnsi="Times New Roman" w:eastAsia="宋体" w:cs="Times New Roman"/>
                <w:color w:val="000000" w:themeColor="text1"/>
                <w:sz w:val="24"/>
                <w:szCs w:val="24"/>
                <w:highlight w:val="none"/>
                <w14:textFill>
                  <w14:solidFill>
                    <w14:schemeClr w14:val="tx1"/>
                  </w14:solidFill>
                </w14:textFill>
              </w:rPr>
              <w:t>市202</w:t>
            </w:r>
            <w:r>
              <w:rPr>
                <w:rFonts w:hint="eastAsia" w:cs="Times New Roman"/>
                <w:color w:val="000000" w:themeColor="text1"/>
                <w:sz w:val="24"/>
                <w:szCs w:val="24"/>
                <w:highlight w:val="none"/>
                <w:lang w:val="en-US" w:eastAsia="zh-CN"/>
                <w14:textFill>
                  <w14:solidFill>
                    <w14:schemeClr w14:val="tx1"/>
                  </w14:solidFill>
                </w14:textFill>
              </w:rPr>
              <w:t>5</w:t>
            </w:r>
            <w:r>
              <w:rPr>
                <w:rFonts w:ascii="Times New Roman" w:hAnsi="Times New Roman" w:eastAsia="宋体" w:cs="Times New Roman"/>
                <w:color w:val="000000" w:themeColor="text1"/>
                <w:sz w:val="24"/>
                <w:szCs w:val="24"/>
                <w:highlight w:val="none"/>
                <w14:textFill>
                  <w14:solidFill>
                    <w14:schemeClr w14:val="tx1"/>
                  </w14:solidFill>
                </w14:textFill>
              </w:rPr>
              <w:t>年的检测数据作为本项目环境空气现状评价，基本污染物SO</w:t>
            </w:r>
            <w:r>
              <w:rPr>
                <w:rFonts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ascii="Times New Roman" w:hAnsi="Times New Roman" w:eastAsia="宋体" w:cs="Times New Roman"/>
                <w:color w:val="000000" w:themeColor="text1"/>
                <w:sz w:val="24"/>
                <w:szCs w:val="24"/>
                <w:highlight w:val="none"/>
                <w14:textFill>
                  <w14:solidFill>
                    <w14:schemeClr w14:val="tx1"/>
                  </w14:solidFill>
                </w14:textFill>
              </w:rPr>
              <w:t>、NO</w:t>
            </w:r>
            <w:r>
              <w:rPr>
                <w:rFonts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ascii="Times New Roman" w:hAnsi="Times New Roman" w:eastAsia="宋体" w:cs="Times New Roman"/>
                <w:color w:val="000000" w:themeColor="text1"/>
                <w:sz w:val="24"/>
                <w:szCs w:val="24"/>
                <w:highlight w:val="none"/>
                <w14:textFill>
                  <w14:solidFill>
                    <w14:schemeClr w14:val="tx1"/>
                  </w14:solidFill>
                </w14:textFill>
              </w:rPr>
              <w:t>、PM</w:t>
            </w:r>
            <w:r>
              <w:rPr>
                <w:rFonts w:ascii="Times New Roman" w:hAnsi="Times New Roman" w:eastAsia="宋体" w:cs="Times New Roman"/>
                <w:color w:val="000000" w:themeColor="text1"/>
                <w:sz w:val="24"/>
                <w:szCs w:val="24"/>
                <w:highlight w:val="none"/>
                <w:vertAlign w:val="subscript"/>
                <w14:textFill>
                  <w14:solidFill>
                    <w14:schemeClr w14:val="tx1"/>
                  </w14:solidFill>
                </w14:textFill>
              </w:rPr>
              <w:t>10</w:t>
            </w:r>
            <w:r>
              <w:rPr>
                <w:rFonts w:ascii="Times New Roman" w:hAnsi="Times New Roman" w:eastAsia="宋体" w:cs="Times New Roman"/>
                <w:color w:val="000000" w:themeColor="text1"/>
                <w:sz w:val="24"/>
                <w:szCs w:val="24"/>
                <w:highlight w:val="none"/>
                <w14:textFill>
                  <w14:solidFill>
                    <w14:schemeClr w14:val="tx1"/>
                  </w14:solidFill>
                </w14:textFill>
              </w:rPr>
              <w:t>、PM</w:t>
            </w:r>
            <w:r>
              <w:rPr>
                <w:rFonts w:ascii="Times New Roman" w:hAnsi="Times New Roman" w:eastAsia="宋体" w:cs="Times New Roman"/>
                <w:color w:val="000000" w:themeColor="text1"/>
                <w:sz w:val="24"/>
                <w:szCs w:val="24"/>
                <w:highlight w:val="none"/>
                <w:vertAlign w:val="subscript"/>
                <w14:textFill>
                  <w14:solidFill>
                    <w14:schemeClr w14:val="tx1"/>
                  </w14:solidFill>
                </w14:textFill>
              </w:rPr>
              <w:t>2.5</w:t>
            </w:r>
            <w:r>
              <w:rPr>
                <w:rFonts w:ascii="Times New Roman" w:hAnsi="Times New Roman" w:eastAsia="宋体" w:cs="Times New Roman"/>
                <w:color w:val="000000" w:themeColor="text1"/>
                <w:sz w:val="24"/>
                <w:szCs w:val="24"/>
                <w:highlight w:val="none"/>
                <w14:textFill>
                  <w14:solidFill>
                    <w14:schemeClr w14:val="tx1"/>
                  </w14:solidFill>
                </w14:textFill>
              </w:rPr>
              <w:t>、CO和O</w:t>
            </w:r>
            <w:r>
              <w:rPr>
                <w:rFonts w:ascii="Times New Roman" w:hAnsi="Times New Roman" w:eastAsia="宋体" w:cs="Times New Roman"/>
                <w:color w:val="000000" w:themeColor="text1"/>
                <w:sz w:val="24"/>
                <w:szCs w:val="24"/>
                <w:highlight w:val="none"/>
                <w:vertAlign w:val="subscript"/>
                <w14:textFill>
                  <w14:solidFill>
                    <w14:schemeClr w14:val="tx1"/>
                  </w14:solidFill>
                </w14:textFill>
              </w:rPr>
              <w:t>3</w:t>
            </w:r>
            <w:r>
              <w:rPr>
                <w:rFonts w:ascii="Times New Roman" w:hAnsi="Times New Roman" w:eastAsia="宋体" w:cs="Times New Roman"/>
                <w:color w:val="000000" w:themeColor="text1"/>
                <w:sz w:val="24"/>
                <w:szCs w:val="24"/>
                <w:highlight w:val="none"/>
                <w14:textFill>
                  <w14:solidFill>
                    <w14:schemeClr w14:val="tx1"/>
                  </w14:solidFill>
                </w14:textFill>
              </w:rPr>
              <w:t>的数据来源。数据来源：环境空气质量模型技术支持服务系统（http://data.lem.org.cn/eamds/apply/tostepone.html）。</w:t>
            </w:r>
          </w:p>
          <w:p w14:paraId="0B2F8C38">
            <w:pPr>
              <w:widowControl/>
              <w:snapToGrid w:val="0"/>
              <w:spacing w:line="240" w:lineRule="auto"/>
              <w:ind w:firstLine="0" w:firstLineChars="0"/>
              <w:jc w:val="center"/>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表3-</w:t>
            </w:r>
            <w:r>
              <w:rPr>
                <w:rFonts w:hint="eastAsia"/>
                <w:b/>
                <w:color w:val="000000" w:themeColor="text1"/>
                <w:sz w:val="21"/>
                <w:szCs w:val="21"/>
                <w:highlight w:val="none"/>
                <w14:textFill>
                  <w14:solidFill>
                    <w14:schemeClr w14:val="tx1"/>
                  </w14:solidFill>
                </w14:textFill>
              </w:rPr>
              <w:t>1</w:t>
            </w:r>
            <w:r>
              <w:rPr>
                <w:b/>
                <w:color w:val="000000" w:themeColor="text1"/>
                <w:sz w:val="21"/>
                <w:szCs w:val="21"/>
                <w:highlight w:val="none"/>
                <w14:textFill>
                  <w14:solidFill>
                    <w14:schemeClr w14:val="tx1"/>
                  </w14:solidFill>
                </w14:textFill>
              </w:rPr>
              <w:t xml:space="preserve">  </w:t>
            </w:r>
            <w:r>
              <w:rPr>
                <w:rFonts w:hint="default" w:ascii="Times New Roman" w:hAnsi="Times New Roman" w:cs="Times New Roman"/>
                <w:b/>
                <w:bCs/>
                <w:color w:val="000000" w:themeColor="text1"/>
                <w:sz w:val="21"/>
                <w:szCs w:val="21"/>
                <w:highlight w:val="none"/>
                <w14:textFill>
                  <w14:solidFill>
                    <w14:schemeClr w14:val="tx1"/>
                  </w14:solidFill>
                </w14:textFill>
              </w:rPr>
              <w:t xml:space="preserve"> </w:t>
            </w:r>
            <w:r>
              <w:rPr>
                <w:rFonts w:hint="eastAsia" w:cs="Times New Roman"/>
                <w:b/>
                <w:bCs/>
                <w:color w:val="000000" w:themeColor="text1"/>
                <w:sz w:val="21"/>
                <w:szCs w:val="21"/>
                <w:highlight w:val="none"/>
                <w:lang w:val="en-US" w:eastAsia="zh-CN"/>
                <w14:textFill>
                  <w14:solidFill>
                    <w14:schemeClr w14:val="tx1"/>
                  </w14:solidFill>
                </w14:textFill>
              </w:rPr>
              <w:t>项目</w:t>
            </w:r>
            <w:r>
              <w:rPr>
                <w:rFonts w:hint="default" w:ascii="Times New Roman" w:hAnsi="Times New Roman" w:cs="Times New Roman"/>
                <w:b/>
                <w:bCs/>
                <w:color w:val="000000" w:themeColor="text1"/>
                <w:sz w:val="21"/>
                <w:szCs w:val="21"/>
                <w:highlight w:val="none"/>
                <w14:textFill>
                  <w14:solidFill>
                    <w14:schemeClr w14:val="tx1"/>
                  </w14:solidFill>
                </w14:textFill>
              </w:rPr>
              <w:t>区域空气质量现状评价表</w:t>
            </w:r>
          </w:p>
          <w:tbl>
            <w:tblPr>
              <w:tblStyle w:val="42"/>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0"/>
              <w:gridCol w:w="1590"/>
              <w:gridCol w:w="1862"/>
              <w:gridCol w:w="1545"/>
              <w:gridCol w:w="1323"/>
              <w:gridCol w:w="1045"/>
            </w:tblGrid>
            <w:tr w14:paraId="56F9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518" w:type="pct"/>
                  <w:tcBorders>
                    <w:top w:val="single" w:color="000000" w:sz="12" w:space="0"/>
                    <w:left w:val="nil"/>
                    <w:tl2br w:val="nil"/>
                    <w:tr2bl w:val="nil"/>
                  </w:tcBorders>
                  <w:shd w:val="clear" w:color="auto" w:fill="FFFFFF"/>
                  <w:noWrap w:val="0"/>
                  <w:vAlign w:val="center"/>
                </w:tcPr>
                <w:p w14:paraId="43045006">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污染物</w:t>
                  </w:r>
                </w:p>
              </w:tc>
              <w:tc>
                <w:tcPr>
                  <w:tcW w:w="964" w:type="pct"/>
                  <w:tcBorders>
                    <w:top w:val="single" w:color="000000" w:sz="12" w:space="0"/>
                    <w:tl2br w:val="nil"/>
                    <w:tr2bl w:val="nil"/>
                  </w:tcBorders>
                  <w:shd w:val="clear" w:color="auto" w:fill="FFFFFF"/>
                  <w:noWrap w:val="0"/>
                  <w:vAlign w:val="center"/>
                </w:tcPr>
                <w:p w14:paraId="45DD9334">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年评价指标</w:t>
                  </w:r>
                </w:p>
              </w:tc>
              <w:tc>
                <w:tcPr>
                  <w:tcW w:w="1123" w:type="pct"/>
                  <w:tcBorders>
                    <w:top w:val="single" w:color="000000" w:sz="12" w:space="0"/>
                    <w:tl2br w:val="nil"/>
                    <w:tr2bl w:val="nil"/>
                  </w:tcBorders>
                  <w:shd w:val="clear" w:color="auto" w:fill="FFFFFF"/>
                  <w:noWrap w:val="0"/>
                  <w:vAlign w:val="center"/>
                </w:tcPr>
                <w:p w14:paraId="3356EBCB">
                  <w:pPr>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现状浓度（µg/m</w:t>
                  </w:r>
                  <w:r>
                    <w:rPr>
                      <w:rFonts w:hint="default" w:ascii="Times New Roman" w:hAnsi="Times New Roman" w:eastAsia="宋体" w:cs="Times New Roman"/>
                      <w:b w:val="0"/>
                      <w:bCs/>
                      <w:color w:val="000000" w:themeColor="text1"/>
                      <w:kern w:val="0"/>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938" w:type="pct"/>
                  <w:tcBorders>
                    <w:top w:val="single" w:color="000000" w:sz="12" w:space="0"/>
                    <w:tl2br w:val="nil"/>
                    <w:tr2bl w:val="nil"/>
                  </w:tcBorders>
                  <w:shd w:val="clear" w:color="auto" w:fill="FFFFFF"/>
                  <w:noWrap w:val="0"/>
                  <w:vAlign w:val="center"/>
                </w:tcPr>
                <w:p w14:paraId="5F32BD8A">
                  <w:pPr>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标准值（µg/m</w:t>
                  </w:r>
                  <w:r>
                    <w:rPr>
                      <w:rFonts w:hint="default" w:ascii="Times New Roman" w:hAnsi="Times New Roman" w:eastAsia="宋体" w:cs="Times New Roman"/>
                      <w:b w:val="0"/>
                      <w:bCs/>
                      <w:color w:val="000000" w:themeColor="text1"/>
                      <w:kern w:val="0"/>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808" w:type="pct"/>
                  <w:tcBorders>
                    <w:top w:val="single" w:color="000000" w:sz="12" w:space="0"/>
                    <w:tl2br w:val="nil"/>
                    <w:tr2bl w:val="nil"/>
                  </w:tcBorders>
                  <w:shd w:val="clear" w:color="auto" w:fill="FFFFFF"/>
                  <w:noWrap w:val="0"/>
                  <w:vAlign w:val="center"/>
                </w:tcPr>
                <w:p w14:paraId="03B05BA6">
                  <w:pPr>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占标率（%）</w:t>
                  </w:r>
                </w:p>
              </w:tc>
              <w:tc>
                <w:tcPr>
                  <w:tcW w:w="645" w:type="pct"/>
                  <w:tcBorders>
                    <w:top w:val="single" w:color="000000" w:sz="12" w:space="0"/>
                    <w:right w:val="nil"/>
                    <w:tl2br w:val="nil"/>
                    <w:tr2bl w:val="nil"/>
                  </w:tcBorders>
                  <w:shd w:val="clear" w:color="auto" w:fill="FFFFFF"/>
                  <w:noWrap w:val="0"/>
                  <w:vAlign w:val="center"/>
                </w:tcPr>
                <w:p w14:paraId="4AD047BD">
                  <w:pPr>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达标情况</w:t>
                  </w:r>
                </w:p>
              </w:tc>
            </w:tr>
            <w:tr w14:paraId="4D29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86" w:type="dxa"/>
                  <w:tcBorders>
                    <w:left w:val="nil"/>
                    <w:tl2br w:val="nil"/>
                    <w:tr2bl w:val="nil"/>
                  </w:tcBorders>
                  <w:shd w:val="clear" w:color="auto" w:fill="FFFFFF"/>
                  <w:noWrap w:val="0"/>
                  <w:vAlign w:val="center"/>
                </w:tcPr>
                <w:p w14:paraId="123831A3">
                  <w:pPr>
                    <w:pageBreakBefore w:val="0"/>
                    <w:wordWrap/>
                    <w:topLinePunct w:val="0"/>
                    <w:bidi w:val="0"/>
                    <w:adjustRightInd w:val="0"/>
                    <w:snapToGrid w:val="0"/>
                    <w:spacing w:line="360" w:lineRule="auto"/>
                    <w:ind w:left="0" w:leftChars="0" w:firstLine="420" w:firstLineChars="200"/>
                    <w:jc w:val="center"/>
                    <w:rPr>
                      <w:rFonts w:hint="default"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t>SO</w:t>
                  </w:r>
                  <w:r>
                    <w:rPr>
                      <w:rFonts w:hint="eastAsia" w:ascii="Times New Roman" w:hAnsi="Times New Roman" w:eastAsia="宋体" w:cs="Times New Roman"/>
                      <w:b w:val="0"/>
                      <w:caps w:val="0"/>
                      <w:smallCaps w:val="0"/>
                      <w:color w:val="000000" w:themeColor="text1"/>
                      <w:kern w:val="0"/>
                      <w:sz w:val="21"/>
                      <w:szCs w:val="21"/>
                      <w:highlight w:val="none"/>
                      <w:vertAlign w:val="subscript"/>
                      <w:lang w:val="en-US" w:eastAsia="zh-CN" w:bidi="ar-SA"/>
                      <w14:textFill>
                        <w14:solidFill>
                          <w14:schemeClr w14:val="tx1"/>
                        </w14:solidFill>
                      </w14:textFill>
                    </w:rPr>
                    <w:t>2</w:t>
                  </w:r>
                </w:p>
              </w:tc>
              <w:tc>
                <w:tcPr>
                  <w:tcW w:w="1649" w:type="dxa"/>
                  <w:tcBorders>
                    <w:tl2br w:val="nil"/>
                    <w:tr2bl w:val="nil"/>
                  </w:tcBorders>
                  <w:shd w:val="clear" w:color="auto" w:fill="FFFFFF"/>
                  <w:noWrap w:val="0"/>
                  <w:vAlign w:val="center"/>
                </w:tcPr>
                <w:p w14:paraId="55A323F5">
                  <w:pPr>
                    <w:pStyle w:val="153"/>
                    <w:keepNext w:val="0"/>
                    <w:keepLines w:val="0"/>
                    <w:pageBreakBefore w:val="0"/>
                    <w:kinsoku/>
                    <w:wordWrap/>
                    <w:overflowPunct/>
                    <w:topLinePunct w:val="0"/>
                    <w:autoSpaceDE/>
                    <w:autoSpaceDN/>
                    <w:bidi w:val="0"/>
                    <w:spacing w:line="300" w:lineRule="exact"/>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14:textFill>
                        <w14:solidFill>
                          <w14:schemeClr w14:val="tx1"/>
                        </w14:solidFill>
                      </w14:textFill>
                    </w:rPr>
                    <w:t>年平均</w:t>
                  </w:r>
                </w:p>
              </w:tc>
              <w:tc>
                <w:tcPr>
                  <w:tcW w:w="1921" w:type="dxa"/>
                  <w:tcBorders>
                    <w:tl2br w:val="nil"/>
                    <w:tr2bl w:val="nil"/>
                  </w:tcBorders>
                  <w:shd w:val="clear" w:color="auto" w:fill="FFFFFF"/>
                  <w:noWrap w:val="0"/>
                  <w:vAlign w:val="center"/>
                </w:tcPr>
                <w:p w14:paraId="7CEA2E32">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7</w:t>
                  </w:r>
                </w:p>
              </w:tc>
              <w:tc>
                <w:tcPr>
                  <w:tcW w:w="1604" w:type="dxa"/>
                  <w:tcBorders>
                    <w:tl2br w:val="nil"/>
                    <w:tr2bl w:val="nil"/>
                  </w:tcBorders>
                  <w:shd w:val="clear" w:color="auto" w:fill="FFFFFF"/>
                  <w:noWrap w:val="0"/>
                  <w:vAlign w:val="center"/>
                </w:tcPr>
                <w:p w14:paraId="5DC1C90C">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14:textFill>
                        <w14:solidFill>
                          <w14:schemeClr w14:val="tx1"/>
                        </w14:solidFill>
                      </w14:textFill>
                    </w:rPr>
                    <w:t>60</w:t>
                  </w:r>
                  <w:r>
                    <w:rPr>
                      <w:rFonts w:hint="default" w:ascii="Times New Roman" w:hAnsi="Times New Roman" w:eastAsia="宋体" w:cs="Times New Roman"/>
                      <w:b w:val="0"/>
                      <w:caps w:val="0"/>
                      <w:smallCaps w:val="0"/>
                      <w:color w:val="000000" w:themeColor="text1"/>
                      <w:sz w:val="21"/>
                      <w:szCs w:val="21"/>
                      <w:highlight w:val="none"/>
                      <w:lang w:val="en-US" w:eastAsia="zh-CN"/>
                      <w14:textFill>
                        <w14:solidFill>
                          <w14:schemeClr w14:val="tx1"/>
                        </w14:solidFill>
                      </w14:textFill>
                    </w:rPr>
                    <w:t>μ</w:t>
                  </w:r>
                  <w:r>
                    <w:rPr>
                      <w:rFonts w:hint="eastAsia" w:ascii="Times New Roman" w:hAnsi="Times New Roman" w:eastAsia="宋体"/>
                      <w:b w:val="0"/>
                      <w:caps w:val="0"/>
                      <w:smallCaps w:val="0"/>
                      <w:color w:val="000000" w:themeColor="text1"/>
                      <w:sz w:val="21"/>
                      <w:szCs w:val="21"/>
                      <w:highlight w:val="none"/>
                      <w:lang w:val="en-US" w:eastAsia="zh-CN"/>
                      <w14:textFill>
                        <w14:solidFill>
                          <w14:schemeClr w14:val="tx1"/>
                        </w14:solidFill>
                      </w14:textFill>
                    </w:rPr>
                    <w:t>g/m</w:t>
                  </w:r>
                  <w:r>
                    <w:rPr>
                      <w:rFonts w:hint="eastAsia" w:ascii="Times New Roman" w:hAnsi="Times New Roman" w:eastAsia="宋体"/>
                      <w:b w:val="0"/>
                      <w:caps w:val="0"/>
                      <w:smallCaps w:val="0"/>
                      <w:color w:val="000000" w:themeColor="text1"/>
                      <w:sz w:val="21"/>
                      <w:szCs w:val="21"/>
                      <w:highlight w:val="none"/>
                      <w:vertAlign w:val="superscript"/>
                      <w:lang w:val="en-US" w:eastAsia="zh-CN"/>
                      <w14:textFill>
                        <w14:solidFill>
                          <w14:schemeClr w14:val="tx1"/>
                        </w14:solidFill>
                      </w14:textFill>
                    </w:rPr>
                    <w:t>3</w:t>
                  </w:r>
                </w:p>
              </w:tc>
              <w:tc>
                <w:tcPr>
                  <w:tcW w:w="1382" w:type="dxa"/>
                  <w:tcBorders>
                    <w:tl2br w:val="nil"/>
                    <w:tr2bl w:val="nil"/>
                  </w:tcBorders>
                  <w:shd w:val="clear" w:color="auto" w:fill="FFFFFF"/>
                  <w:noWrap w:val="0"/>
                  <w:vAlign w:val="bottom"/>
                </w:tcPr>
                <w:p w14:paraId="52098CBA">
                  <w:pPr>
                    <w:pageBreakBefore w:val="0"/>
                    <w:widowControl/>
                    <w:wordWrap/>
                    <w:topLinePunct w:val="0"/>
                    <w:bidi w:val="0"/>
                    <w:spacing w:line="360" w:lineRule="auto"/>
                    <w:ind w:left="0" w:leftChars="0" w:firstLine="420" w:firstLineChars="200"/>
                    <w:jc w:val="both"/>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11.6</w:t>
                  </w:r>
                </w:p>
              </w:tc>
              <w:tc>
                <w:tcPr>
                  <w:tcW w:w="1103" w:type="dxa"/>
                  <w:tcBorders>
                    <w:right w:val="nil"/>
                    <w:tl2br w:val="nil"/>
                    <w:tr2bl w:val="nil"/>
                  </w:tcBorders>
                  <w:shd w:val="clear" w:color="auto" w:fill="FFFFFF"/>
                  <w:noWrap w:val="0"/>
                  <w:vAlign w:val="center"/>
                </w:tcPr>
                <w:p w14:paraId="6CFE1672">
                  <w:pPr>
                    <w:pageBreakBefore w:val="0"/>
                    <w:wordWrap/>
                    <w:topLinePunct w:val="0"/>
                    <w:bidi w:val="0"/>
                    <w:adjustRightInd w:val="0"/>
                    <w:snapToGrid w:val="0"/>
                    <w:spacing w:line="360" w:lineRule="auto"/>
                    <w:ind w:left="0" w:leftChars="0" w:firstLine="0" w:firstLineChars="0"/>
                    <w:jc w:val="center"/>
                    <w:rPr>
                      <w:rFonts w:hint="eastAsia" w:ascii="Times New Roman" w:hAnsi="Times New Roman" w:eastAsia="宋体" w:cs="Times New Roman"/>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14:textFill>
                        <w14:solidFill>
                          <w14:schemeClr w14:val="tx1"/>
                        </w14:solidFill>
                      </w14:textFill>
                    </w:rPr>
                    <w:t>达标</w:t>
                  </w:r>
                </w:p>
              </w:tc>
            </w:tr>
            <w:tr w14:paraId="0D44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86" w:type="dxa"/>
                  <w:tcBorders>
                    <w:left w:val="nil"/>
                    <w:tl2br w:val="nil"/>
                    <w:tr2bl w:val="nil"/>
                  </w:tcBorders>
                  <w:shd w:val="clear" w:color="auto" w:fill="FFFFFF"/>
                  <w:noWrap w:val="0"/>
                  <w:vAlign w:val="center"/>
                </w:tcPr>
                <w:p w14:paraId="4A929808">
                  <w:pPr>
                    <w:pageBreakBefore w:val="0"/>
                    <w:wordWrap/>
                    <w:topLinePunct w:val="0"/>
                    <w:bidi w:val="0"/>
                    <w:adjustRightInd w:val="0"/>
                    <w:snapToGrid w:val="0"/>
                    <w:spacing w:line="360" w:lineRule="auto"/>
                    <w:ind w:left="0" w:leftChars="0" w:firstLine="420" w:firstLineChars="200"/>
                    <w:jc w:val="center"/>
                    <w:rPr>
                      <w:rFonts w:hint="default"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t>NO</w:t>
                  </w:r>
                  <w:r>
                    <w:rPr>
                      <w:rFonts w:hint="eastAsia" w:ascii="Times New Roman" w:hAnsi="Times New Roman" w:eastAsia="宋体" w:cs="Times New Roman"/>
                      <w:b w:val="0"/>
                      <w:caps w:val="0"/>
                      <w:smallCaps w:val="0"/>
                      <w:color w:val="000000" w:themeColor="text1"/>
                      <w:kern w:val="0"/>
                      <w:sz w:val="21"/>
                      <w:szCs w:val="21"/>
                      <w:highlight w:val="none"/>
                      <w:vertAlign w:val="subscript"/>
                      <w:lang w:val="en-US" w:eastAsia="zh-CN" w:bidi="ar-SA"/>
                      <w14:textFill>
                        <w14:solidFill>
                          <w14:schemeClr w14:val="tx1"/>
                        </w14:solidFill>
                      </w14:textFill>
                    </w:rPr>
                    <w:t>2</w:t>
                  </w:r>
                </w:p>
              </w:tc>
              <w:tc>
                <w:tcPr>
                  <w:tcW w:w="1649" w:type="dxa"/>
                  <w:tcBorders>
                    <w:tl2br w:val="nil"/>
                    <w:tr2bl w:val="nil"/>
                  </w:tcBorders>
                  <w:shd w:val="clear" w:color="auto" w:fill="FFFFFF"/>
                  <w:noWrap w:val="0"/>
                  <w:vAlign w:val="center"/>
                </w:tcPr>
                <w:p w14:paraId="6428BD26">
                  <w:pPr>
                    <w:pStyle w:val="153"/>
                    <w:keepNext w:val="0"/>
                    <w:keepLines w:val="0"/>
                    <w:pageBreakBefore w:val="0"/>
                    <w:kinsoku/>
                    <w:wordWrap/>
                    <w:overflowPunct/>
                    <w:topLinePunct w:val="0"/>
                    <w:autoSpaceDE/>
                    <w:autoSpaceDN/>
                    <w:bidi w:val="0"/>
                    <w:spacing w:line="300" w:lineRule="exact"/>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14:textFill>
                        <w14:solidFill>
                          <w14:schemeClr w14:val="tx1"/>
                        </w14:solidFill>
                      </w14:textFill>
                    </w:rPr>
                    <w:t>年平均</w:t>
                  </w:r>
                </w:p>
              </w:tc>
              <w:tc>
                <w:tcPr>
                  <w:tcW w:w="1921" w:type="dxa"/>
                  <w:tcBorders>
                    <w:tl2br w:val="nil"/>
                    <w:tr2bl w:val="nil"/>
                  </w:tcBorders>
                  <w:shd w:val="clear" w:color="auto" w:fill="FFFFFF"/>
                  <w:noWrap w:val="0"/>
                  <w:vAlign w:val="center"/>
                </w:tcPr>
                <w:p w14:paraId="33FBAD33">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25</w:t>
                  </w:r>
                </w:p>
              </w:tc>
              <w:tc>
                <w:tcPr>
                  <w:tcW w:w="1604" w:type="dxa"/>
                  <w:tcBorders>
                    <w:tl2br w:val="nil"/>
                    <w:tr2bl w:val="nil"/>
                  </w:tcBorders>
                  <w:shd w:val="clear" w:color="auto" w:fill="FFFFFF"/>
                  <w:noWrap w:val="0"/>
                  <w:vAlign w:val="center"/>
                </w:tcPr>
                <w:p w14:paraId="5C49A9AF">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14:textFill>
                        <w14:solidFill>
                          <w14:schemeClr w14:val="tx1"/>
                        </w14:solidFill>
                      </w14:textFill>
                    </w:rPr>
                    <w:t>40</w:t>
                  </w:r>
                  <w:r>
                    <w:rPr>
                      <w:rFonts w:hint="default" w:ascii="Times New Roman" w:hAnsi="Times New Roman" w:eastAsia="宋体" w:cs="Times New Roman"/>
                      <w:b w:val="0"/>
                      <w:caps w:val="0"/>
                      <w:smallCaps w:val="0"/>
                      <w:color w:val="000000" w:themeColor="text1"/>
                      <w:sz w:val="21"/>
                      <w:szCs w:val="21"/>
                      <w:highlight w:val="none"/>
                      <w:lang w:val="en-US" w:eastAsia="zh-CN"/>
                      <w14:textFill>
                        <w14:solidFill>
                          <w14:schemeClr w14:val="tx1"/>
                        </w14:solidFill>
                      </w14:textFill>
                    </w:rPr>
                    <w:t>μ</w:t>
                  </w:r>
                  <w:r>
                    <w:rPr>
                      <w:rFonts w:hint="eastAsia" w:ascii="Times New Roman" w:hAnsi="Times New Roman" w:eastAsia="宋体"/>
                      <w:b w:val="0"/>
                      <w:caps w:val="0"/>
                      <w:smallCaps w:val="0"/>
                      <w:color w:val="000000" w:themeColor="text1"/>
                      <w:sz w:val="21"/>
                      <w:szCs w:val="21"/>
                      <w:highlight w:val="none"/>
                      <w:lang w:val="en-US" w:eastAsia="zh-CN"/>
                      <w14:textFill>
                        <w14:solidFill>
                          <w14:schemeClr w14:val="tx1"/>
                        </w14:solidFill>
                      </w14:textFill>
                    </w:rPr>
                    <w:t>g/m</w:t>
                  </w:r>
                  <w:r>
                    <w:rPr>
                      <w:rFonts w:hint="eastAsia" w:ascii="Times New Roman" w:hAnsi="Times New Roman" w:eastAsia="宋体"/>
                      <w:b w:val="0"/>
                      <w:caps w:val="0"/>
                      <w:smallCaps w:val="0"/>
                      <w:color w:val="000000" w:themeColor="text1"/>
                      <w:sz w:val="21"/>
                      <w:szCs w:val="21"/>
                      <w:highlight w:val="none"/>
                      <w:vertAlign w:val="superscript"/>
                      <w:lang w:val="en-US" w:eastAsia="zh-CN"/>
                      <w14:textFill>
                        <w14:solidFill>
                          <w14:schemeClr w14:val="tx1"/>
                        </w14:solidFill>
                      </w14:textFill>
                    </w:rPr>
                    <w:t>3</w:t>
                  </w:r>
                </w:p>
              </w:tc>
              <w:tc>
                <w:tcPr>
                  <w:tcW w:w="1382" w:type="dxa"/>
                  <w:tcBorders>
                    <w:tl2br w:val="nil"/>
                    <w:tr2bl w:val="nil"/>
                  </w:tcBorders>
                  <w:shd w:val="clear" w:color="auto" w:fill="FFFFFF"/>
                  <w:noWrap w:val="0"/>
                  <w:vAlign w:val="bottom"/>
                </w:tcPr>
                <w:p w14:paraId="28BF5B95">
                  <w:pPr>
                    <w:pageBreakBefore w:val="0"/>
                    <w:wordWrap/>
                    <w:topLinePunct w:val="0"/>
                    <w:bidi w:val="0"/>
                    <w:spacing w:line="360" w:lineRule="auto"/>
                    <w:ind w:left="0" w:leftChars="0" w:firstLine="420" w:firstLineChars="200"/>
                    <w:jc w:val="both"/>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62.5</w:t>
                  </w:r>
                </w:p>
              </w:tc>
              <w:tc>
                <w:tcPr>
                  <w:tcW w:w="1103" w:type="dxa"/>
                  <w:tcBorders>
                    <w:right w:val="nil"/>
                    <w:tl2br w:val="nil"/>
                    <w:tr2bl w:val="nil"/>
                  </w:tcBorders>
                  <w:shd w:val="clear" w:color="auto" w:fill="FFFFFF"/>
                  <w:noWrap w:val="0"/>
                  <w:vAlign w:val="center"/>
                </w:tcPr>
                <w:p w14:paraId="38D80253">
                  <w:pPr>
                    <w:pageBreakBefore w:val="0"/>
                    <w:wordWrap/>
                    <w:topLinePunct w:val="0"/>
                    <w:bidi w:val="0"/>
                    <w:adjustRightInd w:val="0"/>
                    <w:snapToGrid w:val="0"/>
                    <w:spacing w:line="360" w:lineRule="auto"/>
                    <w:ind w:left="0" w:leftChars="0" w:firstLine="0" w:firstLineChars="0"/>
                    <w:jc w:val="center"/>
                    <w:rPr>
                      <w:rFonts w:hint="eastAsia" w:ascii="Times New Roman" w:hAnsi="Times New Roman" w:eastAsia="宋体" w:cs="Times New Roman"/>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14:textFill>
                        <w14:solidFill>
                          <w14:schemeClr w14:val="tx1"/>
                        </w14:solidFill>
                      </w14:textFill>
                    </w:rPr>
                    <w:t>达标</w:t>
                  </w:r>
                </w:p>
              </w:tc>
            </w:tr>
            <w:tr w14:paraId="35C6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86" w:type="dxa"/>
                  <w:tcBorders>
                    <w:left w:val="nil"/>
                    <w:tl2br w:val="nil"/>
                    <w:tr2bl w:val="nil"/>
                  </w:tcBorders>
                  <w:shd w:val="clear" w:color="auto" w:fill="FFFFFF"/>
                  <w:noWrap w:val="0"/>
                  <w:vAlign w:val="center"/>
                </w:tcPr>
                <w:p w14:paraId="3E2CF914">
                  <w:pPr>
                    <w:pageBreakBefore w:val="0"/>
                    <w:wordWrap/>
                    <w:topLinePunct w:val="0"/>
                    <w:bidi w:val="0"/>
                    <w:adjustRightInd w:val="0"/>
                    <w:snapToGrid w:val="0"/>
                    <w:spacing w:line="360" w:lineRule="auto"/>
                    <w:ind w:left="0" w:leftChars="0" w:firstLine="420" w:firstLineChars="200"/>
                    <w:jc w:val="center"/>
                    <w:rPr>
                      <w:rFonts w:hint="default"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t>PM</w:t>
                  </w:r>
                  <w:r>
                    <w:rPr>
                      <w:rFonts w:hint="eastAsia" w:ascii="Times New Roman" w:hAnsi="Times New Roman" w:eastAsia="宋体" w:cs="Times New Roman"/>
                      <w:b w:val="0"/>
                      <w:caps w:val="0"/>
                      <w:smallCaps w:val="0"/>
                      <w:color w:val="000000" w:themeColor="text1"/>
                      <w:kern w:val="0"/>
                      <w:sz w:val="21"/>
                      <w:szCs w:val="21"/>
                      <w:highlight w:val="none"/>
                      <w:vertAlign w:val="subscript"/>
                      <w:lang w:val="en-US" w:eastAsia="zh-CN" w:bidi="ar-SA"/>
                      <w14:textFill>
                        <w14:solidFill>
                          <w14:schemeClr w14:val="tx1"/>
                        </w14:solidFill>
                      </w14:textFill>
                    </w:rPr>
                    <w:t>10</w:t>
                  </w:r>
                </w:p>
              </w:tc>
              <w:tc>
                <w:tcPr>
                  <w:tcW w:w="1649" w:type="dxa"/>
                  <w:tcBorders>
                    <w:tl2br w:val="nil"/>
                    <w:tr2bl w:val="nil"/>
                  </w:tcBorders>
                  <w:shd w:val="clear" w:color="auto" w:fill="FFFFFF"/>
                  <w:noWrap w:val="0"/>
                  <w:vAlign w:val="center"/>
                </w:tcPr>
                <w:p w14:paraId="23A59D14">
                  <w:pPr>
                    <w:pStyle w:val="153"/>
                    <w:keepNext w:val="0"/>
                    <w:keepLines w:val="0"/>
                    <w:pageBreakBefore w:val="0"/>
                    <w:kinsoku/>
                    <w:wordWrap/>
                    <w:overflowPunct/>
                    <w:topLinePunct w:val="0"/>
                    <w:autoSpaceDE/>
                    <w:autoSpaceDN/>
                    <w:bidi w:val="0"/>
                    <w:spacing w:line="300" w:lineRule="exact"/>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14:textFill>
                        <w14:solidFill>
                          <w14:schemeClr w14:val="tx1"/>
                        </w14:solidFill>
                      </w14:textFill>
                    </w:rPr>
                    <w:t>年平均</w:t>
                  </w:r>
                </w:p>
              </w:tc>
              <w:tc>
                <w:tcPr>
                  <w:tcW w:w="1921" w:type="dxa"/>
                  <w:tcBorders>
                    <w:tl2br w:val="nil"/>
                    <w:tr2bl w:val="nil"/>
                  </w:tcBorders>
                  <w:shd w:val="clear" w:color="auto" w:fill="FFFFFF"/>
                  <w:noWrap w:val="0"/>
                  <w:vAlign w:val="center"/>
                </w:tcPr>
                <w:p w14:paraId="6C6418EF">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71</w:t>
                  </w:r>
                </w:p>
              </w:tc>
              <w:tc>
                <w:tcPr>
                  <w:tcW w:w="1604" w:type="dxa"/>
                  <w:tcBorders>
                    <w:tl2br w:val="nil"/>
                    <w:tr2bl w:val="nil"/>
                  </w:tcBorders>
                  <w:shd w:val="clear" w:color="auto" w:fill="FFFFFF"/>
                  <w:noWrap w:val="0"/>
                  <w:vAlign w:val="center"/>
                </w:tcPr>
                <w:p w14:paraId="1A17D5B3">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val="0"/>
                      <w:bCs w:val="0"/>
                      <w:caps w:val="0"/>
                      <w:smallCaps w:val="0"/>
                      <w:color w:val="000000" w:themeColor="text1"/>
                      <w:sz w:val="21"/>
                      <w:szCs w:val="21"/>
                      <w:highlight w:val="none"/>
                      <w:lang w:val="en-US" w:eastAsia="zh-CN"/>
                      <w14:textFill>
                        <w14:solidFill>
                          <w14:schemeClr w14:val="tx1"/>
                        </w14:solidFill>
                      </w14:textFill>
                    </w:rPr>
                    <w:t>60</w:t>
                  </w:r>
                  <w:r>
                    <w:rPr>
                      <w:rFonts w:hint="default" w:ascii="Times New Roman" w:hAnsi="Times New Roman" w:eastAsia="宋体" w:cs="Times New Roman"/>
                      <w:b w:val="0"/>
                      <w:bCs w:val="0"/>
                      <w:caps w:val="0"/>
                      <w:smallCaps w:val="0"/>
                      <w:color w:val="000000" w:themeColor="text1"/>
                      <w:sz w:val="21"/>
                      <w:szCs w:val="21"/>
                      <w:highlight w:val="none"/>
                      <w:lang w:val="en-US" w:eastAsia="zh-CN"/>
                      <w14:textFill>
                        <w14:solidFill>
                          <w14:schemeClr w14:val="tx1"/>
                        </w14:solidFill>
                      </w14:textFill>
                    </w:rPr>
                    <w:t>μ</w:t>
                  </w:r>
                  <w:r>
                    <w:rPr>
                      <w:rFonts w:hint="eastAsia" w:ascii="Times New Roman" w:hAnsi="Times New Roman" w:eastAsia="宋体"/>
                      <w:b w:val="0"/>
                      <w:bCs w:val="0"/>
                      <w:caps w:val="0"/>
                      <w:smallCaps w:val="0"/>
                      <w:color w:val="000000" w:themeColor="text1"/>
                      <w:sz w:val="21"/>
                      <w:szCs w:val="21"/>
                      <w:highlight w:val="none"/>
                      <w:lang w:val="en-US" w:eastAsia="zh-CN"/>
                      <w14:textFill>
                        <w14:solidFill>
                          <w14:schemeClr w14:val="tx1"/>
                        </w14:solidFill>
                      </w14:textFill>
                    </w:rPr>
                    <w:t>g/m</w:t>
                  </w:r>
                  <w:r>
                    <w:rPr>
                      <w:rFonts w:hint="eastAsia" w:ascii="Times New Roman" w:hAnsi="Times New Roman" w:eastAsia="宋体"/>
                      <w:b w:val="0"/>
                      <w:bCs w:val="0"/>
                      <w:caps w:val="0"/>
                      <w:smallCaps w:val="0"/>
                      <w:color w:val="000000" w:themeColor="text1"/>
                      <w:sz w:val="21"/>
                      <w:szCs w:val="21"/>
                      <w:highlight w:val="none"/>
                      <w:vertAlign w:val="superscript"/>
                      <w:lang w:val="en-US" w:eastAsia="zh-CN"/>
                      <w14:textFill>
                        <w14:solidFill>
                          <w14:schemeClr w14:val="tx1"/>
                        </w14:solidFill>
                      </w14:textFill>
                    </w:rPr>
                    <w:t>3</w:t>
                  </w:r>
                </w:p>
              </w:tc>
              <w:tc>
                <w:tcPr>
                  <w:tcW w:w="1382" w:type="dxa"/>
                  <w:tcBorders>
                    <w:tl2br w:val="nil"/>
                    <w:tr2bl w:val="nil"/>
                  </w:tcBorders>
                  <w:shd w:val="clear" w:color="auto" w:fill="FFFFFF"/>
                  <w:noWrap w:val="0"/>
                  <w:vAlign w:val="bottom"/>
                </w:tcPr>
                <w:p w14:paraId="14310B92">
                  <w:pPr>
                    <w:pageBreakBefore w:val="0"/>
                    <w:wordWrap/>
                    <w:topLinePunct w:val="0"/>
                    <w:bidi w:val="0"/>
                    <w:spacing w:line="360" w:lineRule="auto"/>
                    <w:ind w:left="0" w:leftChars="0" w:firstLine="420" w:firstLineChars="200"/>
                    <w:jc w:val="both"/>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118</w:t>
                  </w:r>
                </w:p>
              </w:tc>
              <w:tc>
                <w:tcPr>
                  <w:tcW w:w="1103" w:type="dxa"/>
                  <w:tcBorders>
                    <w:right w:val="nil"/>
                    <w:tl2br w:val="nil"/>
                    <w:tr2bl w:val="nil"/>
                  </w:tcBorders>
                  <w:shd w:val="clear" w:color="auto" w:fill="FFFFFF"/>
                  <w:noWrap w:val="0"/>
                  <w:vAlign w:val="center"/>
                </w:tcPr>
                <w:p w14:paraId="5886BC94">
                  <w:pPr>
                    <w:pageBreakBefore w:val="0"/>
                    <w:wordWrap/>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eastAsia" w:ascii="Times New Roman" w:hAnsi="Times New Roman" w:eastAsia="宋体"/>
                      <w:b w:val="0"/>
                      <w:color w:val="000000" w:themeColor="text1"/>
                      <w:sz w:val="21"/>
                      <w:szCs w:val="21"/>
                      <w:highlight w:val="none"/>
                      <w:lang w:val="en-US" w:eastAsia="zh-CN"/>
                      <w14:textFill>
                        <w14:solidFill>
                          <w14:schemeClr w14:val="tx1"/>
                        </w14:solidFill>
                      </w14:textFill>
                    </w:rPr>
                    <w:t>超标</w:t>
                  </w:r>
                </w:p>
              </w:tc>
            </w:tr>
            <w:tr w14:paraId="355B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86" w:type="dxa"/>
                  <w:tcBorders>
                    <w:left w:val="nil"/>
                    <w:tl2br w:val="nil"/>
                    <w:tr2bl w:val="nil"/>
                  </w:tcBorders>
                  <w:shd w:val="clear" w:color="auto" w:fill="FFFFFF"/>
                  <w:noWrap w:val="0"/>
                  <w:vAlign w:val="center"/>
                </w:tcPr>
                <w:p w14:paraId="41A8714C">
                  <w:pPr>
                    <w:pageBreakBefore w:val="0"/>
                    <w:wordWrap/>
                    <w:topLinePunct w:val="0"/>
                    <w:bidi w:val="0"/>
                    <w:adjustRightInd w:val="0"/>
                    <w:snapToGrid w:val="0"/>
                    <w:spacing w:line="360" w:lineRule="auto"/>
                    <w:ind w:left="0" w:leftChars="0" w:firstLine="420" w:firstLineChars="200"/>
                    <w:jc w:val="center"/>
                    <w:rPr>
                      <w:rFonts w:hint="default"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t>PM</w:t>
                  </w:r>
                  <w:r>
                    <w:rPr>
                      <w:rFonts w:hint="eastAsia" w:ascii="Times New Roman" w:hAnsi="Times New Roman" w:eastAsia="宋体" w:cs="Times New Roman"/>
                      <w:b w:val="0"/>
                      <w:caps w:val="0"/>
                      <w:smallCaps w:val="0"/>
                      <w:color w:val="000000" w:themeColor="text1"/>
                      <w:kern w:val="0"/>
                      <w:sz w:val="21"/>
                      <w:szCs w:val="21"/>
                      <w:highlight w:val="none"/>
                      <w:vertAlign w:val="subscript"/>
                      <w:lang w:val="en-US" w:eastAsia="zh-CN" w:bidi="ar-SA"/>
                      <w14:textFill>
                        <w14:solidFill>
                          <w14:schemeClr w14:val="tx1"/>
                        </w14:solidFill>
                      </w14:textFill>
                    </w:rPr>
                    <w:t>2.5</w:t>
                  </w:r>
                </w:p>
              </w:tc>
              <w:tc>
                <w:tcPr>
                  <w:tcW w:w="1649" w:type="dxa"/>
                  <w:tcBorders>
                    <w:tl2br w:val="nil"/>
                    <w:tr2bl w:val="nil"/>
                  </w:tcBorders>
                  <w:shd w:val="clear" w:color="auto" w:fill="FFFFFF"/>
                  <w:noWrap w:val="0"/>
                  <w:vAlign w:val="center"/>
                </w:tcPr>
                <w:p w14:paraId="678E989B">
                  <w:pPr>
                    <w:pStyle w:val="153"/>
                    <w:keepNext w:val="0"/>
                    <w:keepLines w:val="0"/>
                    <w:pageBreakBefore w:val="0"/>
                    <w:kinsoku/>
                    <w:wordWrap/>
                    <w:overflowPunct/>
                    <w:topLinePunct w:val="0"/>
                    <w:autoSpaceDE/>
                    <w:autoSpaceDN/>
                    <w:bidi w:val="0"/>
                    <w:spacing w:line="300" w:lineRule="exact"/>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14:textFill>
                        <w14:solidFill>
                          <w14:schemeClr w14:val="tx1"/>
                        </w14:solidFill>
                      </w14:textFill>
                    </w:rPr>
                    <w:t>年平均</w:t>
                  </w:r>
                </w:p>
              </w:tc>
              <w:tc>
                <w:tcPr>
                  <w:tcW w:w="1921" w:type="dxa"/>
                  <w:tcBorders>
                    <w:tl2br w:val="nil"/>
                    <w:tr2bl w:val="nil"/>
                  </w:tcBorders>
                  <w:shd w:val="clear" w:color="auto" w:fill="FFFFFF"/>
                  <w:noWrap w:val="0"/>
                  <w:vAlign w:val="center"/>
                </w:tcPr>
                <w:p w14:paraId="6005270E">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37</w:t>
                  </w:r>
                </w:p>
              </w:tc>
              <w:tc>
                <w:tcPr>
                  <w:tcW w:w="1604" w:type="dxa"/>
                  <w:tcBorders>
                    <w:tl2br w:val="nil"/>
                    <w:tr2bl w:val="nil"/>
                  </w:tcBorders>
                  <w:shd w:val="clear" w:color="auto" w:fill="FFFFFF"/>
                  <w:noWrap w:val="0"/>
                  <w:vAlign w:val="center"/>
                </w:tcPr>
                <w:p w14:paraId="4304EA9C">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14:textFill>
                        <w14:solidFill>
                          <w14:schemeClr w14:val="tx1"/>
                        </w14:solidFill>
                      </w14:textFill>
                    </w:rPr>
                  </w:pPr>
                  <w:r>
                    <w:rPr>
                      <w:rFonts w:hint="eastAsia" w:ascii="Times New Roman" w:hAnsi="Times New Roman" w:eastAsia="宋体"/>
                      <w:b w:val="0"/>
                      <w:bCs w:val="0"/>
                      <w:caps w:val="0"/>
                      <w:smallCaps w:val="0"/>
                      <w:color w:val="000000" w:themeColor="text1"/>
                      <w:sz w:val="21"/>
                      <w:szCs w:val="21"/>
                      <w:highlight w:val="none"/>
                      <w14:textFill>
                        <w14:solidFill>
                          <w14:schemeClr w14:val="tx1"/>
                        </w14:solidFill>
                      </w14:textFill>
                    </w:rPr>
                    <w:t>3</w:t>
                  </w:r>
                  <w:r>
                    <w:rPr>
                      <w:rFonts w:hint="eastAsia" w:ascii="Times New Roman" w:hAnsi="Times New Roman" w:eastAsia="宋体"/>
                      <w:b w:val="0"/>
                      <w:bCs w:val="0"/>
                      <w:caps w:val="0"/>
                      <w:smallCaps w:val="0"/>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b w:val="0"/>
                      <w:bCs w:val="0"/>
                      <w:caps w:val="0"/>
                      <w:smallCaps w:val="0"/>
                      <w:color w:val="000000" w:themeColor="text1"/>
                      <w:sz w:val="21"/>
                      <w:szCs w:val="21"/>
                      <w:highlight w:val="none"/>
                      <w:lang w:val="en-US" w:eastAsia="zh-CN"/>
                      <w14:textFill>
                        <w14:solidFill>
                          <w14:schemeClr w14:val="tx1"/>
                        </w14:solidFill>
                      </w14:textFill>
                    </w:rPr>
                    <w:t>μ</w:t>
                  </w:r>
                  <w:r>
                    <w:rPr>
                      <w:rFonts w:hint="eastAsia" w:ascii="Times New Roman" w:hAnsi="Times New Roman" w:eastAsia="宋体"/>
                      <w:b w:val="0"/>
                      <w:bCs w:val="0"/>
                      <w:caps w:val="0"/>
                      <w:smallCaps w:val="0"/>
                      <w:color w:val="000000" w:themeColor="text1"/>
                      <w:sz w:val="21"/>
                      <w:szCs w:val="21"/>
                      <w:highlight w:val="none"/>
                      <w:lang w:val="en-US" w:eastAsia="zh-CN"/>
                      <w14:textFill>
                        <w14:solidFill>
                          <w14:schemeClr w14:val="tx1"/>
                        </w14:solidFill>
                      </w14:textFill>
                    </w:rPr>
                    <w:t>g/m</w:t>
                  </w:r>
                  <w:r>
                    <w:rPr>
                      <w:rFonts w:hint="eastAsia" w:ascii="Times New Roman" w:hAnsi="Times New Roman" w:eastAsia="宋体"/>
                      <w:b w:val="0"/>
                      <w:bCs w:val="0"/>
                      <w:caps w:val="0"/>
                      <w:smallCaps w:val="0"/>
                      <w:color w:val="000000" w:themeColor="text1"/>
                      <w:sz w:val="21"/>
                      <w:szCs w:val="21"/>
                      <w:highlight w:val="none"/>
                      <w:vertAlign w:val="superscript"/>
                      <w:lang w:val="en-US" w:eastAsia="zh-CN"/>
                      <w14:textFill>
                        <w14:solidFill>
                          <w14:schemeClr w14:val="tx1"/>
                        </w14:solidFill>
                      </w14:textFill>
                    </w:rPr>
                    <w:t>3</w:t>
                  </w:r>
                </w:p>
              </w:tc>
              <w:tc>
                <w:tcPr>
                  <w:tcW w:w="1382" w:type="dxa"/>
                  <w:tcBorders>
                    <w:tl2br w:val="nil"/>
                    <w:tr2bl w:val="nil"/>
                  </w:tcBorders>
                  <w:shd w:val="clear" w:color="auto" w:fill="FFFFFF"/>
                  <w:noWrap w:val="0"/>
                  <w:vAlign w:val="bottom"/>
                </w:tcPr>
                <w:p w14:paraId="17299BE1">
                  <w:pPr>
                    <w:pageBreakBefore w:val="0"/>
                    <w:wordWrap/>
                    <w:topLinePunct w:val="0"/>
                    <w:bidi w:val="0"/>
                    <w:spacing w:line="360" w:lineRule="auto"/>
                    <w:ind w:left="0" w:leftChars="0" w:firstLine="420" w:firstLineChars="200"/>
                    <w:jc w:val="both"/>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123</w:t>
                  </w:r>
                </w:p>
              </w:tc>
              <w:tc>
                <w:tcPr>
                  <w:tcW w:w="1103" w:type="dxa"/>
                  <w:tcBorders>
                    <w:right w:val="nil"/>
                    <w:tl2br w:val="nil"/>
                    <w:tr2bl w:val="nil"/>
                  </w:tcBorders>
                  <w:shd w:val="clear" w:color="auto" w:fill="FFFFFF"/>
                  <w:noWrap w:val="0"/>
                  <w:vAlign w:val="center"/>
                </w:tcPr>
                <w:p w14:paraId="3EDE5019">
                  <w:pPr>
                    <w:pageBreakBefore w:val="0"/>
                    <w:wordWrap/>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eastAsia" w:ascii="Times New Roman" w:hAnsi="Times New Roman" w:eastAsia="宋体"/>
                      <w:b w:val="0"/>
                      <w:color w:val="000000" w:themeColor="text1"/>
                      <w:sz w:val="21"/>
                      <w:szCs w:val="21"/>
                      <w:highlight w:val="none"/>
                      <w:lang w:val="en-US" w:eastAsia="zh-CN"/>
                      <w14:textFill>
                        <w14:solidFill>
                          <w14:schemeClr w14:val="tx1"/>
                        </w14:solidFill>
                      </w14:textFill>
                    </w:rPr>
                    <w:t>超标</w:t>
                  </w:r>
                </w:p>
              </w:tc>
            </w:tr>
            <w:tr w14:paraId="08A7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86" w:type="dxa"/>
                  <w:tcBorders>
                    <w:left w:val="nil"/>
                    <w:tl2br w:val="nil"/>
                    <w:tr2bl w:val="nil"/>
                  </w:tcBorders>
                  <w:shd w:val="clear" w:color="auto" w:fill="FFFFFF"/>
                  <w:noWrap w:val="0"/>
                  <w:vAlign w:val="center"/>
                </w:tcPr>
                <w:p w14:paraId="74DC95D7">
                  <w:pPr>
                    <w:pageBreakBefore w:val="0"/>
                    <w:wordWrap/>
                    <w:topLinePunct w:val="0"/>
                    <w:bidi w:val="0"/>
                    <w:adjustRightInd w:val="0"/>
                    <w:snapToGrid w:val="0"/>
                    <w:spacing w:line="360" w:lineRule="auto"/>
                    <w:ind w:left="0" w:leftChars="0" w:firstLine="420" w:firstLineChars="200"/>
                    <w:jc w:val="center"/>
                    <w:rPr>
                      <w:rFonts w:hint="default"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t>O</w:t>
                  </w:r>
                  <w:r>
                    <w:rPr>
                      <w:rFonts w:hint="eastAsia" w:ascii="Times New Roman" w:hAnsi="Times New Roman" w:eastAsia="宋体" w:cs="Times New Roman"/>
                      <w:b w:val="0"/>
                      <w:caps w:val="0"/>
                      <w:smallCaps w:val="0"/>
                      <w:color w:val="000000" w:themeColor="text1"/>
                      <w:kern w:val="0"/>
                      <w:sz w:val="21"/>
                      <w:szCs w:val="21"/>
                      <w:highlight w:val="none"/>
                      <w:vertAlign w:val="subscript"/>
                      <w:lang w:val="en-US" w:eastAsia="zh-CN" w:bidi="ar-SA"/>
                      <w14:textFill>
                        <w14:solidFill>
                          <w14:schemeClr w14:val="tx1"/>
                        </w14:solidFill>
                      </w14:textFill>
                    </w:rPr>
                    <w:t>3</w:t>
                  </w:r>
                </w:p>
              </w:tc>
              <w:tc>
                <w:tcPr>
                  <w:tcW w:w="1649" w:type="dxa"/>
                  <w:tcBorders>
                    <w:tl2br w:val="nil"/>
                    <w:tr2bl w:val="nil"/>
                  </w:tcBorders>
                  <w:shd w:val="clear" w:color="auto" w:fill="FFFFFF"/>
                  <w:noWrap w:val="0"/>
                  <w:vAlign w:val="center"/>
                </w:tcPr>
                <w:p w14:paraId="21F2AD0B">
                  <w:pPr>
                    <w:pStyle w:val="153"/>
                    <w:keepNext w:val="0"/>
                    <w:keepLines w:val="0"/>
                    <w:pageBreakBefore w:val="0"/>
                    <w:kinsoku/>
                    <w:wordWrap/>
                    <w:overflowPunct/>
                    <w:topLinePunct w:val="0"/>
                    <w:autoSpaceDE/>
                    <w:autoSpaceDN/>
                    <w:bidi w:val="0"/>
                    <w:spacing w:line="300" w:lineRule="exact"/>
                    <w:ind w:left="0" w:leftChars="0" w:firstLine="0" w:firstLineChars="0"/>
                    <w:jc w:val="center"/>
                    <w:rPr>
                      <w:rFonts w:hint="default" w:ascii="Times New Roman" w:hAnsi="Times New Roman" w:cs="Times New Roman"/>
                      <w:b w:val="0"/>
                      <w:color w:val="000000" w:themeColor="text1"/>
                      <w:spacing w:val="0"/>
                      <w:w w:val="100"/>
                      <w:position w:val="0"/>
                      <w:sz w:val="21"/>
                      <w:szCs w:val="21"/>
                      <w:highlight w:val="none"/>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14:textFill>
                        <w14:solidFill>
                          <w14:schemeClr w14:val="tx1"/>
                        </w14:solidFill>
                      </w14:textFill>
                    </w:rPr>
                    <w:t>日最大8h平均</w:t>
                  </w:r>
                </w:p>
                <w:p w14:paraId="0F65BD81">
                  <w:pPr>
                    <w:pStyle w:val="153"/>
                    <w:keepNext w:val="0"/>
                    <w:keepLines w:val="0"/>
                    <w:pageBreakBefore w:val="0"/>
                    <w:kinsoku/>
                    <w:wordWrap/>
                    <w:overflowPunct/>
                    <w:topLinePunct w:val="0"/>
                    <w:autoSpaceDE/>
                    <w:autoSpaceDN/>
                    <w:bidi w:val="0"/>
                    <w:spacing w:line="300" w:lineRule="exact"/>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14:textFill>
                        <w14:solidFill>
                          <w14:schemeClr w14:val="tx1"/>
                        </w14:solidFill>
                      </w14:textFill>
                    </w:rPr>
                    <w:t>第90百分位数</w:t>
                  </w:r>
                </w:p>
              </w:tc>
              <w:tc>
                <w:tcPr>
                  <w:tcW w:w="1921" w:type="dxa"/>
                  <w:tcBorders>
                    <w:tl2br w:val="nil"/>
                    <w:tr2bl w:val="nil"/>
                  </w:tcBorders>
                  <w:shd w:val="clear" w:color="auto" w:fill="FFFFFF"/>
                  <w:noWrap w:val="0"/>
                  <w:vAlign w:val="center"/>
                </w:tcPr>
                <w:p w14:paraId="2F7FD078">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90</w:t>
                  </w:r>
                </w:p>
              </w:tc>
              <w:tc>
                <w:tcPr>
                  <w:tcW w:w="1604" w:type="dxa"/>
                  <w:tcBorders>
                    <w:tl2br w:val="nil"/>
                    <w:tr2bl w:val="nil"/>
                  </w:tcBorders>
                  <w:shd w:val="clear" w:color="auto" w:fill="FFFFFF"/>
                  <w:noWrap w:val="0"/>
                  <w:vAlign w:val="center"/>
                </w:tcPr>
                <w:p w14:paraId="430E28A2">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lang w:val="en-US" w:eastAsia="zh-CN"/>
                      <w14:textFill>
                        <w14:solidFill>
                          <w14:schemeClr w14:val="tx1"/>
                        </w14:solidFill>
                      </w14:textFill>
                    </w:rPr>
                    <w:t>160</w:t>
                  </w:r>
                  <w:r>
                    <w:rPr>
                      <w:rFonts w:hint="default" w:ascii="Times New Roman" w:hAnsi="Times New Roman" w:eastAsia="宋体" w:cs="Times New Roman"/>
                      <w:b w:val="0"/>
                      <w:caps w:val="0"/>
                      <w:smallCaps w:val="0"/>
                      <w:color w:val="000000" w:themeColor="text1"/>
                      <w:sz w:val="21"/>
                      <w:szCs w:val="21"/>
                      <w:highlight w:val="none"/>
                      <w:lang w:val="en-US" w:eastAsia="zh-CN"/>
                      <w14:textFill>
                        <w14:solidFill>
                          <w14:schemeClr w14:val="tx1"/>
                        </w14:solidFill>
                      </w14:textFill>
                    </w:rPr>
                    <w:t>μ</w:t>
                  </w:r>
                  <w:r>
                    <w:rPr>
                      <w:rFonts w:hint="eastAsia" w:ascii="Times New Roman" w:hAnsi="Times New Roman" w:eastAsia="宋体"/>
                      <w:b w:val="0"/>
                      <w:caps w:val="0"/>
                      <w:smallCaps w:val="0"/>
                      <w:color w:val="000000" w:themeColor="text1"/>
                      <w:sz w:val="21"/>
                      <w:szCs w:val="21"/>
                      <w:highlight w:val="none"/>
                      <w:lang w:val="en-US" w:eastAsia="zh-CN"/>
                      <w14:textFill>
                        <w14:solidFill>
                          <w14:schemeClr w14:val="tx1"/>
                        </w14:solidFill>
                      </w14:textFill>
                    </w:rPr>
                    <w:t>g/m</w:t>
                  </w:r>
                  <w:r>
                    <w:rPr>
                      <w:rFonts w:hint="eastAsia" w:ascii="Times New Roman" w:hAnsi="Times New Roman" w:eastAsia="宋体"/>
                      <w:b w:val="0"/>
                      <w:caps w:val="0"/>
                      <w:smallCaps w:val="0"/>
                      <w:color w:val="000000" w:themeColor="text1"/>
                      <w:sz w:val="21"/>
                      <w:szCs w:val="21"/>
                      <w:highlight w:val="none"/>
                      <w:vertAlign w:val="superscript"/>
                      <w:lang w:val="en-US" w:eastAsia="zh-CN"/>
                      <w14:textFill>
                        <w14:solidFill>
                          <w14:schemeClr w14:val="tx1"/>
                        </w14:solidFill>
                      </w14:textFill>
                    </w:rPr>
                    <w:t>3</w:t>
                  </w:r>
                </w:p>
              </w:tc>
              <w:tc>
                <w:tcPr>
                  <w:tcW w:w="1382" w:type="dxa"/>
                  <w:tcBorders>
                    <w:tl2br w:val="nil"/>
                    <w:tr2bl w:val="nil"/>
                  </w:tcBorders>
                  <w:shd w:val="clear" w:color="auto" w:fill="FFFFFF"/>
                  <w:noWrap w:val="0"/>
                  <w:vAlign w:val="bottom"/>
                </w:tcPr>
                <w:p w14:paraId="75956F49">
                  <w:pPr>
                    <w:pageBreakBefore w:val="0"/>
                    <w:wordWrap/>
                    <w:topLinePunct w:val="0"/>
                    <w:bidi w:val="0"/>
                    <w:spacing w:line="360" w:lineRule="auto"/>
                    <w:ind w:left="0" w:leftChars="0" w:firstLine="420" w:firstLineChars="200"/>
                    <w:jc w:val="both"/>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56.3</w:t>
                  </w:r>
                </w:p>
              </w:tc>
              <w:tc>
                <w:tcPr>
                  <w:tcW w:w="1103" w:type="dxa"/>
                  <w:tcBorders>
                    <w:right w:val="nil"/>
                    <w:tl2br w:val="nil"/>
                    <w:tr2bl w:val="nil"/>
                  </w:tcBorders>
                  <w:shd w:val="clear" w:color="auto" w:fill="FFFFFF"/>
                  <w:noWrap w:val="0"/>
                  <w:vAlign w:val="center"/>
                </w:tcPr>
                <w:p w14:paraId="73BE7AC6">
                  <w:pPr>
                    <w:pageBreakBefore w:val="0"/>
                    <w:wordWrap/>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eastAsia" w:ascii="Times New Roman" w:hAnsi="Times New Roman" w:eastAsia="宋体"/>
                      <w:b w:val="0"/>
                      <w:color w:val="000000" w:themeColor="text1"/>
                      <w:sz w:val="21"/>
                      <w:szCs w:val="21"/>
                      <w:highlight w:val="none"/>
                      <w14:textFill>
                        <w14:solidFill>
                          <w14:schemeClr w14:val="tx1"/>
                        </w14:solidFill>
                      </w14:textFill>
                    </w:rPr>
                    <w:t>达标</w:t>
                  </w:r>
                </w:p>
              </w:tc>
            </w:tr>
            <w:tr w14:paraId="15DF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86" w:type="dxa"/>
                  <w:tcBorders>
                    <w:left w:val="nil"/>
                    <w:bottom w:val="single" w:color="000000" w:sz="12" w:space="0"/>
                    <w:tl2br w:val="nil"/>
                    <w:tr2bl w:val="nil"/>
                  </w:tcBorders>
                  <w:shd w:val="clear" w:color="auto" w:fill="FFFFFF"/>
                  <w:noWrap w:val="0"/>
                  <w:vAlign w:val="center"/>
                </w:tcPr>
                <w:p w14:paraId="79598998">
                  <w:pPr>
                    <w:pageBreakBefore w:val="0"/>
                    <w:wordWrap/>
                    <w:topLinePunct w:val="0"/>
                    <w:bidi w:val="0"/>
                    <w:adjustRightInd w:val="0"/>
                    <w:snapToGrid w:val="0"/>
                    <w:spacing w:line="360" w:lineRule="auto"/>
                    <w:ind w:left="0" w:leftChars="0" w:firstLine="420" w:firstLineChars="200"/>
                    <w:jc w:val="center"/>
                    <w:rPr>
                      <w:rFonts w:hint="default"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caps w:val="0"/>
                      <w:smallCaps w:val="0"/>
                      <w:color w:val="000000" w:themeColor="text1"/>
                      <w:kern w:val="0"/>
                      <w:sz w:val="21"/>
                      <w:szCs w:val="21"/>
                      <w:highlight w:val="none"/>
                      <w:lang w:val="en-US" w:eastAsia="zh-CN" w:bidi="ar-SA"/>
                      <w14:textFill>
                        <w14:solidFill>
                          <w14:schemeClr w14:val="tx1"/>
                        </w14:solidFill>
                      </w14:textFill>
                    </w:rPr>
                    <w:t>CO</w:t>
                  </w:r>
                </w:p>
              </w:tc>
              <w:tc>
                <w:tcPr>
                  <w:tcW w:w="1649" w:type="dxa"/>
                  <w:tcBorders>
                    <w:bottom w:val="single" w:color="000000" w:sz="12" w:space="0"/>
                    <w:tl2br w:val="nil"/>
                    <w:tr2bl w:val="nil"/>
                  </w:tcBorders>
                  <w:shd w:val="clear" w:color="auto" w:fill="FFFFFF"/>
                  <w:noWrap w:val="0"/>
                  <w:vAlign w:val="center"/>
                </w:tcPr>
                <w:p w14:paraId="300AB5DC">
                  <w:pPr>
                    <w:pStyle w:val="153"/>
                    <w:keepNext w:val="0"/>
                    <w:keepLines w:val="0"/>
                    <w:pageBreakBefore w:val="0"/>
                    <w:kinsoku/>
                    <w:wordWrap/>
                    <w:overflowPunct/>
                    <w:topLinePunct w:val="0"/>
                    <w:autoSpaceDE/>
                    <w:autoSpaceDN/>
                    <w:bidi w:val="0"/>
                    <w:spacing w:line="300" w:lineRule="exact"/>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default" w:ascii="Times New Roman" w:hAnsi="Times New Roman" w:cs="Times New Roman"/>
                      <w:b w:val="0"/>
                      <w:color w:val="000000" w:themeColor="text1"/>
                      <w:spacing w:val="0"/>
                      <w:w w:val="100"/>
                      <w:position w:val="0"/>
                      <w:sz w:val="21"/>
                      <w:szCs w:val="21"/>
                      <w:highlight w:val="none"/>
                      <w14:textFill>
                        <w14:solidFill>
                          <w14:schemeClr w14:val="tx1"/>
                        </w14:solidFill>
                      </w14:textFill>
                    </w:rPr>
                    <w:t>24h平均第95百分位数</w:t>
                  </w:r>
                </w:p>
              </w:tc>
              <w:tc>
                <w:tcPr>
                  <w:tcW w:w="1921" w:type="dxa"/>
                  <w:tcBorders>
                    <w:bottom w:val="single" w:color="000000" w:sz="12" w:space="0"/>
                    <w:tl2br w:val="nil"/>
                    <w:tr2bl w:val="nil"/>
                  </w:tcBorders>
                  <w:shd w:val="clear" w:color="auto" w:fill="FFFFFF"/>
                  <w:noWrap w:val="0"/>
                  <w:vAlign w:val="center"/>
                </w:tcPr>
                <w:p w14:paraId="35901A52">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600</w:t>
                  </w:r>
                </w:p>
              </w:tc>
              <w:tc>
                <w:tcPr>
                  <w:tcW w:w="1604" w:type="dxa"/>
                  <w:tcBorders>
                    <w:bottom w:val="single" w:color="000000" w:sz="12" w:space="0"/>
                    <w:tl2br w:val="nil"/>
                    <w:tr2bl w:val="nil"/>
                  </w:tcBorders>
                  <w:shd w:val="clear" w:color="auto" w:fill="FFFFFF"/>
                  <w:noWrap w:val="0"/>
                  <w:vAlign w:val="center"/>
                </w:tcPr>
                <w:p w14:paraId="371B13A7">
                  <w:pPr>
                    <w:pStyle w:val="247"/>
                    <w:keepNext w:val="0"/>
                    <w:keepLines w:val="0"/>
                    <w:pageBreakBefore w:val="0"/>
                    <w:widowControl w:val="0"/>
                    <w:kinsoku/>
                    <w:wordWrap/>
                    <w:overflowPunct/>
                    <w:topLinePunct w:val="0"/>
                    <w:autoSpaceDE/>
                    <w:autoSpaceDN/>
                    <w:bidi w:val="0"/>
                    <w:adjustRightInd w:val="0"/>
                    <w:snapToGrid/>
                    <w:spacing w:line="360" w:lineRule="exact"/>
                    <w:ind w:left="0" w:leftChars="0" w:right="0" w:rightChars="0" w:firstLine="0" w:firstLineChars="0"/>
                    <w:jc w:val="center"/>
                    <w:textAlignment w:val="baseline"/>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lang w:val="en-US" w:eastAsia="zh-CN"/>
                      <w14:textFill>
                        <w14:solidFill>
                          <w14:schemeClr w14:val="tx1"/>
                        </w14:solidFill>
                      </w14:textFill>
                    </w:rPr>
                    <w:t>4000</w:t>
                  </w:r>
                  <w:r>
                    <w:rPr>
                      <w:rFonts w:hint="default" w:ascii="Times New Roman" w:hAnsi="Times New Roman" w:eastAsia="宋体" w:cs="Times New Roman"/>
                      <w:b w:val="0"/>
                      <w:caps w:val="0"/>
                      <w:smallCaps w:val="0"/>
                      <w:color w:val="000000" w:themeColor="text1"/>
                      <w:sz w:val="21"/>
                      <w:szCs w:val="21"/>
                      <w:highlight w:val="none"/>
                      <w:lang w:val="en-US" w:eastAsia="zh-CN"/>
                      <w14:textFill>
                        <w14:solidFill>
                          <w14:schemeClr w14:val="tx1"/>
                        </w14:solidFill>
                      </w14:textFill>
                    </w:rPr>
                    <w:t>μ</w:t>
                  </w:r>
                  <w:r>
                    <w:rPr>
                      <w:rFonts w:hint="eastAsia" w:ascii="Times New Roman" w:hAnsi="Times New Roman" w:eastAsia="宋体"/>
                      <w:b w:val="0"/>
                      <w:caps w:val="0"/>
                      <w:smallCaps w:val="0"/>
                      <w:color w:val="000000" w:themeColor="text1"/>
                      <w:sz w:val="21"/>
                      <w:szCs w:val="21"/>
                      <w:highlight w:val="none"/>
                      <w:lang w:val="en-US" w:eastAsia="zh-CN"/>
                      <w14:textFill>
                        <w14:solidFill>
                          <w14:schemeClr w14:val="tx1"/>
                        </w14:solidFill>
                      </w14:textFill>
                    </w:rPr>
                    <w:t>g/m</w:t>
                  </w:r>
                  <w:r>
                    <w:rPr>
                      <w:rFonts w:hint="eastAsia" w:ascii="Times New Roman" w:hAnsi="Times New Roman" w:eastAsia="宋体"/>
                      <w:b w:val="0"/>
                      <w:caps w:val="0"/>
                      <w:smallCaps w:val="0"/>
                      <w:color w:val="000000" w:themeColor="text1"/>
                      <w:sz w:val="21"/>
                      <w:szCs w:val="21"/>
                      <w:highlight w:val="none"/>
                      <w:vertAlign w:val="superscript"/>
                      <w:lang w:val="en-US" w:eastAsia="zh-CN"/>
                      <w14:textFill>
                        <w14:solidFill>
                          <w14:schemeClr w14:val="tx1"/>
                        </w14:solidFill>
                      </w14:textFill>
                    </w:rPr>
                    <w:t>3</w:t>
                  </w:r>
                </w:p>
              </w:tc>
              <w:tc>
                <w:tcPr>
                  <w:tcW w:w="1382" w:type="dxa"/>
                  <w:tcBorders>
                    <w:bottom w:val="single" w:color="000000" w:sz="12" w:space="0"/>
                    <w:tl2br w:val="nil"/>
                    <w:tr2bl w:val="nil"/>
                  </w:tcBorders>
                  <w:shd w:val="clear" w:color="auto" w:fill="FFFFFF"/>
                  <w:noWrap w:val="0"/>
                  <w:vAlign w:val="bottom"/>
                </w:tcPr>
                <w:p w14:paraId="7DB2A99B">
                  <w:pPr>
                    <w:pageBreakBefore w:val="0"/>
                    <w:wordWrap/>
                    <w:topLinePunct w:val="0"/>
                    <w:bidi w:val="0"/>
                    <w:spacing w:line="360" w:lineRule="auto"/>
                    <w:ind w:left="0" w:leftChars="0" w:firstLine="420" w:firstLineChars="200"/>
                    <w:jc w:val="both"/>
                    <w:rPr>
                      <w:rFonts w:hint="default"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eastAsia" w:cs="Times New Roman"/>
                      <w:b w:val="0"/>
                      <w:color w:val="000000" w:themeColor="text1"/>
                      <w:sz w:val="21"/>
                      <w:szCs w:val="21"/>
                      <w:highlight w:val="none"/>
                      <w:lang w:val="en-US" w:eastAsia="zh-CN"/>
                      <w14:textFill>
                        <w14:solidFill>
                          <w14:schemeClr w14:val="tx1"/>
                        </w14:solidFill>
                      </w14:textFill>
                    </w:rPr>
                    <w:t>15</w:t>
                  </w:r>
                </w:p>
              </w:tc>
              <w:tc>
                <w:tcPr>
                  <w:tcW w:w="1103" w:type="dxa"/>
                  <w:tcBorders>
                    <w:bottom w:val="single" w:color="000000" w:sz="12" w:space="0"/>
                    <w:right w:val="nil"/>
                    <w:tl2br w:val="nil"/>
                    <w:tr2bl w:val="nil"/>
                  </w:tcBorders>
                  <w:shd w:val="clear" w:color="auto" w:fill="FFFFFF"/>
                  <w:noWrap w:val="0"/>
                  <w:vAlign w:val="center"/>
                </w:tcPr>
                <w:p w14:paraId="62414EB8">
                  <w:pPr>
                    <w:pageBreakBefore w:val="0"/>
                    <w:wordWrap/>
                    <w:topLinePunct w:val="0"/>
                    <w:bidi w:val="0"/>
                    <w:adjustRightInd w:val="0"/>
                    <w:snapToGrid w:val="0"/>
                    <w:spacing w:line="360" w:lineRule="auto"/>
                    <w:ind w:left="0" w:leftChars="0" w:firstLine="0" w:firstLineChars="0"/>
                    <w:jc w:val="center"/>
                    <w:rPr>
                      <w:rFonts w:hint="default" w:ascii="Times New Roman" w:hAnsi="Times New Roman" w:eastAsia="宋体" w:cs="Times New Roman"/>
                      <w:b w:val="0"/>
                      <w:color w:val="000000" w:themeColor="text1"/>
                      <w:sz w:val="21"/>
                      <w:szCs w:val="21"/>
                      <w:highlight w:val="none"/>
                      <w14:textFill>
                        <w14:solidFill>
                          <w14:schemeClr w14:val="tx1"/>
                        </w14:solidFill>
                      </w14:textFill>
                    </w:rPr>
                  </w:pPr>
                  <w:r>
                    <w:rPr>
                      <w:rFonts w:hint="eastAsia" w:ascii="Times New Roman" w:hAnsi="Times New Roman" w:eastAsia="宋体"/>
                      <w:b w:val="0"/>
                      <w:color w:val="000000" w:themeColor="text1"/>
                      <w:sz w:val="21"/>
                      <w:szCs w:val="21"/>
                      <w:highlight w:val="none"/>
                      <w14:textFill>
                        <w14:solidFill>
                          <w14:schemeClr w14:val="tx1"/>
                        </w14:solidFill>
                      </w14:textFill>
                    </w:rPr>
                    <w:t>达标</w:t>
                  </w:r>
                </w:p>
              </w:tc>
            </w:tr>
          </w:tbl>
          <w:p w14:paraId="6AF475C0">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根据上表可知，本</w:t>
            </w:r>
            <w:r>
              <w:rPr>
                <w:rFonts w:hint="default" w:ascii="Times New Roman" w:hAnsi="Times New Roman" w:eastAsia="宋体" w:cs="Times New Roman"/>
                <w:color w:val="000000" w:themeColor="text1"/>
                <w:sz w:val="24"/>
                <w:szCs w:val="24"/>
                <w:highlight w:val="none"/>
                <w14:textFill>
                  <w14:solidFill>
                    <w14:schemeClr w14:val="tx1"/>
                  </w14:solidFill>
                </w14:textFill>
              </w:rPr>
              <w:t>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所在区域PM</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和PM</w:t>
            </w:r>
            <w:r>
              <w:rPr>
                <w:rFonts w:hint="eastAsia" w:ascii="Times New Roman" w:hAnsi="Times New Roman" w:eastAsia="宋体" w:cs="Times New Roman"/>
                <w:color w:val="000000" w:themeColor="text1"/>
                <w:sz w:val="24"/>
                <w:szCs w:val="24"/>
                <w:highlight w:val="none"/>
                <w:vertAlign w:val="subscript"/>
                <w:lang w:val="en-US" w:eastAsia="zh-CN"/>
                <w14:textFill>
                  <w14:solidFill>
                    <w14:schemeClr w14:val="tx1"/>
                  </w14:solidFill>
                </w14:textFill>
              </w:rPr>
              <w:t>2.5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超过</w:t>
            </w:r>
            <w:r>
              <w:rPr>
                <w:rFonts w:hint="default" w:ascii="Times New Roman" w:hAnsi="Times New Roman" w:eastAsia="宋体" w:cs="Times New Roman"/>
                <w:color w:val="000000" w:themeColor="text1"/>
                <w:sz w:val="24"/>
                <w:szCs w:val="24"/>
                <w:highlight w:val="none"/>
                <w14:textFill>
                  <w14:solidFill>
                    <w14:schemeClr w14:val="tx1"/>
                  </w14:solidFill>
                </w14:textFill>
              </w:rPr>
              <w:t>《环境空气质量标准》（GB3095-20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206</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中过渡阶段</w:t>
            </w:r>
            <w:r>
              <w:rPr>
                <w:rFonts w:hint="default" w:ascii="Times New Roman" w:hAnsi="Times New Roman" w:eastAsia="宋体" w:cs="Times New Roman"/>
                <w:color w:val="000000" w:themeColor="text1"/>
                <w:sz w:val="24"/>
                <w:szCs w:val="24"/>
                <w:highlight w:val="none"/>
                <w14:textFill>
                  <w14:solidFill>
                    <w14:schemeClr w14:val="tx1"/>
                  </w14:solidFill>
                </w14:textFill>
              </w:rPr>
              <w:t>二级</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浓度限值</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04A2F6DB">
            <w:pPr>
              <w:spacing w:line="360" w:lineRule="auto"/>
              <w:ind w:firstLine="480" w:firstLineChars="200"/>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因此，本项目区域属于环境空气质量不达标区域</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14:textFill>
                  <w14:solidFill>
                    <w14:schemeClr w14:val="tx1"/>
                  </w14:solidFill>
                </w14:textFill>
              </w:rPr>
              <w:t>超标的原因主要是当地干旱少雨、多浮尘、大风天气。</w:t>
            </w:r>
          </w:p>
          <w:p w14:paraId="615692AB">
            <w:pPr>
              <w:keepNext w:val="0"/>
              <w:keepLines w:val="0"/>
              <w:pageBreakBefore w:val="0"/>
              <w:kinsoku/>
              <w:wordWrap/>
              <w:overflowPunct/>
              <w:topLinePunct w:val="0"/>
              <w:autoSpaceDE/>
              <w:autoSpaceDN/>
              <w:bidi w:val="0"/>
              <w:adjustRightInd/>
              <w:snapToGrid/>
              <w:ind w:firstLine="480"/>
              <w:textAlignment w:val="auto"/>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（2）特征污染物</w:t>
            </w:r>
          </w:p>
          <w:p w14:paraId="779638C5">
            <w:pPr>
              <w:pStyle w:val="252"/>
              <w:keepNext w:val="0"/>
              <w:keepLines w:val="0"/>
              <w:suppressLineNumbers w:val="0"/>
              <w:spacing w:before="0" w:beforeAutospacing="0" w:after="0" w:afterAutospacing="0"/>
              <w:ind w:left="0" w:right="0" w:firstLine="480"/>
              <w:rPr>
                <w:rFonts w:hint="default" w:ascii="Times New Roman" w:hAnsi="Times New Roman" w:eastAsia="宋体" w:cs="Times New Roman"/>
                <w:color w:val="000000" w:themeColor="text1"/>
                <w:highlight w:val="none"/>
                <w:lang w:val="en-US" w:eastAsia="zh-CN"/>
                <w14:textFill>
                  <w14:solidFill>
                    <w14:schemeClr w14:val="tx1"/>
                  </w14:solidFill>
                </w14:textFill>
              </w:rPr>
            </w:pPr>
            <w:bookmarkStart w:id="3" w:name="_Toc23230"/>
            <w:r>
              <w:rPr>
                <w:rFonts w:hint="eastAsia" w:cs="Times New Roman"/>
                <w:color w:val="000000" w:themeColor="text1"/>
                <w:sz w:val="24"/>
                <w:szCs w:val="24"/>
                <w:highlight w:val="none"/>
                <w:lang w:val="en-US" w:eastAsia="zh-CN"/>
                <w14:textFill>
                  <w14:solidFill>
                    <w14:schemeClr w14:val="tx1"/>
                  </w14:solidFill>
                </w14:textFill>
              </w:rPr>
              <w:t>本项目产生特征污染物为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TSP</w:t>
            </w:r>
            <w:r>
              <w:rPr>
                <w:rFonts w:hint="eastAsia" w:cs="Times New Roman"/>
                <w:color w:val="000000" w:themeColor="text1"/>
                <w:sz w:val="24"/>
                <w:szCs w:val="24"/>
                <w:highlight w:val="none"/>
                <w:lang w:val="en-US" w:eastAsia="zh-CN"/>
                <w14:textFill>
                  <w14:solidFill>
                    <w14:schemeClr w14:val="tx1"/>
                  </w14:solidFill>
                </w14:textFill>
              </w:rPr>
              <w:t>，委托</w:t>
            </w:r>
            <w:r>
              <w:rPr>
                <w:rFonts w:hint="default" w:ascii="Times New Roman" w:hAnsi="Times New Roman" w:eastAsia="宋体" w:cs="Times New Roman"/>
                <w:color w:val="000000" w:themeColor="text1"/>
                <w:highlight w:val="none"/>
                <w:lang w:eastAsia="zh-CN"/>
                <w14:textFill>
                  <w14:solidFill>
                    <w14:schemeClr w14:val="tx1"/>
                  </w14:solidFill>
                </w14:textFill>
              </w:rPr>
              <w:t>新疆锡水金山环境科技有限公司</w:t>
            </w:r>
            <w:r>
              <w:rPr>
                <w:rFonts w:hint="default" w:ascii="Times New Roman" w:hAnsi="Times New Roman" w:eastAsia="宋体" w:cs="Times New Roman"/>
                <w:color w:val="000000" w:themeColor="text1"/>
                <w:highlight w:val="none"/>
                <w14:textFill>
                  <w14:solidFill>
                    <w14:schemeClr w14:val="tx1"/>
                  </w14:solidFill>
                </w14:textFill>
              </w:rPr>
              <w:t>于202</w:t>
            </w:r>
            <w:r>
              <w:rPr>
                <w:rFonts w:hint="eastAsia" w:ascii="Times New Roman" w:hAnsi="Times New Roman" w:eastAsia="宋体" w:cs="Times New Roman"/>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highlight w:val="none"/>
                <w14:textFill>
                  <w14:solidFill>
                    <w14:schemeClr w14:val="tx1"/>
                  </w14:solidFill>
                </w14:textFill>
              </w:rPr>
              <w:t>年</w:t>
            </w:r>
            <w:r>
              <w:rPr>
                <w:rFonts w:hint="eastAsia" w:ascii="Times New Roman" w:hAnsi="Times New Roman" w:cs="Times New Roman"/>
                <w:color w:val="000000" w:themeColor="text1"/>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highlight w:val="none"/>
                <w14:textFill>
                  <w14:solidFill>
                    <w14:schemeClr w14:val="tx1"/>
                  </w14:solidFill>
                </w14:textFill>
              </w:rPr>
              <w:t>月</w:t>
            </w:r>
            <w:r>
              <w:rPr>
                <w:rFonts w:hint="eastAsia" w:ascii="Times New Roman" w:hAnsi="Times New Roman" w:cs="Times New Roman"/>
                <w:color w:val="000000" w:themeColor="text1"/>
                <w:highlight w:val="none"/>
                <w:lang w:val="en-US" w:eastAsia="zh-CN"/>
                <w14:textFill>
                  <w14:solidFill>
                    <w14:schemeClr w14:val="tx1"/>
                  </w14:solidFill>
                </w14:textFill>
              </w:rPr>
              <w:t>13</w:t>
            </w:r>
            <w:r>
              <w:rPr>
                <w:rFonts w:hint="default" w:ascii="Times New Roman" w:hAnsi="Times New Roman" w:eastAsia="宋体" w:cs="Times New Roman"/>
                <w:color w:val="000000" w:themeColor="text1"/>
                <w:highlight w:val="none"/>
                <w14:textFill>
                  <w14:solidFill>
                    <w14:schemeClr w14:val="tx1"/>
                  </w14:solidFill>
                </w14:textFill>
              </w:rPr>
              <w:t>日</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16</w:t>
            </w:r>
            <w:r>
              <w:rPr>
                <w:rFonts w:hint="default" w:ascii="Times New Roman" w:hAnsi="Times New Roman" w:eastAsia="宋体" w:cs="Times New Roman"/>
                <w:color w:val="000000" w:themeColor="text1"/>
                <w:highlight w:val="none"/>
                <w14:textFill>
                  <w14:solidFill>
                    <w14:schemeClr w14:val="tx1"/>
                  </w14:solidFill>
                </w14:textFill>
              </w:rPr>
              <w:t>日对</w:t>
            </w:r>
            <w:r>
              <w:rPr>
                <w:rFonts w:hint="default" w:ascii="Times New Roman" w:hAnsi="Times New Roman" w:eastAsia="宋体" w:cs="Times New Roman"/>
                <w:color w:val="000000" w:themeColor="text1"/>
                <w:highlight w:val="none"/>
                <w:lang w:val="en-US" w:eastAsia="zh-CN"/>
                <w14:textFill>
                  <w14:solidFill>
                    <w14:schemeClr w14:val="tx1"/>
                  </w14:solidFill>
                </w14:textFill>
              </w:rPr>
              <w:t>项目所在地</w:t>
            </w:r>
            <w:r>
              <w:rPr>
                <w:rFonts w:hint="eastAsia" w:ascii="Times New Roman" w:hAnsi="Times New Roman" w:cs="Times New Roman"/>
                <w:color w:val="000000" w:themeColor="text1"/>
                <w:highlight w:val="none"/>
                <w:lang w:val="en-US" w:eastAsia="zh-CN"/>
                <w14:textFill>
                  <w14:solidFill>
                    <w14:schemeClr w14:val="tx1"/>
                  </w14:solidFill>
                </w14:textFill>
              </w:rPr>
              <w:t>TSP</w:t>
            </w:r>
            <w:r>
              <w:rPr>
                <w:rFonts w:hint="default" w:ascii="Times New Roman" w:hAnsi="Times New Roman" w:eastAsia="宋体" w:cs="Times New Roman"/>
                <w:color w:val="000000" w:themeColor="text1"/>
                <w:highlight w:val="none"/>
                <w:lang w:val="en-US" w:eastAsia="zh-CN"/>
                <w14:textFill>
                  <w14:solidFill>
                    <w14:schemeClr w14:val="tx1"/>
                  </w14:solidFill>
                </w14:textFill>
              </w:rPr>
              <w:t>进行了</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监测。</w:t>
            </w:r>
          </w:p>
          <w:p w14:paraId="7E4F5A3E">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本项目环境空气质量</w:t>
            </w:r>
            <w:r>
              <w:rPr>
                <w:rFonts w:hint="eastAsia" w:cs="Times New Roman"/>
                <w:color w:val="000000" w:themeColor="text1"/>
                <w:sz w:val="24"/>
                <w:szCs w:val="24"/>
                <w:highlight w:val="none"/>
                <w:lang w:val="en-US" w:eastAsia="zh-CN"/>
                <w14:textFill>
                  <w14:solidFill>
                    <w14:schemeClr w14:val="tx1"/>
                  </w14:solidFill>
                </w14:textFill>
              </w:rPr>
              <w:t>监测点位和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监测结果见下表。</w:t>
            </w:r>
          </w:p>
          <w:p w14:paraId="0AAF4FC3">
            <w:pPr>
              <w:pStyle w:val="2"/>
              <w:spacing w:before="0" w:beforeLines="0" w:after="0" w:afterLines="0" w:line="240" w:lineRule="auto"/>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表3-</w:t>
            </w:r>
            <w:r>
              <w:rPr>
                <w:rFonts w:hint="eastAsia"/>
                <w:b/>
                <w:bCs/>
                <w:color w:val="000000" w:themeColor="text1"/>
                <w:sz w:val="21"/>
                <w:szCs w:val="21"/>
                <w:highlight w:val="none"/>
                <w:lang w:val="en-US" w:eastAsia="zh-CN"/>
                <w14:textFill>
                  <w14:solidFill>
                    <w14:schemeClr w14:val="tx1"/>
                  </w14:solidFill>
                </w14:textFill>
              </w:rPr>
              <w:t>2</w:t>
            </w:r>
            <w:r>
              <w:rPr>
                <w:b/>
                <w:bCs/>
                <w:color w:val="000000" w:themeColor="text1"/>
                <w:sz w:val="21"/>
                <w:szCs w:val="21"/>
                <w:highlight w:val="none"/>
                <w14:textFill>
                  <w14:solidFill>
                    <w14:schemeClr w14:val="tx1"/>
                  </w14:solidFill>
                </w14:textFill>
              </w:rPr>
              <w:t xml:space="preserve">    特征污染物补充监测点位基本信息</w:t>
            </w:r>
          </w:p>
          <w:tbl>
            <w:tblPr>
              <w:tblStyle w:val="4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1005"/>
              <w:gridCol w:w="1247"/>
              <w:gridCol w:w="1293"/>
              <w:gridCol w:w="1060"/>
              <w:gridCol w:w="1021"/>
              <w:gridCol w:w="951"/>
              <w:gridCol w:w="985"/>
            </w:tblGrid>
            <w:tr w14:paraId="2FEB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restart"/>
                  <w:tcBorders>
                    <w:top w:val="single" w:color="000000" w:sz="12" w:space="0"/>
                    <w:left w:val="nil"/>
                    <w:tl2br w:val="nil"/>
                  </w:tcBorders>
                  <w:shd w:val="clear" w:color="auto" w:fill="FFFFFF"/>
                  <w:vAlign w:val="center"/>
                </w:tcPr>
                <w:p w14:paraId="3B21AD6F">
                  <w:pPr>
                    <w:pStyle w:val="227"/>
                    <w:spacing w:before="176" w:line="253" w:lineRule="auto"/>
                    <w:ind w:left="0" w:leftChars="0" w:right="169" w:rightChars="0" w:firstLine="0" w:firstLineChars="0"/>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r>
                    <w:rPr>
                      <w:rFonts w:ascii="Times New Roman" w:hAnsi="Times New Roman" w:eastAsia="宋体"/>
                      <w:b w:val="0"/>
                      <w:bCs/>
                      <w:color w:val="000000" w:themeColor="text1"/>
                      <w:spacing w:val="2"/>
                      <w:sz w:val="21"/>
                      <w:szCs w:val="21"/>
                      <w:highlight w:val="none"/>
                      <w14:textFill>
                        <w14:solidFill>
                          <w14:schemeClr w14:val="tx1"/>
                        </w14:solidFill>
                      </w14:textFill>
                    </w:rPr>
                    <w:t>点位名</w:t>
                  </w:r>
                  <w:r>
                    <w:rPr>
                      <w:rFonts w:ascii="Times New Roman" w:hAnsi="Times New Roman" w:eastAsia="宋体"/>
                      <w:b w:val="0"/>
                      <w:bCs/>
                      <w:color w:val="000000" w:themeColor="text1"/>
                      <w:spacing w:val="-1"/>
                      <w:sz w:val="21"/>
                      <w:szCs w:val="21"/>
                      <w:highlight w:val="none"/>
                      <w14:textFill>
                        <w14:solidFill>
                          <w14:schemeClr w14:val="tx1"/>
                        </w14:solidFill>
                      </w14:textFill>
                    </w:rPr>
                    <w:t>称</w:t>
                  </w:r>
                </w:p>
              </w:tc>
              <w:tc>
                <w:tcPr>
                  <w:tcW w:w="1008" w:type="dxa"/>
                  <w:vMerge w:val="restart"/>
                  <w:tcBorders>
                    <w:top w:val="single" w:color="000000" w:sz="12" w:space="0"/>
                  </w:tcBorders>
                  <w:shd w:val="clear" w:color="auto" w:fill="FFFFFF"/>
                  <w:vAlign w:val="center"/>
                </w:tcPr>
                <w:p w14:paraId="629393AF">
                  <w:pPr>
                    <w:pStyle w:val="227"/>
                    <w:spacing w:before="65" w:line="228" w:lineRule="auto"/>
                    <w:ind w:left="0" w:leftChars="0" w:firstLine="0" w:firstLineChars="0"/>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r>
                    <w:rPr>
                      <w:rFonts w:ascii="Times New Roman" w:hAnsi="Times New Roman" w:eastAsia="宋体"/>
                      <w:b w:val="0"/>
                      <w:bCs/>
                      <w:color w:val="000000" w:themeColor="text1"/>
                      <w:spacing w:val="3"/>
                      <w:sz w:val="21"/>
                      <w:szCs w:val="21"/>
                      <w:highlight w:val="none"/>
                      <w14:textFill>
                        <w14:solidFill>
                          <w14:schemeClr w14:val="tx1"/>
                        </w14:solidFill>
                      </w14:textFill>
                    </w:rPr>
                    <w:t>编号</w:t>
                  </w:r>
                </w:p>
              </w:tc>
              <w:tc>
                <w:tcPr>
                  <w:tcW w:w="2516" w:type="dxa"/>
                  <w:gridSpan w:val="2"/>
                  <w:tcBorders>
                    <w:top w:val="single" w:color="000000" w:sz="12" w:space="0"/>
                  </w:tcBorders>
                  <w:shd w:val="clear" w:color="auto" w:fill="FFFFFF"/>
                  <w:vAlign w:val="center"/>
                </w:tcPr>
                <w:p w14:paraId="7CC3616C">
                  <w:pPr>
                    <w:pStyle w:val="227"/>
                    <w:spacing w:before="56" w:line="194" w:lineRule="auto"/>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r>
                    <w:rPr>
                      <w:rFonts w:ascii="Times New Roman" w:hAnsi="Times New Roman" w:eastAsia="宋体"/>
                      <w:b w:val="0"/>
                      <w:bCs/>
                      <w:color w:val="000000" w:themeColor="text1"/>
                      <w:spacing w:val="6"/>
                      <w:sz w:val="21"/>
                      <w:szCs w:val="21"/>
                      <w:highlight w:val="none"/>
                      <w14:textFill>
                        <w14:solidFill>
                          <w14:schemeClr w14:val="tx1"/>
                        </w14:solidFill>
                      </w14:textFill>
                    </w:rPr>
                    <w:t>监测点坐标</w:t>
                  </w:r>
                </w:p>
              </w:tc>
              <w:tc>
                <w:tcPr>
                  <w:tcW w:w="1065" w:type="dxa"/>
                  <w:vMerge w:val="restart"/>
                  <w:tcBorders>
                    <w:top w:val="single" w:color="000000" w:sz="12" w:space="0"/>
                  </w:tcBorders>
                  <w:shd w:val="clear" w:color="auto" w:fill="FFFFFF"/>
                  <w:vAlign w:val="center"/>
                </w:tcPr>
                <w:p w14:paraId="28C3397D">
                  <w:pPr>
                    <w:pStyle w:val="227"/>
                    <w:spacing w:before="65" w:line="228" w:lineRule="auto"/>
                    <w:ind w:left="0" w:leftChars="0" w:firstLine="0" w:firstLineChars="0"/>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r>
                    <w:rPr>
                      <w:rFonts w:ascii="Times New Roman" w:hAnsi="Times New Roman" w:eastAsia="宋体"/>
                      <w:b w:val="0"/>
                      <w:bCs/>
                      <w:color w:val="000000" w:themeColor="text1"/>
                      <w:spacing w:val="6"/>
                      <w:sz w:val="21"/>
                      <w:szCs w:val="21"/>
                      <w:highlight w:val="none"/>
                      <w14:textFill>
                        <w14:solidFill>
                          <w14:schemeClr w14:val="tx1"/>
                        </w14:solidFill>
                      </w14:textFill>
                    </w:rPr>
                    <w:t>监测因子</w:t>
                  </w:r>
                </w:p>
              </w:tc>
              <w:tc>
                <w:tcPr>
                  <w:tcW w:w="1023" w:type="dxa"/>
                  <w:vMerge w:val="restart"/>
                  <w:tcBorders>
                    <w:top w:val="single" w:color="000000" w:sz="12" w:space="0"/>
                  </w:tcBorders>
                  <w:shd w:val="clear" w:color="auto" w:fill="FFFFFF"/>
                  <w:vAlign w:val="center"/>
                </w:tcPr>
                <w:p w14:paraId="66DA1386">
                  <w:pPr>
                    <w:pStyle w:val="227"/>
                    <w:spacing w:before="65" w:line="229" w:lineRule="auto"/>
                    <w:ind w:left="0" w:leftChars="0" w:firstLine="0" w:firstLineChars="0"/>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r>
                    <w:rPr>
                      <w:rFonts w:ascii="Times New Roman" w:hAnsi="Times New Roman" w:eastAsia="宋体"/>
                      <w:b w:val="0"/>
                      <w:bCs/>
                      <w:color w:val="000000" w:themeColor="text1"/>
                      <w:spacing w:val="6"/>
                      <w:sz w:val="21"/>
                      <w:szCs w:val="21"/>
                      <w:highlight w:val="none"/>
                      <w14:textFill>
                        <w14:solidFill>
                          <w14:schemeClr w14:val="tx1"/>
                        </w14:solidFill>
                      </w14:textFill>
                    </w:rPr>
                    <w:t>监测时段</w:t>
                  </w:r>
                </w:p>
              </w:tc>
              <w:tc>
                <w:tcPr>
                  <w:tcW w:w="956" w:type="dxa"/>
                  <w:vMerge w:val="restart"/>
                  <w:tcBorders>
                    <w:top w:val="single" w:color="000000" w:sz="12" w:space="0"/>
                  </w:tcBorders>
                  <w:shd w:val="clear" w:color="auto" w:fill="FFFFFF"/>
                  <w:vAlign w:val="center"/>
                </w:tcPr>
                <w:p w14:paraId="7DAA707A">
                  <w:pPr>
                    <w:pStyle w:val="227"/>
                    <w:spacing w:before="177" w:line="228" w:lineRule="auto"/>
                    <w:ind w:left="0" w:leftChars="0" w:firstLine="0" w:firstLineChars="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bCs/>
                      <w:color w:val="000000" w:themeColor="text1"/>
                      <w:spacing w:val="5"/>
                      <w:sz w:val="21"/>
                      <w:szCs w:val="21"/>
                      <w:highlight w:val="none"/>
                      <w14:textFill>
                        <w14:solidFill>
                          <w14:schemeClr w14:val="tx1"/>
                        </w14:solidFill>
                      </w14:textFill>
                    </w:rPr>
                    <w:t>相对厂</w:t>
                  </w:r>
                </w:p>
                <w:p w14:paraId="21785251">
                  <w:pPr>
                    <w:pStyle w:val="227"/>
                    <w:spacing w:before="23" w:line="229" w:lineRule="auto"/>
                    <w:ind w:left="0" w:leftChars="0" w:firstLine="0" w:firstLineChars="0"/>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r>
                    <w:rPr>
                      <w:rFonts w:ascii="Times New Roman" w:hAnsi="Times New Roman" w:eastAsia="宋体"/>
                      <w:b w:val="0"/>
                      <w:bCs/>
                      <w:color w:val="000000" w:themeColor="text1"/>
                      <w:spacing w:val="5"/>
                      <w:sz w:val="21"/>
                      <w:szCs w:val="21"/>
                      <w:highlight w:val="none"/>
                      <w14:textFill>
                        <w14:solidFill>
                          <w14:schemeClr w14:val="tx1"/>
                        </w14:solidFill>
                      </w14:textFill>
                    </w:rPr>
                    <w:t>址方位</w:t>
                  </w:r>
                </w:p>
              </w:tc>
              <w:tc>
                <w:tcPr>
                  <w:tcW w:w="990" w:type="dxa"/>
                  <w:vMerge w:val="restart"/>
                  <w:tcBorders>
                    <w:top w:val="single" w:color="000000" w:sz="12" w:space="0"/>
                    <w:right w:val="nil"/>
                  </w:tcBorders>
                  <w:shd w:val="clear" w:color="auto" w:fill="FFFFFF"/>
                  <w:vAlign w:val="center"/>
                </w:tcPr>
                <w:p w14:paraId="6814971B">
                  <w:pPr>
                    <w:pStyle w:val="227"/>
                    <w:spacing w:before="57" w:line="228" w:lineRule="auto"/>
                    <w:ind w:left="0" w:leftChars="0" w:firstLine="0" w:firstLineChars="0"/>
                    <w:rPr>
                      <w:rFonts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pPr>
                  <w:r>
                    <w:rPr>
                      <w:rFonts w:ascii="Times New Roman" w:hAnsi="Times New Roman" w:eastAsia="宋体"/>
                      <w:b w:val="0"/>
                      <w:bCs/>
                      <w:color w:val="000000" w:themeColor="text1"/>
                      <w:spacing w:val="5"/>
                      <w:sz w:val="21"/>
                      <w:szCs w:val="21"/>
                      <w:highlight w:val="none"/>
                      <w14:textFill>
                        <w14:solidFill>
                          <w14:schemeClr w14:val="tx1"/>
                        </w14:solidFill>
                      </w14:textFill>
                    </w:rPr>
                    <w:t>相对厂</w:t>
                  </w:r>
                  <w:r>
                    <w:rPr>
                      <w:rFonts w:ascii="Times New Roman" w:hAnsi="Times New Roman" w:eastAsia="宋体"/>
                      <w:b w:val="0"/>
                      <w:bCs/>
                      <w:color w:val="000000" w:themeColor="text1"/>
                      <w:spacing w:val="3"/>
                      <w:sz w:val="21"/>
                      <w:szCs w:val="21"/>
                      <w:highlight w:val="none"/>
                      <w14:textFill>
                        <w14:solidFill>
                          <w14:schemeClr w14:val="tx1"/>
                        </w14:solidFill>
                      </w14:textFill>
                    </w:rPr>
                    <w:t>界距离</w:t>
                  </w:r>
                  <w:r>
                    <w:rPr>
                      <w:rFonts w:ascii="Times New Roman" w:hAnsi="Times New Roman" w:eastAsia="宋体" w:cs="Times New Roman"/>
                      <w:b w:val="0"/>
                      <w:bCs/>
                      <w:color w:val="000000" w:themeColor="text1"/>
                      <w:spacing w:val="4"/>
                      <w:sz w:val="21"/>
                      <w:szCs w:val="21"/>
                      <w:highlight w:val="none"/>
                      <w14:textFill>
                        <w14:solidFill>
                          <w14:schemeClr w14:val="tx1"/>
                        </w14:solidFill>
                      </w14:textFill>
                    </w:rPr>
                    <w:t>/m</w:t>
                  </w:r>
                </w:p>
              </w:tc>
            </w:tr>
            <w:tr w14:paraId="454B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Borders>
                    <w:left w:val="nil"/>
                  </w:tcBorders>
                  <w:shd w:val="clear" w:color="auto" w:fill="FFFFFF"/>
                  <w:vAlign w:val="center"/>
                </w:tcPr>
                <w:p w14:paraId="05B4ECB6">
                  <w:pPr>
                    <w:rPr>
                      <w:rFonts w:ascii="Times New Roman" w:hAnsi="Times New Roman" w:eastAsia="宋体"/>
                      <w:b w:val="0"/>
                      <w:bCs/>
                      <w:color w:val="000000" w:themeColor="text1"/>
                      <w:sz w:val="21"/>
                      <w:szCs w:val="21"/>
                      <w:highlight w:val="none"/>
                      <w:vertAlign w:val="baseline"/>
                      <w14:textFill>
                        <w14:solidFill>
                          <w14:schemeClr w14:val="tx1"/>
                        </w14:solidFill>
                      </w14:textFill>
                    </w:rPr>
                  </w:pPr>
                </w:p>
              </w:tc>
              <w:tc>
                <w:tcPr>
                  <w:tcW w:w="1008" w:type="dxa"/>
                  <w:vMerge w:val="continue"/>
                  <w:shd w:val="clear" w:color="auto" w:fill="FFFFFF"/>
                  <w:vAlign w:val="center"/>
                </w:tcPr>
                <w:p w14:paraId="0F950180">
                  <w:pPr>
                    <w:rPr>
                      <w:rFonts w:ascii="Times New Roman" w:hAnsi="Times New Roman" w:eastAsia="宋体"/>
                      <w:b w:val="0"/>
                      <w:bCs/>
                      <w:color w:val="000000" w:themeColor="text1"/>
                      <w:sz w:val="21"/>
                      <w:szCs w:val="21"/>
                      <w:highlight w:val="none"/>
                      <w:vertAlign w:val="baseline"/>
                      <w14:textFill>
                        <w14:solidFill>
                          <w14:schemeClr w14:val="tx1"/>
                        </w14:solidFill>
                      </w14:textFill>
                    </w:rPr>
                  </w:pPr>
                </w:p>
              </w:tc>
              <w:tc>
                <w:tcPr>
                  <w:tcW w:w="1223" w:type="dxa"/>
                  <w:shd w:val="clear" w:color="auto" w:fill="FFFFFF"/>
                  <w:vAlign w:val="center"/>
                </w:tcPr>
                <w:p w14:paraId="4BE92DE6">
                  <w:pPr>
                    <w:pStyle w:val="227"/>
                    <w:spacing w:before="171" w:line="228" w:lineRule="auto"/>
                    <w:ind w:left="0" w:leftChars="0" w:firstLine="0" w:firstLineChars="0"/>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r>
                    <w:rPr>
                      <w:rFonts w:ascii="Times New Roman" w:hAnsi="Times New Roman" w:eastAsia="宋体"/>
                      <w:b w:val="0"/>
                      <w:bCs/>
                      <w:color w:val="000000" w:themeColor="text1"/>
                      <w:spacing w:val="3"/>
                      <w:sz w:val="21"/>
                      <w:szCs w:val="21"/>
                      <w:highlight w:val="none"/>
                      <w14:textFill>
                        <w14:solidFill>
                          <w14:schemeClr w14:val="tx1"/>
                        </w14:solidFill>
                      </w14:textFill>
                    </w:rPr>
                    <w:t>经度</w:t>
                  </w:r>
                </w:p>
              </w:tc>
              <w:tc>
                <w:tcPr>
                  <w:tcW w:w="1293" w:type="dxa"/>
                  <w:shd w:val="clear" w:color="auto" w:fill="FFFFFF"/>
                  <w:vAlign w:val="center"/>
                </w:tcPr>
                <w:p w14:paraId="2140513A">
                  <w:pPr>
                    <w:pStyle w:val="227"/>
                    <w:spacing w:before="171" w:line="228" w:lineRule="auto"/>
                    <w:ind w:left="0" w:leftChars="0" w:firstLine="0" w:firstLineChars="0"/>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r>
                    <w:rPr>
                      <w:rFonts w:ascii="Times New Roman" w:hAnsi="Times New Roman" w:eastAsia="宋体"/>
                      <w:b w:val="0"/>
                      <w:bCs/>
                      <w:color w:val="000000" w:themeColor="text1"/>
                      <w:spacing w:val="3"/>
                      <w:sz w:val="21"/>
                      <w:szCs w:val="21"/>
                      <w:highlight w:val="none"/>
                      <w14:textFill>
                        <w14:solidFill>
                          <w14:schemeClr w14:val="tx1"/>
                        </w14:solidFill>
                      </w14:textFill>
                    </w:rPr>
                    <w:t>纬度</w:t>
                  </w:r>
                </w:p>
              </w:tc>
              <w:tc>
                <w:tcPr>
                  <w:tcW w:w="1065" w:type="dxa"/>
                  <w:vMerge w:val="continue"/>
                  <w:shd w:val="clear" w:color="auto" w:fill="FFFFFF"/>
                  <w:vAlign w:val="center"/>
                </w:tcPr>
                <w:p w14:paraId="066C8802">
                  <w:pPr>
                    <w:rPr>
                      <w:rFonts w:ascii="Times New Roman" w:hAnsi="Times New Roman" w:eastAsia="宋体"/>
                      <w:b w:val="0"/>
                      <w:bCs/>
                      <w:color w:val="000000" w:themeColor="text1"/>
                      <w:sz w:val="21"/>
                      <w:szCs w:val="21"/>
                      <w:highlight w:val="none"/>
                      <w:vertAlign w:val="baseline"/>
                      <w14:textFill>
                        <w14:solidFill>
                          <w14:schemeClr w14:val="tx1"/>
                        </w14:solidFill>
                      </w14:textFill>
                    </w:rPr>
                  </w:pPr>
                </w:p>
              </w:tc>
              <w:tc>
                <w:tcPr>
                  <w:tcW w:w="1023" w:type="dxa"/>
                  <w:vMerge w:val="continue"/>
                  <w:shd w:val="clear" w:color="auto" w:fill="FFFFFF"/>
                  <w:vAlign w:val="center"/>
                </w:tcPr>
                <w:p w14:paraId="34E9C505">
                  <w:pPr>
                    <w:rPr>
                      <w:rFonts w:ascii="Times New Roman" w:hAnsi="Times New Roman" w:eastAsia="宋体"/>
                      <w:b w:val="0"/>
                      <w:bCs/>
                      <w:color w:val="000000" w:themeColor="text1"/>
                      <w:sz w:val="21"/>
                      <w:szCs w:val="21"/>
                      <w:highlight w:val="none"/>
                      <w:vertAlign w:val="baseline"/>
                      <w14:textFill>
                        <w14:solidFill>
                          <w14:schemeClr w14:val="tx1"/>
                        </w14:solidFill>
                      </w14:textFill>
                    </w:rPr>
                  </w:pPr>
                </w:p>
              </w:tc>
              <w:tc>
                <w:tcPr>
                  <w:tcW w:w="956" w:type="dxa"/>
                  <w:vMerge w:val="continue"/>
                  <w:shd w:val="clear" w:color="auto" w:fill="FFFFFF"/>
                  <w:vAlign w:val="center"/>
                </w:tcPr>
                <w:p w14:paraId="1FEB3323">
                  <w:pPr>
                    <w:rPr>
                      <w:rFonts w:ascii="Times New Roman" w:hAnsi="Times New Roman" w:eastAsia="宋体"/>
                      <w:b w:val="0"/>
                      <w:bCs/>
                      <w:color w:val="000000" w:themeColor="text1"/>
                      <w:sz w:val="21"/>
                      <w:szCs w:val="21"/>
                      <w:highlight w:val="none"/>
                      <w:vertAlign w:val="baseline"/>
                      <w14:textFill>
                        <w14:solidFill>
                          <w14:schemeClr w14:val="tx1"/>
                        </w14:solidFill>
                      </w14:textFill>
                    </w:rPr>
                  </w:pPr>
                </w:p>
              </w:tc>
              <w:tc>
                <w:tcPr>
                  <w:tcW w:w="990" w:type="dxa"/>
                  <w:vMerge w:val="continue"/>
                  <w:tcBorders>
                    <w:right w:val="nil"/>
                  </w:tcBorders>
                  <w:shd w:val="clear" w:color="auto" w:fill="FFFFFF"/>
                  <w:vAlign w:val="center"/>
                </w:tcPr>
                <w:p w14:paraId="65BB4243">
                  <w:pPr>
                    <w:rPr>
                      <w:rFonts w:ascii="Times New Roman" w:hAnsi="Times New Roman" w:eastAsia="宋体"/>
                      <w:b w:val="0"/>
                      <w:bCs/>
                      <w:color w:val="000000" w:themeColor="text1"/>
                      <w:sz w:val="21"/>
                      <w:szCs w:val="21"/>
                      <w:highlight w:val="none"/>
                      <w:vertAlign w:val="baseline"/>
                      <w14:textFill>
                        <w14:solidFill>
                          <w14:schemeClr w14:val="tx1"/>
                        </w14:solidFill>
                      </w14:textFill>
                    </w:rPr>
                  </w:pPr>
                </w:p>
              </w:tc>
            </w:tr>
            <w:tr w14:paraId="3692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tcBorders>
                    <w:left w:val="nil"/>
                    <w:bottom w:val="single" w:color="000000" w:sz="12" w:space="0"/>
                  </w:tcBorders>
                  <w:shd w:val="clear" w:color="auto" w:fill="FFFFFF"/>
                  <w:vAlign w:val="center"/>
                </w:tcPr>
                <w:p w14:paraId="1A17A38C">
                  <w:pPr>
                    <w:pStyle w:val="227"/>
                    <w:spacing w:before="74" w:line="228" w:lineRule="auto"/>
                    <w:ind w:left="0" w:leftChars="0" w:firstLine="0" w:firstLineChars="0"/>
                    <w:rPr>
                      <w:rFonts w:hint="eastAsia" w:ascii="Times New Roman" w:hAnsi="Times New Roman" w:eastAsia="宋体"/>
                      <w:b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val="0"/>
                      <w:color w:val="000000" w:themeColor="text1"/>
                      <w:spacing w:val="6"/>
                      <w:sz w:val="21"/>
                      <w:szCs w:val="21"/>
                      <w:highlight w:val="none"/>
                      <w:lang w:val="en-US" w:eastAsia="zh-CN"/>
                      <w14:textFill>
                        <w14:solidFill>
                          <w14:schemeClr w14:val="tx1"/>
                        </w14:solidFill>
                      </w14:textFill>
                    </w:rPr>
                    <w:t>TSP</w:t>
                  </w:r>
                  <w:r>
                    <w:rPr>
                      <w:rFonts w:ascii="Times New Roman" w:hAnsi="Times New Roman" w:eastAsia="宋体"/>
                      <w:b w:val="0"/>
                      <w:color w:val="000000" w:themeColor="text1"/>
                      <w:spacing w:val="6"/>
                      <w:sz w:val="21"/>
                      <w:szCs w:val="21"/>
                      <w:highlight w:val="none"/>
                      <w14:textFill>
                        <w14:solidFill>
                          <w14:schemeClr w14:val="tx1"/>
                        </w14:solidFill>
                      </w14:textFill>
                    </w:rPr>
                    <w:t>监测</w:t>
                  </w:r>
                  <w:r>
                    <w:rPr>
                      <w:rFonts w:hint="eastAsia" w:ascii="Times New Roman" w:hAnsi="Times New Roman" w:eastAsia="宋体"/>
                      <w:b w:val="0"/>
                      <w:color w:val="000000" w:themeColor="text1"/>
                      <w:spacing w:val="6"/>
                      <w:sz w:val="21"/>
                      <w:szCs w:val="21"/>
                      <w:highlight w:val="none"/>
                      <w:lang w:val="en-US" w:eastAsia="zh-CN"/>
                      <w14:textFill>
                        <w14:solidFill>
                          <w14:schemeClr w14:val="tx1"/>
                        </w14:solidFill>
                      </w14:textFill>
                    </w:rPr>
                    <w:t>点</w:t>
                  </w:r>
                </w:p>
                <w:p w14:paraId="452D9345">
                  <w:pPr>
                    <w:pStyle w:val="227"/>
                    <w:spacing w:before="25" w:line="216" w:lineRule="auto"/>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p>
              </w:tc>
              <w:tc>
                <w:tcPr>
                  <w:tcW w:w="1008" w:type="dxa"/>
                  <w:tcBorders>
                    <w:bottom w:val="single" w:color="000000" w:sz="12" w:space="0"/>
                  </w:tcBorders>
                  <w:shd w:val="clear" w:color="auto" w:fill="FFFFFF"/>
                  <w:vAlign w:val="center"/>
                </w:tcPr>
                <w:p w14:paraId="6448360D">
                  <w:pPr>
                    <w:spacing w:before="58" w:line="197" w:lineRule="auto"/>
                    <w:ind w:left="0" w:leftChars="0" w:firstLine="0" w:firstLineChars="0"/>
                    <w:rPr>
                      <w:rFonts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pPr>
                  <w:r>
                    <w:rPr>
                      <w:rFonts w:ascii="Times New Roman" w:hAnsi="Times New Roman" w:eastAsia="宋体" w:cs="Times New Roman"/>
                      <w:b w:val="0"/>
                      <w:color w:val="000000" w:themeColor="text1"/>
                      <w:sz w:val="21"/>
                      <w:szCs w:val="21"/>
                      <w:highlight w:val="none"/>
                      <w14:textFill>
                        <w14:solidFill>
                          <w14:schemeClr w14:val="tx1"/>
                        </w14:solidFill>
                      </w14:textFill>
                    </w:rPr>
                    <w:t>DQ</w:t>
                  </w:r>
                  <w:r>
                    <w:rPr>
                      <w:rFonts w:ascii="Times New Roman" w:hAnsi="Times New Roman" w:eastAsia="宋体" w:cs="Times New Roman"/>
                      <w:b w:val="0"/>
                      <w:color w:val="000000" w:themeColor="text1"/>
                      <w:spacing w:val="10"/>
                      <w:sz w:val="21"/>
                      <w:szCs w:val="21"/>
                      <w:highlight w:val="none"/>
                      <w14:textFill>
                        <w14:solidFill>
                          <w14:schemeClr w14:val="tx1"/>
                        </w14:solidFill>
                      </w14:textFill>
                    </w:rPr>
                    <w:t>1#</w:t>
                  </w:r>
                </w:p>
              </w:tc>
              <w:tc>
                <w:tcPr>
                  <w:tcW w:w="1223" w:type="dxa"/>
                  <w:tcBorders>
                    <w:bottom w:val="single" w:color="000000" w:sz="12" w:space="0"/>
                  </w:tcBorders>
                  <w:shd w:val="clear" w:color="auto" w:fill="FFFFFF"/>
                  <w:vAlign w:val="center"/>
                </w:tcPr>
                <w:p w14:paraId="0931AE84">
                  <w:pPr>
                    <w:spacing w:before="58" w:line="195" w:lineRule="auto"/>
                    <w:ind w:left="0" w:leftChars="0" w:firstLine="0" w:firstLineChars="0"/>
                    <w:rPr>
                      <w:rFonts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pPr>
                  <w:r>
                    <w:rPr>
                      <w:rFonts w:hint="eastAsia" w:cs="Times New Roman"/>
                      <w:b w:val="0"/>
                      <w:color w:val="000000" w:themeColor="text1"/>
                      <w:spacing w:val="-6"/>
                      <w:sz w:val="21"/>
                      <w:szCs w:val="21"/>
                      <w:highlight w:val="none"/>
                      <w:lang w:val="en-US" w:eastAsia="zh-CN"/>
                      <w14:textFill>
                        <w14:solidFill>
                          <w14:schemeClr w14:val="tx1"/>
                        </w14:solidFill>
                      </w14:textFill>
                    </w:rPr>
                    <w:t>87</w:t>
                  </w:r>
                  <w:r>
                    <w:rPr>
                      <w:rFonts w:hint="default" w:ascii="Times New Roman" w:hAnsi="Times New Roman" w:cs="Times New Roman"/>
                      <w:b w:val="0"/>
                      <w:color w:val="000000" w:themeColor="text1"/>
                      <w:spacing w:val="-6"/>
                      <w:sz w:val="21"/>
                      <w:szCs w:val="21"/>
                      <w:highlight w:val="none"/>
                      <w:lang w:val="en-US" w:eastAsia="zh-CN"/>
                      <w14:textFill>
                        <w14:solidFill>
                          <w14:schemeClr w14:val="tx1"/>
                        </w14:solidFill>
                      </w14:textFill>
                    </w:rPr>
                    <w:t>°</w:t>
                  </w:r>
                  <w:r>
                    <w:rPr>
                      <w:rFonts w:hint="eastAsia" w:cs="Times New Roman"/>
                      <w:b w:val="0"/>
                      <w:color w:val="000000" w:themeColor="text1"/>
                      <w:spacing w:val="-6"/>
                      <w:sz w:val="21"/>
                      <w:szCs w:val="21"/>
                      <w:highlight w:val="none"/>
                      <w:lang w:val="en-US" w:eastAsia="zh-CN"/>
                      <w14:textFill>
                        <w14:solidFill>
                          <w14:schemeClr w14:val="tx1"/>
                        </w14:solidFill>
                      </w14:textFill>
                    </w:rPr>
                    <w:t>11</w:t>
                  </w:r>
                  <w:r>
                    <w:rPr>
                      <w:rFonts w:hint="default" w:ascii="Times New Roman" w:hAnsi="Times New Roman" w:cs="Times New Roman"/>
                      <w:b w:val="0"/>
                      <w:color w:val="000000" w:themeColor="text1"/>
                      <w:spacing w:val="-6"/>
                      <w:sz w:val="21"/>
                      <w:szCs w:val="21"/>
                      <w:highlight w:val="none"/>
                      <w:lang w:val="en-US" w:eastAsia="zh-CN"/>
                      <w14:textFill>
                        <w14:solidFill>
                          <w14:schemeClr w14:val="tx1"/>
                        </w14:solidFill>
                      </w14:textFill>
                    </w:rPr>
                    <w:t>′</w:t>
                  </w:r>
                  <w:r>
                    <w:rPr>
                      <w:rFonts w:hint="eastAsia" w:cs="Times New Roman"/>
                      <w:b w:val="0"/>
                      <w:color w:val="000000" w:themeColor="text1"/>
                      <w:spacing w:val="-6"/>
                      <w:sz w:val="21"/>
                      <w:szCs w:val="21"/>
                      <w:highlight w:val="none"/>
                      <w:lang w:val="en-US" w:eastAsia="zh-CN"/>
                      <w14:textFill>
                        <w14:solidFill>
                          <w14:schemeClr w14:val="tx1"/>
                        </w14:solidFill>
                      </w14:textFill>
                    </w:rPr>
                    <w:t>57.52</w:t>
                  </w:r>
                  <w:r>
                    <w:rPr>
                      <w:rFonts w:hint="default" w:ascii="Times New Roman" w:hAnsi="Times New Roman" w:cs="Times New Roman"/>
                      <w:b w:val="0"/>
                      <w:color w:val="000000" w:themeColor="text1"/>
                      <w:spacing w:val="-6"/>
                      <w:sz w:val="21"/>
                      <w:szCs w:val="21"/>
                      <w:highlight w:val="none"/>
                      <w:lang w:val="en-US" w:eastAsia="zh-CN"/>
                      <w14:textFill>
                        <w14:solidFill>
                          <w14:schemeClr w14:val="tx1"/>
                        </w14:solidFill>
                      </w14:textFill>
                    </w:rPr>
                    <w:t>″</w:t>
                  </w:r>
                </w:p>
              </w:tc>
              <w:tc>
                <w:tcPr>
                  <w:tcW w:w="1293" w:type="dxa"/>
                  <w:tcBorders>
                    <w:bottom w:val="single" w:color="000000" w:sz="12" w:space="0"/>
                  </w:tcBorders>
                  <w:shd w:val="clear" w:color="auto" w:fill="FFFFFF"/>
                  <w:vAlign w:val="center"/>
                </w:tcPr>
                <w:p w14:paraId="68DC4485">
                  <w:pPr>
                    <w:spacing w:before="58" w:line="195" w:lineRule="auto"/>
                    <w:ind w:left="0" w:leftChars="0" w:firstLine="0" w:firstLineChars="0"/>
                    <w:rPr>
                      <w:rFonts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pPr>
                  <w:r>
                    <w:rPr>
                      <w:rFonts w:hint="eastAsia" w:cs="Times New Roman"/>
                      <w:b w:val="0"/>
                      <w:color w:val="000000" w:themeColor="text1"/>
                      <w:spacing w:val="-6"/>
                      <w:sz w:val="21"/>
                      <w:szCs w:val="21"/>
                      <w:highlight w:val="none"/>
                      <w:lang w:val="en-US" w:eastAsia="zh-CN"/>
                      <w14:textFill>
                        <w14:solidFill>
                          <w14:schemeClr w14:val="tx1"/>
                        </w14:solidFill>
                      </w14:textFill>
                    </w:rPr>
                    <w:t>43</w:t>
                  </w:r>
                  <w:r>
                    <w:rPr>
                      <w:rFonts w:hint="default" w:ascii="Times New Roman" w:hAnsi="Times New Roman" w:cs="Times New Roman"/>
                      <w:b w:val="0"/>
                      <w:color w:val="000000" w:themeColor="text1"/>
                      <w:spacing w:val="-6"/>
                      <w:sz w:val="21"/>
                      <w:szCs w:val="21"/>
                      <w:highlight w:val="none"/>
                      <w:lang w:val="en-US" w:eastAsia="zh-CN"/>
                      <w14:textFill>
                        <w14:solidFill>
                          <w14:schemeClr w14:val="tx1"/>
                        </w14:solidFill>
                      </w14:textFill>
                    </w:rPr>
                    <w:t>°</w:t>
                  </w:r>
                  <w:r>
                    <w:rPr>
                      <w:rFonts w:hint="eastAsia" w:cs="Times New Roman"/>
                      <w:b w:val="0"/>
                      <w:color w:val="000000" w:themeColor="text1"/>
                      <w:spacing w:val="-6"/>
                      <w:sz w:val="21"/>
                      <w:szCs w:val="21"/>
                      <w:highlight w:val="none"/>
                      <w:lang w:val="en-US" w:eastAsia="zh-CN"/>
                      <w14:textFill>
                        <w14:solidFill>
                          <w14:schemeClr w14:val="tx1"/>
                        </w14:solidFill>
                      </w14:textFill>
                    </w:rPr>
                    <w:t>59</w:t>
                  </w:r>
                  <w:r>
                    <w:rPr>
                      <w:rFonts w:hint="default" w:ascii="Times New Roman" w:hAnsi="Times New Roman" w:cs="Times New Roman"/>
                      <w:b w:val="0"/>
                      <w:color w:val="000000" w:themeColor="text1"/>
                      <w:spacing w:val="-6"/>
                      <w:sz w:val="21"/>
                      <w:szCs w:val="21"/>
                      <w:highlight w:val="none"/>
                      <w:lang w:val="en-US" w:eastAsia="zh-CN"/>
                      <w14:textFill>
                        <w14:solidFill>
                          <w14:schemeClr w14:val="tx1"/>
                        </w14:solidFill>
                      </w14:textFill>
                    </w:rPr>
                    <w:t>′</w:t>
                  </w:r>
                  <w:r>
                    <w:rPr>
                      <w:rFonts w:hint="eastAsia" w:cs="Times New Roman"/>
                      <w:b w:val="0"/>
                      <w:color w:val="000000" w:themeColor="text1"/>
                      <w:spacing w:val="-6"/>
                      <w:sz w:val="21"/>
                      <w:szCs w:val="21"/>
                      <w:highlight w:val="none"/>
                      <w:lang w:val="en-US" w:eastAsia="zh-CN"/>
                      <w14:textFill>
                        <w14:solidFill>
                          <w14:schemeClr w14:val="tx1"/>
                        </w14:solidFill>
                      </w14:textFill>
                    </w:rPr>
                    <w:t>22.51</w:t>
                  </w:r>
                  <w:r>
                    <w:rPr>
                      <w:rFonts w:hint="default" w:ascii="Times New Roman" w:hAnsi="Times New Roman" w:cs="Times New Roman"/>
                      <w:b w:val="0"/>
                      <w:color w:val="000000" w:themeColor="text1"/>
                      <w:spacing w:val="-6"/>
                      <w:sz w:val="21"/>
                      <w:szCs w:val="21"/>
                      <w:highlight w:val="none"/>
                      <w:lang w:val="en-US" w:eastAsia="zh-CN"/>
                      <w14:textFill>
                        <w14:solidFill>
                          <w14:schemeClr w14:val="tx1"/>
                        </w14:solidFill>
                      </w14:textFill>
                    </w:rPr>
                    <w:t>″</w:t>
                  </w:r>
                </w:p>
              </w:tc>
              <w:tc>
                <w:tcPr>
                  <w:tcW w:w="1065" w:type="dxa"/>
                  <w:tcBorders>
                    <w:bottom w:val="single" w:color="000000" w:sz="12" w:space="0"/>
                  </w:tcBorders>
                  <w:shd w:val="clear" w:color="auto" w:fill="FFFFFF"/>
                  <w:vAlign w:val="center"/>
                </w:tcPr>
                <w:p w14:paraId="775D73A5">
                  <w:pPr>
                    <w:spacing w:before="58" w:line="195" w:lineRule="auto"/>
                    <w:ind w:left="0" w:leftChars="0" w:firstLine="0" w:firstLineChars="0"/>
                    <w:jc w:val="center"/>
                    <w:rPr>
                      <w:rFonts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pPr>
                  <w:r>
                    <w:rPr>
                      <w:rFonts w:ascii="Times New Roman" w:hAnsi="Times New Roman" w:eastAsia="宋体" w:cs="Times New Roman"/>
                      <w:b w:val="0"/>
                      <w:color w:val="000000" w:themeColor="text1"/>
                      <w:spacing w:val="2"/>
                      <w:sz w:val="21"/>
                      <w:szCs w:val="21"/>
                      <w:highlight w:val="none"/>
                      <w14:textFill>
                        <w14:solidFill>
                          <w14:schemeClr w14:val="tx1"/>
                        </w14:solidFill>
                      </w14:textFill>
                    </w:rPr>
                    <w:t>TSP</w:t>
                  </w:r>
                </w:p>
              </w:tc>
              <w:tc>
                <w:tcPr>
                  <w:tcW w:w="1023" w:type="dxa"/>
                  <w:tcBorders>
                    <w:bottom w:val="single" w:color="000000" w:sz="12" w:space="0"/>
                  </w:tcBorders>
                  <w:shd w:val="clear" w:color="auto" w:fill="FFFFFF"/>
                  <w:vAlign w:val="center"/>
                </w:tcPr>
                <w:p w14:paraId="7A35E22C">
                  <w:pPr>
                    <w:pStyle w:val="227"/>
                    <w:spacing w:before="75" w:line="251" w:lineRule="auto"/>
                    <w:ind w:left="0" w:leftChars="0" w:right="89" w:firstLine="0" w:firstLineChars="0"/>
                    <w:jc w:val="center"/>
                    <w:rPr>
                      <w:rFonts w:ascii="Times New Roman" w:hAnsi="Times New Roman" w:eastAsia="宋体" w:cs="仿宋"/>
                      <w:b w:val="0"/>
                      <w:color w:val="000000" w:themeColor="text1"/>
                      <w:kern w:val="2"/>
                      <w:sz w:val="21"/>
                      <w:szCs w:val="21"/>
                      <w:highlight w:val="none"/>
                      <w:lang w:val="en-US" w:eastAsia="en-US" w:bidi="ar-SA"/>
                      <w14:textFill>
                        <w14:solidFill>
                          <w14:schemeClr w14:val="tx1"/>
                        </w14:solidFill>
                      </w14:textFill>
                    </w:rPr>
                  </w:pPr>
                  <w:r>
                    <w:rPr>
                      <w:rFonts w:ascii="Times New Roman" w:hAnsi="Times New Roman" w:eastAsia="宋体" w:cs="Times New Roman"/>
                      <w:b w:val="0"/>
                      <w:color w:val="000000" w:themeColor="text1"/>
                      <w:spacing w:val="1"/>
                      <w:sz w:val="21"/>
                      <w:szCs w:val="21"/>
                      <w:highlight w:val="none"/>
                      <w14:textFill>
                        <w14:solidFill>
                          <w14:schemeClr w14:val="tx1"/>
                        </w14:solidFill>
                      </w14:textFill>
                    </w:rPr>
                    <w:t>202</w:t>
                  </w:r>
                  <w:r>
                    <w:rPr>
                      <w:rFonts w:hint="eastAsia" w:ascii="Times New Roman" w:hAnsi="Times New Roman" w:eastAsia="宋体" w:cs="Times New Roman"/>
                      <w:b w:val="0"/>
                      <w:color w:val="000000" w:themeColor="text1"/>
                      <w:spacing w:val="1"/>
                      <w:sz w:val="21"/>
                      <w:szCs w:val="21"/>
                      <w:highlight w:val="none"/>
                      <w:lang w:val="en-US" w:eastAsia="zh-CN"/>
                      <w14:textFill>
                        <w14:solidFill>
                          <w14:schemeClr w14:val="tx1"/>
                        </w14:solidFill>
                      </w14:textFill>
                    </w:rPr>
                    <w:t>6</w:t>
                  </w:r>
                  <w:r>
                    <w:rPr>
                      <w:rFonts w:ascii="Times New Roman" w:hAnsi="Times New Roman" w:eastAsia="宋体"/>
                      <w:b w:val="0"/>
                      <w:color w:val="000000" w:themeColor="text1"/>
                      <w:spacing w:val="1"/>
                      <w:sz w:val="21"/>
                      <w:szCs w:val="21"/>
                      <w:highlight w:val="none"/>
                      <w14:textFill>
                        <w14:solidFill>
                          <w14:schemeClr w14:val="tx1"/>
                        </w14:solidFill>
                      </w14:textFill>
                    </w:rPr>
                    <w:t>年</w:t>
                  </w:r>
                  <w:r>
                    <w:rPr>
                      <w:rFonts w:hint="eastAsia" w:ascii="Times New Roman" w:hAnsi="Times New Roman" w:eastAsia="宋体" w:cs="Times New Roman"/>
                      <w:b w:val="0"/>
                      <w:color w:val="000000" w:themeColor="text1"/>
                      <w:spacing w:val="1"/>
                      <w:sz w:val="21"/>
                      <w:szCs w:val="21"/>
                      <w:highlight w:val="none"/>
                      <w:lang w:val="en-US" w:eastAsia="zh-CN"/>
                      <w14:textFill>
                        <w14:solidFill>
                          <w14:schemeClr w14:val="tx1"/>
                        </w14:solidFill>
                      </w14:textFill>
                    </w:rPr>
                    <w:t>7</w:t>
                  </w:r>
                  <w:r>
                    <w:rPr>
                      <w:rFonts w:ascii="Times New Roman" w:hAnsi="Times New Roman" w:eastAsia="宋体"/>
                      <w:b w:val="0"/>
                      <w:color w:val="000000" w:themeColor="text1"/>
                      <w:spacing w:val="1"/>
                      <w:sz w:val="21"/>
                      <w:szCs w:val="21"/>
                      <w:highlight w:val="none"/>
                      <w14:textFill>
                        <w14:solidFill>
                          <w14:schemeClr w14:val="tx1"/>
                        </w14:solidFill>
                      </w14:textFill>
                    </w:rPr>
                    <w:t>月</w:t>
                  </w:r>
                  <w:r>
                    <w:rPr>
                      <w:rFonts w:hint="eastAsia" w:ascii="Times New Roman" w:hAnsi="Times New Roman" w:eastAsia="宋体" w:cs="Times New Roman"/>
                      <w:b w:val="0"/>
                      <w:color w:val="000000" w:themeColor="text1"/>
                      <w:spacing w:val="1"/>
                      <w:sz w:val="21"/>
                      <w:szCs w:val="21"/>
                      <w:highlight w:val="none"/>
                      <w:lang w:val="en-US" w:eastAsia="zh-CN"/>
                      <w14:textFill>
                        <w14:solidFill>
                          <w14:schemeClr w14:val="tx1"/>
                        </w14:solidFill>
                      </w14:textFill>
                    </w:rPr>
                    <w:t>13</w:t>
                  </w:r>
                  <w:r>
                    <w:rPr>
                      <w:rFonts w:ascii="Times New Roman" w:hAnsi="Times New Roman" w:eastAsia="宋体"/>
                      <w:b w:val="0"/>
                      <w:color w:val="000000" w:themeColor="text1"/>
                      <w:spacing w:val="-1"/>
                      <w:sz w:val="21"/>
                      <w:szCs w:val="21"/>
                      <w:highlight w:val="none"/>
                      <w14:textFill>
                        <w14:solidFill>
                          <w14:schemeClr w14:val="tx1"/>
                        </w14:solidFill>
                      </w14:textFill>
                    </w:rPr>
                    <w:t>日</w:t>
                  </w:r>
                  <w:r>
                    <w:rPr>
                      <w:rFonts w:ascii="Times New Roman" w:hAnsi="Times New Roman" w:eastAsia="宋体" w:cs="Times New Roman"/>
                      <w:b w:val="0"/>
                      <w:color w:val="000000" w:themeColor="text1"/>
                      <w:spacing w:val="-1"/>
                      <w:sz w:val="21"/>
                      <w:szCs w:val="21"/>
                      <w:highlight w:val="none"/>
                      <w14:textFill>
                        <w14:solidFill>
                          <w14:schemeClr w14:val="tx1"/>
                        </w14:solidFill>
                      </w14:textFill>
                    </w:rPr>
                    <w:t>~2025</w:t>
                  </w:r>
                  <w:r>
                    <w:rPr>
                      <w:rFonts w:ascii="Times New Roman" w:hAnsi="Times New Roman" w:eastAsia="宋体"/>
                      <w:b w:val="0"/>
                      <w:color w:val="000000" w:themeColor="text1"/>
                      <w:spacing w:val="-1"/>
                      <w:sz w:val="21"/>
                      <w:szCs w:val="21"/>
                      <w:highlight w:val="none"/>
                      <w14:textFill>
                        <w14:solidFill>
                          <w14:schemeClr w14:val="tx1"/>
                        </w14:solidFill>
                      </w14:textFill>
                    </w:rPr>
                    <w:t>年</w:t>
                  </w:r>
                  <w:r>
                    <w:rPr>
                      <w:rFonts w:hint="eastAsia" w:ascii="Times New Roman" w:hAnsi="Times New Roman" w:eastAsia="宋体" w:cs="Times New Roman"/>
                      <w:b w:val="0"/>
                      <w:color w:val="000000" w:themeColor="text1"/>
                      <w:spacing w:val="-1"/>
                      <w:sz w:val="21"/>
                      <w:szCs w:val="21"/>
                      <w:highlight w:val="none"/>
                      <w:lang w:val="en-US" w:eastAsia="zh-CN"/>
                      <w14:textFill>
                        <w14:solidFill>
                          <w14:schemeClr w14:val="tx1"/>
                        </w14:solidFill>
                      </w14:textFill>
                    </w:rPr>
                    <w:t>7</w:t>
                  </w:r>
                  <w:r>
                    <w:rPr>
                      <w:rFonts w:ascii="Times New Roman" w:hAnsi="Times New Roman" w:eastAsia="宋体"/>
                      <w:b w:val="0"/>
                      <w:color w:val="000000" w:themeColor="text1"/>
                      <w:sz w:val="21"/>
                      <w:szCs w:val="21"/>
                      <w:highlight w:val="none"/>
                      <w14:textFill>
                        <w14:solidFill>
                          <w14:schemeClr w14:val="tx1"/>
                        </w14:solidFill>
                      </w14:textFill>
                    </w:rPr>
                    <w:t>月</w:t>
                  </w: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16</w:t>
                  </w:r>
                  <w:r>
                    <w:rPr>
                      <w:rFonts w:ascii="Times New Roman" w:hAnsi="Times New Roman" w:eastAsia="宋体"/>
                      <w:b w:val="0"/>
                      <w:color w:val="000000" w:themeColor="text1"/>
                      <w:sz w:val="21"/>
                      <w:szCs w:val="21"/>
                      <w:highlight w:val="none"/>
                      <w14:textFill>
                        <w14:solidFill>
                          <w14:schemeClr w14:val="tx1"/>
                        </w14:solidFill>
                      </w14:textFill>
                    </w:rPr>
                    <w:t>日</w:t>
                  </w:r>
                </w:p>
              </w:tc>
              <w:tc>
                <w:tcPr>
                  <w:tcW w:w="956" w:type="dxa"/>
                  <w:tcBorders>
                    <w:bottom w:val="single" w:color="000000" w:sz="12" w:space="0"/>
                  </w:tcBorders>
                  <w:shd w:val="clear" w:color="auto" w:fill="FFFFFF"/>
                  <w:vAlign w:val="center"/>
                </w:tcPr>
                <w:p w14:paraId="0A460B73">
                  <w:pPr>
                    <w:pStyle w:val="227"/>
                    <w:spacing w:before="65" w:line="230" w:lineRule="auto"/>
                    <w:ind w:left="0" w:leftChars="0" w:firstLine="0" w:firstLineChars="0"/>
                    <w:rPr>
                      <w:rFonts w:hint="eastAsia" w:ascii="Times New Roman" w:hAnsi="Times New Roman" w:eastAsia="宋体" w:cs="仿宋"/>
                      <w:b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b w:val="0"/>
                      <w:color w:val="000000" w:themeColor="text1"/>
                      <w:spacing w:val="2"/>
                      <w:sz w:val="21"/>
                      <w:szCs w:val="21"/>
                      <w:highlight w:val="none"/>
                      <w:lang w:val="en-US" w:eastAsia="zh-CN"/>
                      <w14:textFill>
                        <w14:solidFill>
                          <w14:schemeClr w14:val="tx1"/>
                        </w14:solidFill>
                      </w14:textFill>
                    </w:rPr>
                    <w:t>东北</w:t>
                  </w:r>
                </w:p>
              </w:tc>
              <w:tc>
                <w:tcPr>
                  <w:tcW w:w="990" w:type="dxa"/>
                  <w:tcBorders>
                    <w:bottom w:val="single" w:color="000000" w:sz="12" w:space="0"/>
                    <w:right w:val="nil"/>
                  </w:tcBorders>
                  <w:shd w:val="clear" w:color="auto" w:fill="FFFFFF"/>
                  <w:vAlign w:val="center"/>
                </w:tcPr>
                <w:p w14:paraId="2D0D283A">
                  <w:pPr>
                    <w:spacing w:before="58" w:line="195" w:lineRule="auto"/>
                    <w:ind w:left="0" w:leftChars="0" w:firstLine="0" w:firstLineChars="0"/>
                    <w:rPr>
                      <w:rFonts w:hint="default"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pPr>
                  <w:r>
                    <w:rPr>
                      <w:rFonts w:hint="eastAsia" w:cs="Times New Roman"/>
                      <w:b w:val="0"/>
                      <w:color w:val="000000" w:themeColor="text1"/>
                      <w:spacing w:val="-1"/>
                      <w:sz w:val="21"/>
                      <w:szCs w:val="21"/>
                      <w:highlight w:val="none"/>
                      <w:lang w:val="en-US" w:eastAsia="zh-CN"/>
                      <w14:textFill>
                        <w14:solidFill>
                          <w14:schemeClr w14:val="tx1"/>
                        </w14:solidFill>
                      </w14:textFill>
                    </w:rPr>
                    <w:t>53</w:t>
                  </w:r>
                </w:p>
              </w:tc>
            </w:tr>
          </w:tbl>
          <w:p w14:paraId="5D29B22F">
            <w:pPr>
              <w:spacing w:before="240" w:beforeLines="100"/>
              <w:ind w:firstLine="480"/>
              <w:rPr>
                <w:b/>
                <w:bCs/>
                <w:color w:val="000000" w:themeColor="text1"/>
                <w:szCs w:val="32"/>
                <w:highlight w:val="none"/>
                <w14:textFill>
                  <w14:solidFill>
                    <w14:schemeClr w14:val="tx1"/>
                  </w14:solidFill>
                </w14:textFill>
              </w:rPr>
            </w:pPr>
            <w:r>
              <w:rPr>
                <w:color w:val="000000" w:themeColor="text1"/>
                <w:szCs w:val="32"/>
                <w:highlight w:val="none"/>
                <w14:textFill>
                  <w14:solidFill>
                    <w14:schemeClr w14:val="tx1"/>
                  </w14:solidFill>
                </w14:textFill>
              </w:rPr>
              <w:t>环境空气质量现状补充监测与评价结果见表3-</w:t>
            </w:r>
            <w:r>
              <w:rPr>
                <w:rFonts w:hint="eastAsia"/>
                <w:color w:val="000000" w:themeColor="text1"/>
                <w:szCs w:val="32"/>
                <w:highlight w:val="none"/>
                <w:lang w:val="en-US" w:eastAsia="zh-CN"/>
                <w14:textFill>
                  <w14:solidFill>
                    <w14:schemeClr w14:val="tx1"/>
                  </w14:solidFill>
                </w14:textFill>
              </w:rPr>
              <w:t>3</w:t>
            </w:r>
            <w:r>
              <w:rPr>
                <w:color w:val="000000" w:themeColor="text1"/>
                <w:szCs w:val="32"/>
                <w:highlight w:val="none"/>
                <w14:textFill>
                  <w14:solidFill>
                    <w14:schemeClr w14:val="tx1"/>
                  </w14:solidFill>
                </w14:textFill>
              </w:rPr>
              <w:t>，监测报告见附件。</w:t>
            </w:r>
          </w:p>
          <w:p w14:paraId="216218D8">
            <w:pPr>
              <w:pStyle w:val="2"/>
              <w:spacing w:before="0" w:beforeLines="0" w:after="0" w:afterLines="0" w:line="240" w:lineRule="auto"/>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表3</w:t>
            </w:r>
            <w:r>
              <w:rPr>
                <w:rFonts w:hint="eastAsia"/>
                <w:b/>
                <w:bCs/>
                <w:color w:val="000000" w:themeColor="text1"/>
                <w:sz w:val="21"/>
                <w:szCs w:val="21"/>
                <w:highlight w:val="none"/>
                <w:lang w:val="en-US" w:eastAsia="zh-CN"/>
                <w14:textFill>
                  <w14:solidFill>
                    <w14:schemeClr w14:val="tx1"/>
                  </w14:solidFill>
                </w14:textFill>
              </w:rPr>
              <w:t>-3</w:t>
            </w:r>
            <w:r>
              <w:rPr>
                <w:b/>
                <w:bCs/>
                <w:color w:val="000000" w:themeColor="text1"/>
                <w:sz w:val="21"/>
                <w:szCs w:val="21"/>
                <w:highlight w:val="none"/>
                <w14:textFill>
                  <w14:solidFill>
                    <w14:schemeClr w14:val="tx1"/>
                  </w14:solidFill>
                </w14:textFill>
              </w:rPr>
              <w:t xml:space="preserve">    特征污染物环境质量现状（监测结果）表</w:t>
            </w:r>
          </w:p>
          <w:tbl>
            <w:tblPr>
              <w:tblStyle w:val="4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69"/>
              <w:gridCol w:w="1291"/>
              <w:gridCol w:w="1508"/>
              <w:gridCol w:w="1566"/>
              <w:gridCol w:w="1160"/>
              <w:gridCol w:w="787"/>
              <w:gridCol w:w="954"/>
            </w:tblGrid>
            <w:tr w14:paraId="2193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 w:type="pct"/>
                  <w:vMerge w:val="restart"/>
                  <w:tcBorders>
                    <w:top w:val="single" w:color="000000" w:sz="12" w:space="0"/>
                    <w:left w:val="nil"/>
                    <w:tl2br w:val="nil"/>
                    <w:tr2bl w:val="nil"/>
                  </w:tcBorders>
                  <w:shd w:val="clear" w:color="auto" w:fill="FFFFFF"/>
                  <w:vAlign w:val="center"/>
                </w:tcPr>
                <w:p w14:paraId="16F2E1A6">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bCs/>
                      <w:color w:val="000000" w:themeColor="text1"/>
                      <w:spacing w:val="0"/>
                      <w:sz w:val="21"/>
                      <w:szCs w:val="21"/>
                      <w:highlight w:val="none"/>
                      <w14:textFill>
                        <w14:solidFill>
                          <w14:schemeClr w14:val="tx1"/>
                        </w14:solidFill>
                      </w14:textFill>
                    </w:rPr>
                  </w:pPr>
                  <w:r>
                    <w:rPr>
                      <w:b w:val="0"/>
                      <w:bCs/>
                      <w:color w:val="000000" w:themeColor="text1"/>
                      <w:spacing w:val="0"/>
                      <w:sz w:val="21"/>
                      <w:szCs w:val="21"/>
                      <w:highlight w:val="none"/>
                      <w14:textFill>
                        <w14:solidFill>
                          <w14:schemeClr w14:val="tx1"/>
                        </w14:solidFill>
                      </w14:textFill>
                    </w:rPr>
                    <w:t>污染物</w:t>
                  </w:r>
                </w:p>
              </w:tc>
              <w:tc>
                <w:tcPr>
                  <w:tcW w:w="756" w:type="pct"/>
                  <w:vMerge w:val="restart"/>
                  <w:tcBorders>
                    <w:top w:val="single" w:color="000000" w:sz="12" w:space="0"/>
                    <w:tl2br w:val="nil"/>
                    <w:tr2bl w:val="nil"/>
                  </w:tcBorders>
                  <w:shd w:val="clear" w:color="auto" w:fill="FFFFFF"/>
                  <w:vAlign w:val="center"/>
                </w:tcPr>
                <w:p w14:paraId="3385F394">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bCs/>
                      <w:color w:val="000000" w:themeColor="text1"/>
                      <w:spacing w:val="0"/>
                      <w:sz w:val="21"/>
                      <w:szCs w:val="21"/>
                      <w:highlight w:val="none"/>
                      <w14:textFill>
                        <w14:solidFill>
                          <w14:schemeClr w14:val="tx1"/>
                        </w14:solidFill>
                      </w14:textFill>
                    </w:rPr>
                  </w:pPr>
                  <w:r>
                    <w:rPr>
                      <w:b w:val="0"/>
                      <w:bCs/>
                      <w:color w:val="000000" w:themeColor="text1"/>
                      <w:spacing w:val="0"/>
                      <w:sz w:val="21"/>
                      <w:szCs w:val="21"/>
                      <w:highlight w:val="none"/>
                      <w14:textFill>
                        <w14:solidFill>
                          <w14:schemeClr w14:val="tx1"/>
                        </w14:solidFill>
                      </w14:textFill>
                    </w:rPr>
                    <w:t>平均时间</w:t>
                  </w:r>
                </w:p>
              </w:tc>
              <w:tc>
                <w:tcPr>
                  <w:tcW w:w="883" w:type="pct"/>
                  <w:vMerge w:val="restart"/>
                  <w:tcBorders>
                    <w:top w:val="single" w:color="000000" w:sz="12" w:space="0"/>
                    <w:tl2br w:val="nil"/>
                    <w:tr2bl w:val="nil"/>
                  </w:tcBorders>
                  <w:shd w:val="clear" w:color="auto" w:fill="FFFFFF"/>
                  <w:vAlign w:val="center"/>
                </w:tcPr>
                <w:p w14:paraId="55D03435">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bCs/>
                      <w:color w:val="000000" w:themeColor="text1"/>
                      <w:spacing w:val="0"/>
                      <w:sz w:val="21"/>
                      <w:szCs w:val="21"/>
                      <w:highlight w:val="none"/>
                      <w14:textFill>
                        <w14:solidFill>
                          <w14:schemeClr w14:val="tx1"/>
                        </w14:solidFill>
                      </w14:textFill>
                    </w:rPr>
                  </w:pPr>
                  <w:r>
                    <w:rPr>
                      <w:b w:val="0"/>
                      <w:bCs/>
                      <w:color w:val="000000" w:themeColor="text1"/>
                      <w:spacing w:val="0"/>
                      <w:sz w:val="21"/>
                      <w:szCs w:val="21"/>
                      <w:highlight w:val="none"/>
                      <w14:textFill>
                        <w14:solidFill>
                          <w14:schemeClr w14:val="tx1"/>
                        </w14:solidFill>
                      </w14:textFill>
                    </w:rPr>
                    <w:t>评价标准（μg/m</w:t>
                  </w:r>
                  <w:r>
                    <w:rPr>
                      <w:b w:val="0"/>
                      <w:bCs/>
                      <w:color w:val="000000" w:themeColor="text1"/>
                      <w:spacing w:val="0"/>
                      <w:sz w:val="21"/>
                      <w:szCs w:val="21"/>
                      <w:highlight w:val="none"/>
                      <w:vertAlign w:val="superscript"/>
                      <w14:textFill>
                        <w14:solidFill>
                          <w14:schemeClr w14:val="tx1"/>
                        </w14:solidFill>
                      </w14:textFill>
                    </w:rPr>
                    <w:t>3</w:t>
                  </w:r>
                  <w:r>
                    <w:rPr>
                      <w:b w:val="0"/>
                      <w:bCs/>
                      <w:color w:val="000000" w:themeColor="text1"/>
                      <w:spacing w:val="0"/>
                      <w:sz w:val="21"/>
                      <w:szCs w:val="21"/>
                      <w:highlight w:val="none"/>
                      <w14:textFill>
                        <w14:solidFill>
                          <w14:schemeClr w14:val="tx1"/>
                        </w14:solidFill>
                      </w14:textFill>
                    </w:rPr>
                    <w:t>）</w:t>
                  </w:r>
                </w:p>
              </w:tc>
              <w:tc>
                <w:tcPr>
                  <w:tcW w:w="917" w:type="pct"/>
                  <w:vMerge w:val="restart"/>
                  <w:tcBorders>
                    <w:top w:val="single" w:color="000000" w:sz="12" w:space="0"/>
                    <w:tl2br w:val="nil"/>
                    <w:tr2bl w:val="nil"/>
                  </w:tcBorders>
                  <w:shd w:val="clear" w:color="auto" w:fill="FFFFFF"/>
                  <w:vAlign w:val="center"/>
                </w:tcPr>
                <w:p w14:paraId="5BF57570">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bCs/>
                      <w:color w:val="000000" w:themeColor="text1"/>
                      <w:spacing w:val="0"/>
                      <w:sz w:val="21"/>
                      <w:szCs w:val="21"/>
                      <w:highlight w:val="none"/>
                      <w14:textFill>
                        <w14:solidFill>
                          <w14:schemeClr w14:val="tx1"/>
                        </w14:solidFill>
                      </w14:textFill>
                    </w:rPr>
                  </w:pPr>
                  <w:r>
                    <w:rPr>
                      <w:b w:val="0"/>
                      <w:bCs/>
                      <w:color w:val="000000" w:themeColor="text1"/>
                      <w:spacing w:val="0"/>
                      <w:sz w:val="21"/>
                      <w:szCs w:val="21"/>
                      <w:highlight w:val="none"/>
                      <w14:textFill>
                        <w14:solidFill>
                          <w14:schemeClr w14:val="tx1"/>
                        </w14:solidFill>
                      </w14:textFill>
                    </w:rPr>
                    <w:t>监测浓度范围（μg/m</w:t>
                  </w:r>
                  <w:r>
                    <w:rPr>
                      <w:b w:val="0"/>
                      <w:bCs/>
                      <w:color w:val="000000" w:themeColor="text1"/>
                      <w:spacing w:val="0"/>
                      <w:sz w:val="21"/>
                      <w:szCs w:val="21"/>
                      <w:highlight w:val="none"/>
                      <w:vertAlign w:val="superscript"/>
                      <w14:textFill>
                        <w14:solidFill>
                          <w14:schemeClr w14:val="tx1"/>
                        </w14:solidFill>
                      </w14:textFill>
                    </w:rPr>
                    <w:t>3</w:t>
                  </w:r>
                  <w:r>
                    <w:rPr>
                      <w:b w:val="0"/>
                      <w:bCs/>
                      <w:color w:val="000000" w:themeColor="text1"/>
                      <w:spacing w:val="0"/>
                      <w:sz w:val="21"/>
                      <w:szCs w:val="21"/>
                      <w:highlight w:val="none"/>
                      <w14:textFill>
                        <w14:solidFill>
                          <w14:schemeClr w14:val="tx1"/>
                        </w14:solidFill>
                      </w14:textFill>
                    </w:rPr>
                    <w:t>）</w:t>
                  </w:r>
                </w:p>
              </w:tc>
              <w:tc>
                <w:tcPr>
                  <w:tcW w:w="679" w:type="pct"/>
                  <w:vMerge w:val="restart"/>
                  <w:tcBorders>
                    <w:top w:val="single" w:color="000000" w:sz="12" w:space="0"/>
                    <w:tl2br w:val="nil"/>
                    <w:tr2bl w:val="nil"/>
                  </w:tcBorders>
                  <w:shd w:val="clear" w:color="auto" w:fill="FFFFFF"/>
                  <w:vAlign w:val="center"/>
                </w:tcPr>
                <w:p w14:paraId="5B02AD8A">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bCs/>
                      <w:color w:val="000000" w:themeColor="text1"/>
                      <w:spacing w:val="0"/>
                      <w:sz w:val="21"/>
                      <w:szCs w:val="21"/>
                      <w:highlight w:val="none"/>
                      <w14:textFill>
                        <w14:solidFill>
                          <w14:schemeClr w14:val="tx1"/>
                        </w14:solidFill>
                      </w14:textFill>
                    </w:rPr>
                  </w:pPr>
                  <w:r>
                    <w:rPr>
                      <w:b w:val="0"/>
                      <w:bCs/>
                      <w:color w:val="000000" w:themeColor="text1"/>
                      <w:spacing w:val="0"/>
                      <w:sz w:val="21"/>
                      <w:szCs w:val="21"/>
                      <w:highlight w:val="none"/>
                      <w14:textFill>
                        <w14:solidFill>
                          <w14:schemeClr w14:val="tx1"/>
                        </w14:solidFill>
                      </w14:textFill>
                    </w:rPr>
                    <w:t>最大浓度占标率%</w:t>
                  </w:r>
                </w:p>
              </w:tc>
              <w:tc>
                <w:tcPr>
                  <w:tcW w:w="461" w:type="pct"/>
                  <w:vMerge w:val="restart"/>
                  <w:tcBorders>
                    <w:top w:val="single" w:color="000000" w:sz="12" w:space="0"/>
                    <w:tl2br w:val="nil"/>
                    <w:tr2bl w:val="nil"/>
                  </w:tcBorders>
                  <w:shd w:val="clear" w:color="auto" w:fill="FFFFFF"/>
                  <w:vAlign w:val="center"/>
                </w:tcPr>
                <w:p w14:paraId="3450A782">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bCs/>
                      <w:color w:val="000000" w:themeColor="text1"/>
                      <w:spacing w:val="0"/>
                      <w:sz w:val="21"/>
                      <w:szCs w:val="21"/>
                      <w:highlight w:val="none"/>
                      <w14:textFill>
                        <w14:solidFill>
                          <w14:schemeClr w14:val="tx1"/>
                        </w14:solidFill>
                      </w14:textFill>
                    </w:rPr>
                  </w:pPr>
                  <w:r>
                    <w:rPr>
                      <w:b w:val="0"/>
                      <w:bCs/>
                      <w:color w:val="000000" w:themeColor="text1"/>
                      <w:spacing w:val="0"/>
                      <w:sz w:val="21"/>
                      <w:szCs w:val="21"/>
                      <w:highlight w:val="none"/>
                      <w14:textFill>
                        <w14:solidFill>
                          <w14:schemeClr w14:val="tx1"/>
                        </w14:solidFill>
                      </w14:textFill>
                    </w:rPr>
                    <w:t>超标率%</w:t>
                  </w:r>
                </w:p>
              </w:tc>
              <w:tc>
                <w:tcPr>
                  <w:tcW w:w="558" w:type="pct"/>
                  <w:vMerge w:val="restart"/>
                  <w:tcBorders>
                    <w:top w:val="single" w:color="000000" w:sz="12" w:space="0"/>
                    <w:right w:val="nil"/>
                    <w:tl2br w:val="nil"/>
                    <w:tr2bl w:val="nil"/>
                  </w:tcBorders>
                  <w:shd w:val="clear" w:color="auto" w:fill="FFFFFF"/>
                  <w:vAlign w:val="center"/>
                </w:tcPr>
                <w:p w14:paraId="644A5BDB">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bCs/>
                      <w:color w:val="000000" w:themeColor="text1"/>
                      <w:spacing w:val="0"/>
                      <w:sz w:val="21"/>
                      <w:szCs w:val="21"/>
                      <w:highlight w:val="none"/>
                      <w14:textFill>
                        <w14:solidFill>
                          <w14:schemeClr w14:val="tx1"/>
                        </w14:solidFill>
                      </w14:textFill>
                    </w:rPr>
                  </w:pPr>
                  <w:r>
                    <w:rPr>
                      <w:b w:val="0"/>
                      <w:bCs/>
                      <w:color w:val="000000" w:themeColor="text1"/>
                      <w:spacing w:val="0"/>
                      <w:sz w:val="21"/>
                      <w:szCs w:val="21"/>
                      <w:highlight w:val="none"/>
                      <w14:textFill>
                        <w14:solidFill>
                          <w14:schemeClr w14:val="tx1"/>
                        </w14:solidFill>
                      </w14:textFill>
                    </w:rPr>
                    <w:t>达标情况</w:t>
                  </w:r>
                </w:p>
              </w:tc>
            </w:tr>
            <w:tr w14:paraId="180D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 w:type="pct"/>
                  <w:vMerge w:val="continue"/>
                  <w:tcBorders>
                    <w:left w:val="nil"/>
                    <w:tl2br w:val="nil"/>
                    <w:tr2bl w:val="nil"/>
                  </w:tcBorders>
                  <w:shd w:val="clear" w:color="auto" w:fill="FFFFFF"/>
                  <w:vAlign w:val="center"/>
                </w:tcPr>
                <w:p w14:paraId="7B723C0E">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color w:val="000000" w:themeColor="text1"/>
                      <w:spacing w:val="0"/>
                      <w:sz w:val="21"/>
                      <w:szCs w:val="21"/>
                      <w:highlight w:val="none"/>
                      <w14:textFill>
                        <w14:solidFill>
                          <w14:schemeClr w14:val="tx1"/>
                        </w14:solidFill>
                      </w14:textFill>
                    </w:rPr>
                  </w:pPr>
                </w:p>
              </w:tc>
              <w:tc>
                <w:tcPr>
                  <w:tcW w:w="756" w:type="pct"/>
                  <w:vMerge w:val="continue"/>
                  <w:tcBorders>
                    <w:tl2br w:val="nil"/>
                    <w:tr2bl w:val="nil"/>
                  </w:tcBorders>
                  <w:shd w:val="clear" w:color="auto" w:fill="FFFFFF"/>
                  <w:vAlign w:val="center"/>
                </w:tcPr>
                <w:p w14:paraId="1E4577F9">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color w:val="000000" w:themeColor="text1"/>
                      <w:spacing w:val="0"/>
                      <w:sz w:val="21"/>
                      <w:szCs w:val="21"/>
                      <w:highlight w:val="none"/>
                      <w14:textFill>
                        <w14:solidFill>
                          <w14:schemeClr w14:val="tx1"/>
                        </w14:solidFill>
                      </w14:textFill>
                    </w:rPr>
                  </w:pPr>
                </w:p>
              </w:tc>
              <w:tc>
                <w:tcPr>
                  <w:tcW w:w="883" w:type="pct"/>
                  <w:vMerge w:val="continue"/>
                  <w:tcBorders>
                    <w:tl2br w:val="nil"/>
                    <w:tr2bl w:val="nil"/>
                  </w:tcBorders>
                  <w:shd w:val="clear" w:color="auto" w:fill="FFFFFF"/>
                  <w:vAlign w:val="center"/>
                </w:tcPr>
                <w:p w14:paraId="036F5405">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color w:val="000000" w:themeColor="text1"/>
                      <w:spacing w:val="0"/>
                      <w:sz w:val="21"/>
                      <w:szCs w:val="21"/>
                      <w:highlight w:val="none"/>
                      <w14:textFill>
                        <w14:solidFill>
                          <w14:schemeClr w14:val="tx1"/>
                        </w14:solidFill>
                      </w14:textFill>
                    </w:rPr>
                  </w:pPr>
                </w:p>
              </w:tc>
              <w:tc>
                <w:tcPr>
                  <w:tcW w:w="917" w:type="pct"/>
                  <w:vMerge w:val="continue"/>
                  <w:tcBorders>
                    <w:tl2br w:val="nil"/>
                    <w:tr2bl w:val="nil"/>
                  </w:tcBorders>
                  <w:shd w:val="clear" w:color="auto" w:fill="FFFFFF"/>
                  <w:vAlign w:val="center"/>
                </w:tcPr>
                <w:p w14:paraId="6C191E5B">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color w:val="000000" w:themeColor="text1"/>
                      <w:spacing w:val="0"/>
                      <w:sz w:val="21"/>
                      <w:szCs w:val="21"/>
                      <w:highlight w:val="none"/>
                      <w14:textFill>
                        <w14:solidFill>
                          <w14:schemeClr w14:val="tx1"/>
                        </w14:solidFill>
                      </w14:textFill>
                    </w:rPr>
                  </w:pPr>
                </w:p>
              </w:tc>
              <w:tc>
                <w:tcPr>
                  <w:tcW w:w="679" w:type="pct"/>
                  <w:vMerge w:val="continue"/>
                  <w:tcBorders>
                    <w:tl2br w:val="nil"/>
                    <w:tr2bl w:val="nil"/>
                  </w:tcBorders>
                  <w:shd w:val="clear" w:color="auto" w:fill="FFFFFF"/>
                  <w:vAlign w:val="center"/>
                </w:tcPr>
                <w:p w14:paraId="6E97A925">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color w:val="000000" w:themeColor="text1"/>
                      <w:spacing w:val="0"/>
                      <w:sz w:val="21"/>
                      <w:szCs w:val="21"/>
                      <w:highlight w:val="none"/>
                      <w14:textFill>
                        <w14:solidFill>
                          <w14:schemeClr w14:val="tx1"/>
                        </w14:solidFill>
                      </w14:textFill>
                    </w:rPr>
                  </w:pPr>
                </w:p>
              </w:tc>
              <w:tc>
                <w:tcPr>
                  <w:tcW w:w="461" w:type="pct"/>
                  <w:vMerge w:val="continue"/>
                  <w:tcBorders>
                    <w:tl2br w:val="nil"/>
                    <w:tr2bl w:val="nil"/>
                  </w:tcBorders>
                  <w:shd w:val="clear" w:color="auto" w:fill="FFFFFF"/>
                  <w:vAlign w:val="center"/>
                </w:tcPr>
                <w:p w14:paraId="1F5A9333">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color w:val="000000" w:themeColor="text1"/>
                      <w:spacing w:val="0"/>
                      <w:sz w:val="21"/>
                      <w:szCs w:val="21"/>
                      <w:highlight w:val="none"/>
                      <w14:textFill>
                        <w14:solidFill>
                          <w14:schemeClr w14:val="tx1"/>
                        </w14:solidFill>
                      </w14:textFill>
                    </w:rPr>
                  </w:pPr>
                </w:p>
              </w:tc>
              <w:tc>
                <w:tcPr>
                  <w:tcW w:w="558" w:type="pct"/>
                  <w:vMerge w:val="continue"/>
                  <w:tcBorders>
                    <w:right w:val="nil"/>
                    <w:tl2br w:val="nil"/>
                    <w:tr2bl w:val="nil"/>
                  </w:tcBorders>
                  <w:shd w:val="clear" w:color="auto" w:fill="FFFFFF"/>
                  <w:vAlign w:val="center"/>
                </w:tcPr>
                <w:p w14:paraId="73732220">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color w:val="000000" w:themeColor="text1"/>
                      <w:spacing w:val="0"/>
                      <w:sz w:val="21"/>
                      <w:szCs w:val="21"/>
                      <w:highlight w:val="none"/>
                      <w14:textFill>
                        <w14:solidFill>
                          <w14:schemeClr w14:val="tx1"/>
                        </w14:solidFill>
                      </w14:textFill>
                    </w:rPr>
                  </w:pPr>
                </w:p>
              </w:tc>
            </w:tr>
            <w:tr w14:paraId="38E3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43" w:type="pct"/>
                  <w:tcBorders>
                    <w:left w:val="nil"/>
                    <w:bottom w:val="single" w:color="000000" w:sz="12" w:space="0"/>
                    <w:tl2br w:val="nil"/>
                    <w:tr2bl w:val="nil"/>
                  </w:tcBorders>
                  <w:shd w:val="clear" w:color="auto" w:fill="FFFFFF"/>
                  <w:vAlign w:val="top"/>
                </w:tcPr>
                <w:p w14:paraId="7DE66F51">
                  <w:pPr>
                    <w:spacing w:before="207" w:line="195" w:lineRule="auto"/>
                    <w:jc w:val="both"/>
                    <w:rPr>
                      <w:b w:val="0"/>
                      <w:color w:val="000000" w:themeColor="text1"/>
                      <w:spacing w:val="0"/>
                      <w:sz w:val="21"/>
                      <w:szCs w:val="21"/>
                      <w:highlight w:val="none"/>
                      <w14:textFill>
                        <w14:solidFill>
                          <w14:schemeClr w14:val="tx1"/>
                        </w14:solidFill>
                      </w14:textFill>
                    </w:rPr>
                  </w:pPr>
                  <w:r>
                    <w:rPr>
                      <w:rFonts w:ascii="Times New Roman" w:hAnsi="Times New Roman" w:eastAsia="Times New Roman" w:cs="Times New Roman"/>
                      <w:b w:val="0"/>
                      <w:color w:val="000000" w:themeColor="text1"/>
                      <w:spacing w:val="3"/>
                      <w:sz w:val="21"/>
                      <w:szCs w:val="21"/>
                      <w:highlight w:val="none"/>
                      <w14:textFill>
                        <w14:solidFill>
                          <w14:schemeClr w14:val="tx1"/>
                        </w14:solidFill>
                      </w14:textFill>
                    </w:rPr>
                    <w:t>TSP</w:t>
                  </w:r>
                </w:p>
              </w:tc>
              <w:tc>
                <w:tcPr>
                  <w:tcW w:w="756" w:type="pct"/>
                  <w:tcBorders>
                    <w:bottom w:val="single" w:color="000000" w:sz="12" w:space="0"/>
                    <w:tl2br w:val="nil"/>
                    <w:tr2bl w:val="nil"/>
                  </w:tcBorders>
                  <w:shd w:val="clear" w:color="auto" w:fill="FFFFFF"/>
                  <w:vAlign w:val="top"/>
                </w:tcPr>
                <w:p w14:paraId="498D6A0C">
                  <w:pPr>
                    <w:pStyle w:val="227"/>
                    <w:spacing w:before="169" w:line="228" w:lineRule="auto"/>
                    <w:ind w:left="0" w:leftChars="0" w:firstLine="0" w:firstLineChars="0"/>
                    <w:jc w:val="center"/>
                    <w:rPr>
                      <w:b w:val="0"/>
                      <w:color w:val="000000" w:themeColor="text1"/>
                      <w:spacing w:val="0"/>
                      <w:sz w:val="21"/>
                      <w:szCs w:val="21"/>
                      <w:highlight w:val="none"/>
                      <w14:textFill>
                        <w14:solidFill>
                          <w14:schemeClr w14:val="tx1"/>
                        </w14:solidFill>
                      </w14:textFill>
                    </w:rPr>
                  </w:pPr>
                  <w:r>
                    <w:rPr>
                      <w:rFonts w:ascii="Times New Roman" w:hAnsi="Times New Roman" w:eastAsia="Times New Roman" w:cs="Times New Roman"/>
                      <w:b w:val="0"/>
                      <w:color w:val="000000" w:themeColor="text1"/>
                      <w:spacing w:val="3"/>
                      <w:sz w:val="21"/>
                      <w:szCs w:val="21"/>
                      <w:highlight w:val="none"/>
                      <w14:textFill>
                        <w14:solidFill>
                          <w14:schemeClr w14:val="tx1"/>
                        </w14:solidFill>
                      </w14:textFill>
                    </w:rPr>
                    <w:t>24h</w:t>
                  </w:r>
                  <w:r>
                    <w:rPr>
                      <w:rFonts w:hint="eastAsia" w:ascii="宋体" w:hAnsi="宋体" w:eastAsia="宋体" w:cs="宋体"/>
                      <w:b w:val="0"/>
                      <w:color w:val="000000" w:themeColor="text1"/>
                      <w:spacing w:val="3"/>
                      <w:sz w:val="21"/>
                      <w:szCs w:val="21"/>
                      <w:highlight w:val="none"/>
                      <w14:textFill>
                        <w14:solidFill>
                          <w14:schemeClr w14:val="tx1"/>
                        </w14:solidFill>
                      </w14:textFill>
                    </w:rPr>
                    <w:t>平均</w:t>
                  </w:r>
                </w:p>
              </w:tc>
              <w:tc>
                <w:tcPr>
                  <w:tcW w:w="883" w:type="pct"/>
                  <w:tcBorders>
                    <w:bottom w:val="single" w:color="000000" w:sz="12" w:space="0"/>
                    <w:tl2br w:val="nil"/>
                    <w:tr2bl w:val="nil"/>
                  </w:tcBorders>
                  <w:shd w:val="clear" w:color="auto" w:fill="FFFFFF"/>
                  <w:vAlign w:val="top"/>
                </w:tcPr>
                <w:p w14:paraId="587E9E40">
                  <w:pPr>
                    <w:spacing w:before="207" w:line="195" w:lineRule="auto"/>
                    <w:ind w:left="0" w:leftChars="0" w:firstLine="0" w:firstLineChars="0"/>
                    <w:jc w:val="center"/>
                    <w:rPr>
                      <w:b w:val="0"/>
                      <w:color w:val="000000" w:themeColor="text1"/>
                      <w:spacing w:val="0"/>
                      <w:sz w:val="21"/>
                      <w:szCs w:val="21"/>
                      <w:highlight w:val="none"/>
                      <w14:textFill>
                        <w14:solidFill>
                          <w14:schemeClr w14:val="tx1"/>
                        </w14:solidFill>
                      </w14:textFill>
                    </w:rPr>
                  </w:pPr>
                  <w:r>
                    <w:rPr>
                      <w:rFonts w:ascii="Times New Roman" w:hAnsi="Times New Roman" w:eastAsia="Times New Roman" w:cs="Times New Roman"/>
                      <w:b w:val="0"/>
                      <w:color w:val="000000" w:themeColor="text1"/>
                      <w:spacing w:val="2"/>
                      <w:sz w:val="21"/>
                      <w:szCs w:val="21"/>
                      <w:highlight w:val="none"/>
                      <w14:textFill>
                        <w14:solidFill>
                          <w14:schemeClr w14:val="tx1"/>
                        </w14:solidFill>
                      </w14:textFill>
                    </w:rPr>
                    <w:t>300</w:t>
                  </w:r>
                </w:p>
              </w:tc>
              <w:tc>
                <w:tcPr>
                  <w:tcW w:w="917" w:type="pct"/>
                  <w:tcBorders>
                    <w:bottom w:val="single" w:color="000000" w:sz="12" w:space="0"/>
                    <w:tl2br w:val="nil"/>
                    <w:tr2bl w:val="nil"/>
                  </w:tcBorders>
                  <w:shd w:val="clear" w:color="auto" w:fill="FFFFFF"/>
                  <w:vAlign w:val="top"/>
                </w:tcPr>
                <w:p w14:paraId="77035B9E">
                  <w:pPr>
                    <w:spacing w:before="207" w:line="195" w:lineRule="auto"/>
                    <w:jc w:val="both"/>
                    <w:rPr>
                      <w:rFonts w:hint="default" w:eastAsia="宋体"/>
                      <w:b w:val="0"/>
                      <w:color w:val="000000" w:themeColor="text1"/>
                      <w:spacing w:val="0"/>
                      <w:sz w:val="21"/>
                      <w:szCs w:val="21"/>
                      <w:highlight w:val="none"/>
                      <w:lang w:val="en-US" w:eastAsia="zh-CN"/>
                      <w14:textFill>
                        <w14:solidFill>
                          <w14:schemeClr w14:val="tx1"/>
                        </w14:solidFill>
                      </w14:textFill>
                    </w:rPr>
                  </w:pPr>
                  <w:r>
                    <w:rPr>
                      <w:rFonts w:hint="eastAsia" w:eastAsia="宋体" w:cs="Times New Roman"/>
                      <w:b w:val="0"/>
                      <w:color w:val="000000" w:themeColor="text1"/>
                      <w:spacing w:val="-2"/>
                      <w:sz w:val="21"/>
                      <w:szCs w:val="21"/>
                      <w:highlight w:val="none"/>
                      <w:lang w:val="en-US" w:eastAsia="zh-CN"/>
                      <w14:textFill>
                        <w14:solidFill>
                          <w14:schemeClr w14:val="tx1"/>
                        </w14:solidFill>
                      </w14:textFill>
                    </w:rPr>
                    <w:t>119</w:t>
                  </w:r>
                  <w:r>
                    <w:rPr>
                      <w:rFonts w:ascii="Times New Roman" w:hAnsi="Times New Roman" w:eastAsia="Times New Roman" w:cs="Times New Roman"/>
                      <w:b w:val="0"/>
                      <w:color w:val="000000" w:themeColor="text1"/>
                      <w:spacing w:val="-2"/>
                      <w:sz w:val="21"/>
                      <w:szCs w:val="21"/>
                      <w:highlight w:val="none"/>
                      <w14:textFill>
                        <w14:solidFill>
                          <w14:schemeClr w14:val="tx1"/>
                        </w14:solidFill>
                      </w14:textFill>
                    </w:rPr>
                    <w:t>~</w:t>
                  </w:r>
                  <w:r>
                    <w:rPr>
                      <w:rFonts w:hint="eastAsia" w:eastAsia="宋体" w:cs="Times New Roman"/>
                      <w:b w:val="0"/>
                      <w:color w:val="000000" w:themeColor="text1"/>
                      <w:spacing w:val="-2"/>
                      <w:sz w:val="21"/>
                      <w:szCs w:val="21"/>
                      <w:highlight w:val="none"/>
                      <w:lang w:val="en-US" w:eastAsia="zh-CN"/>
                      <w14:textFill>
                        <w14:solidFill>
                          <w14:schemeClr w14:val="tx1"/>
                        </w14:solidFill>
                      </w14:textFill>
                    </w:rPr>
                    <w:t>158</w:t>
                  </w:r>
                </w:p>
              </w:tc>
              <w:tc>
                <w:tcPr>
                  <w:tcW w:w="679" w:type="pct"/>
                  <w:tcBorders>
                    <w:bottom w:val="single" w:color="000000" w:sz="12" w:space="0"/>
                    <w:tl2br w:val="nil"/>
                    <w:tr2bl w:val="nil"/>
                  </w:tcBorders>
                  <w:shd w:val="clear" w:color="auto" w:fill="FFFFFF"/>
                  <w:vAlign w:val="top"/>
                </w:tcPr>
                <w:p w14:paraId="78815B83">
                  <w:pPr>
                    <w:spacing w:before="207" w:line="195" w:lineRule="auto"/>
                    <w:jc w:val="both"/>
                    <w:rPr>
                      <w:rFonts w:hint="default" w:eastAsia="宋体"/>
                      <w:b w:val="0"/>
                      <w:color w:val="000000" w:themeColor="text1"/>
                      <w:spacing w:val="0"/>
                      <w:sz w:val="21"/>
                      <w:szCs w:val="21"/>
                      <w:highlight w:val="none"/>
                      <w:lang w:val="en-US" w:eastAsia="zh-CN"/>
                      <w14:textFill>
                        <w14:solidFill>
                          <w14:schemeClr w14:val="tx1"/>
                        </w14:solidFill>
                      </w14:textFill>
                    </w:rPr>
                  </w:pPr>
                  <w:r>
                    <w:rPr>
                      <w:rFonts w:hint="eastAsia" w:eastAsia="宋体" w:cs="Times New Roman"/>
                      <w:b w:val="0"/>
                      <w:color w:val="000000" w:themeColor="text1"/>
                      <w:spacing w:val="2"/>
                      <w:sz w:val="21"/>
                      <w:szCs w:val="21"/>
                      <w:highlight w:val="none"/>
                      <w:lang w:val="en-US" w:eastAsia="zh-CN"/>
                      <w14:textFill>
                        <w14:solidFill>
                          <w14:schemeClr w14:val="tx1"/>
                        </w14:solidFill>
                      </w14:textFill>
                    </w:rPr>
                    <w:t>52.67</w:t>
                  </w:r>
                </w:p>
              </w:tc>
              <w:tc>
                <w:tcPr>
                  <w:tcW w:w="461" w:type="pct"/>
                  <w:tcBorders>
                    <w:bottom w:val="single" w:color="000000" w:sz="12" w:space="0"/>
                    <w:tl2br w:val="nil"/>
                    <w:tr2bl w:val="nil"/>
                  </w:tcBorders>
                  <w:shd w:val="clear" w:color="auto" w:fill="FFFFFF"/>
                  <w:vAlign w:val="top"/>
                </w:tcPr>
                <w:p w14:paraId="7D93F5F2">
                  <w:pPr>
                    <w:pStyle w:val="227"/>
                    <w:spacing w:before="169" w:line="228" w:lineRule="auto"/>
                    <w:jc w:val="both"/>
                    <w:rPr>
                      <w:rFonts w:hint="eastAsia" w:eastAsia="仿宋"/>
                      <w:b w:val="0"/>
                      <w:color w:val="000000" w:themeColor="text1"/>
                      <w:spacing w:val="0"/>
                      <w:sz w:val="21"/>
                      <w:szCs w:val="21"/>
                      <w:highlight w:val="none"/>
                      <w:lang w:eastAsia="zh-CN"/>
                      <w14:textFill>
                        <w14:solidFill>
                          <w14:schemeClr w14:val="tx1"/>
                        </w14:solidFill>
                      </w14:textFill>
                    </w:rPr>
                  </w:pPr>
                  <w:r>
                    <w:rPr>
                      <w:rFonts w:hint="eastAsia"/>
                      <w:b w:val="0"/>
                      <w:color w:val="000000" w:themeColor="text1"/>
                      <w:spacing w:val="5"/>
                      <w:sz w:val="21"/>
                      <w:szCs w:val="21"/>
                      <w:highlight w:val="none"/>
                      <w:lang w:val="en-US" w:eastAsia="zh-CN"/>
                      <w14:textFill>
                        <w14:solidFill>
                          <w14:schemeClr w14:val="tx1"/>
                        </w14:solidFill>
                      </w14:textFill>
                    </w:rPr>
                    <w:t>0</w:t>
                  </w:r>
                </w:p>
              </w:tc>
              <w:tc>
                <w:tcPr>
                  <w:tcW w:w="558" w:type="pct"/>
                  <w:tcBorders>
                    <w:bottom w:val="single" w:color="000000" w:sz="12" w:space="0"/>
                    <w:right w:val="nil"/>
                    <w:tl2br w:val="nil"/>
                    <w:tr2bl w:val="nil"/>
                  </w:tcBorders>
                  <w:shd w:val="clear" w:color="auto" w:fill="FFFFFF"/>
                  <w:vAlign w:val="center"/>
                </w:tcPr>
                <w:p w14:paraId="0457916B">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b w:val="0"/>
                      <w:color w:val="000000" w:themeColor="text1"/>
                      <w:spacing w:val="0"/>
                      <w:sz w:val="21"/>
                      <w:szCs w:val="21"/>
                      <w:highlight w:val="none"/>
                      <w14:textFill>
                        <w14:solidFill>
                          <w14:schemeClr w14:val="tx1"/>
                        </w14:solidFill>
                      </w14:textFill>
                    </w:rPr>
                  </w:pPr>
                  <w:r>
                    <w:rPr>
                      <w:b w:val="0"/>
                      <w:color w:val="000000" w:themeColor="text1"/>
                      <w:spacing w:val="0"/>
                      <w:sz w:val="21"/>
                      <w:szCs w:val="21"/>
                      <w:highlight w:val="none"/>
                      <w14:textFill>
                        <w14:solidFill>
                          <w14:schemeClr w14:val="tx1"/>
                        </w14:solidFill>
                      </w14:textFill>
                    </w:rPr>
                    <w:t>达标</w:t>
                  </w:r>
                </w:p>
              </w:tc>
            </w:tr>
          </w:tbl>
          <w:p w14:paraId="01C2005D">
            <w:pPr>
              <w:pStyle w:val="248"/>
              <w:keepNext w:val="0"/>
              <w:keepLines w:val="0"/>
              <w:suppressLineNumbers w:val="0"/>
              <w:spacing w:before="0" w:beforeAutospacing="0" w:after="0" w:afterAutospacing="0"/>
              <w:ind w:left="0" w:right="0" w:firstLine="480"/>
              <w:rPr>
                <w:rFonts w:hint="default" w:ascii="Times New Roman" w:hAnsi="Times New Roman" w:cs="Times New Roman"/>
                <w:color w:val="000000" w:themeColor="text1"/>
                <w:kern w:val="0"/>
                <w:highlight w:val="none"/>
                <w:lang w:val="en-US" w:eastAsia="zh-CN" w:bidi="ar"/>
                <w14:textFill>
                  <w14:solidFill>
                    <w14:schemeClr w14:val="tx1"/>
                  </w14:solidFill>
                </w14:textFill>
              </w:rPr>
            </w:pPr>
            <w:r>
              <w:rPr>
                <w:color w:val="000000" w:themeColor="text1"/>
                <w:highlight w:val="none"/>
                <w14:textFill>
                  <w14:solidFill>
                    <w14:schemeClr w14:val="tx1"/>
                  </w14:solidFill>
                </w14:textFill>
              </w:rPr>
              <w:t>根据监测点位监测及评价结果可知，项目周边TSP</w:t>
            </w:r>
            <w:r>
              <w:rPr>
                <w:rFonts w:ascii="Times New Roman" w:hAnsi="宋体" w:eastAsia="宋体" w:cs="Times New Roman"/>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4小时平均浓度满足</w:t>
            </w:r>
            <w:r>
              <w:rPr>
                <w:rFonts w:hint="default" w:ascii="Times New Roman" w:hAnsi="Times New Roman" w:eastAsia="宋体" w:cs="Times New Roman"/>
                <w:color w:val="000000" w:themeColor="text1"/>
                <w:szCs w:val="24"/>
                <w:highlight w:val="none"/>
                <w14:textFill>
                  <w14:solidFill>
                    <w14:schemeClr w14:val="tx1"/>
                  </w14:solidFill>
                </w14:textFill>
              </w:rPr>
              <w:t>《环境空气质量标准》</w:t>
            </w:r>
            <w:r>
              <w:rPr>
                <w:rFonts w:hint="eastAsia"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GB3095-2026</w:t>
            </w:r>
            <w:r>
              <w:rPr>
                <w:rFonts w:hint="eastAsia" w:hAnsi="Times New Roman" w:cs="Times New Roman"/>
                <w:color w:val="000000" w:themeColor="text1"/>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Cs w:val="24"/>
                <w:highlight w:val="none"/>
                <w14:textFill>
                  <w14:solidFill>
                    <w14:schemeClr w14:val="tx1"/>
                  </w14:solidFill>
                </w14:textFill>
              </w:rPr>
              <w:t>中二级标准限值要求。</w:t>
            </w:r>
          </w:p>
          <w:bookmarkEnd w:id="3"/>
          <w:p w14:paraId="115A2A85">
            <w:pPr>
              <w:ind w:firstLine="482"/>
              <w:rPr>
                <w:b/>
                <w:color w:val="000000" w:themeColor="text1"/>
                <w:highlight w:val="none"/>
                <w14:textFill>
                  <w14:solidFill>
                    <w14:schemeClr w14:val="tx1"/>
                  </w14:solidFill>
                </w14:textFill>
              </w:rPr>
            </w:pPr>
            <w:r>
              <w:rPr>
                <w:rFonts w:hint="eastAsia"/>
                <w:b/>
                <w:color w:val="000000" w:themeColor="text1"/>
                <w:highlight w:val="none"/>
                <w:lang w:eastAsia="zh-CN"/>
                <w14:textFill>
                  <w14:solidFill>
                    <w14:schemeClr w14:val="tx1"/>
                  </w14:solidFill>
                </w14:textFill>
              </w:rPr>
              <w:t>2.</w:t>
            </w:r>
            <w:r>
              <w:rPr>
                <w:b/>
                <w:color w:val="000000" w:themeColor="text1"/>
                <w:highlight w:val="none"/>
                <w14:textFill>
                  <w14:solidFill>
                    <w14:schemeClr w14:val="tx1"/>
                  </w14:solidFill>
                </w14:textFill>
              </w:rPr>
              <w:t>声环境</w:t>
            </w:r>
          </w:p>
          <w:p w14:paraId="4B1DFA7F">
            <w:pPr>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本项目周边50m范围内没有声环境敏感保护目标，因此，未对声环境质量现状进行监测。</w:t>
            </w:r>
          </w:p>
          <w:p w14:paraId="581FAD3B">
            <w:pPr>
              <w:ind w:firstLine="482"/>
              <w:rPr>
                <w:b/>
                <w:bCs/>
                <w:color w:val="000000" w:themeColor="text1"/>
                <w:highlight w:val="none"/>
                <w14:textFill>
                  <w14:solidFill>
                    <w14:schemeClr w14:val="tx1"/>
                  </w14:solidFill>
                </w14:textFill>
              </w:rPr>
            </w:pPr>
            <w:r>
              <w:rPr>
                <w:rFonts w:hint="eastAsia"/>
                <w:b/>
                <w:bCs/>
                <w:color w:val="000000" w:themeColor="text1"/>
                <w:highlight w:val="none"/>
                <w:lang w:eastAsia="zh-CN"/>
                <w14:textFill>
                  <w14:solidFill>
                    <w14:schemeClr w14:val="tx1"/>
                  </w14:solidFill>
                </w14:textFill>
              </w:rPr>
              <w:t>3.</w:t>
            </w:r>
            <w:r>
              <w:rPr>
                <w:b/>
                <w:bCs/>
                <w:color w:val="000000" w:themeColor="text1"/>
                <w:highlight w:val="none"/>
                <w14:textFill>
                  <w14:solidFill>
                    <w14:schemeClr w14:val="tx1"/>
                  </w14:solidFill>
                </w14:textFill>
              </w:rPr>
              <w:t>生态环境</w:t>
            </w:r>
          </w:p>
          <w:p w14:paraId="47413717">
            <w:pPr>
              <w:autoSpaceDE w:val="0"/>
              <w:spacing w:before="60" w:beforeLines="25" w:after="60" w:afterLines="25"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w:t>
            </w:r>
            <w:r>
              <w:rPr>
                <w:rFonts w:ascii="宋体" w:hAnsi="宋体" w:eastAsia="宋体" w:cs="宋体"/>
                <w:color w:val="000000" w:themeColor="text1"/>
                <w:sz w:val="24"/>
                <w:szCs w:val="24"/>
                <w:highlight w:val="none"/>
                <w14:textFill>
                  <w14:solidFill>
                    <w14:schemeClr w14:val="tx1"/>
                  </w14:solidFill>
                </w14:textFill>
              </w:rPr>
              <w:t>《建设项目环境影响报告表编制技术指南（污染影响类）（试行）》：产业园区外建设项目新增用地且用地范围内含有生态环境保护目标时，应进行</w:t>
            </w:r>
            <w:r>
              <w:rPr>
                <w:rFonts w:hint="eastAsia" w:ascii="宋体" w:hAnsi="宋体" w:eastAsia="宋体" w:cs="宋体"/>
                <w:color w:val="000000" w:themeColor="text1"/>
                <w:sz w:val="24"/>
                <w:szCs w:val="24"/>
                <w:highlight w:val="none"/>
                <w14:textFill>
                  <w14:solidFill>
                    <w14:schemeClr w14:val="tx1"/>
                  </w14:solidFill>
                </w14:textFill>
              </w:rPr>
              <w:t>生态</w:t>
            </w:r>
            <w:r>
              <w:rPr>
                <w:rFonts w:ascii="宋体" w:hAnsi="宋体" w:eastAsia="宋体" w:cs="宋体"/>
                <w:color w:val="000000" w:themeColor="text1"/>
                <w:sz w:val="24"/>
                <w:szCs w:val="24"/>
                <w:highlight w:val="none"/>
                <w14:textFill>
                  <w14:solidFill>
                    <w14:schemeClr w14:val="tx1"/>
                  </w14:solidFill>
                </w14:textFill>
              </w:rPr>
              <w:t>现状调查。本项目</w:t>
            </w:r>
            <w:r>
              <w:rPr>
                <w:rFonts w:hint="eastAsia" w:ascii="宋体" w:hAnsi="宋体" w:cs="宋体"/>
                <w:color w:val="000000" w:themeColor="text1"/>
                <w:sz w:val="24"/>
                <w:szCs w:val="24"/>
                <w:highlight w:val="none"/>
                <w:lang w:val="en-US" w:eastAsia="zh-CN"/>
                <w14:textFill>
                  <w14:solidFill>
                    <w14:schemeClr w14:val="tx1"/>
                  </w14:solidFill>
                </w14:textFill>
              </w:rPr>
              <w:t>位于现有的厂区内不新增占地且占地范围无生态环境保护目标</w:t>
            </w:r>
            <w:r>
              <w:rPr>
                <w:rFonts w:ascii="宋体" w:hAnsi="宋体" w:eastAsia="宋体" w:cs="宋体"/>
                <w:color w:val="000000" w:themeColor="text1"/>
                <w:sz w:val="24"/>
                <w:szCs w:val="24"/>
                <w:highlight w:val="none"/>
                <w14:textFill>
                  <w14:solidFill>
                    <w14:schemeClr w14:val="tx1"/>
                  </w14:solidFill>
                </w14:textFill>
              </w:rPr>
              <w:t>，因此无需进行生态现状调查</w:t>
            </w:r>
            <w:r>
              <w:rPr>
                <w:rFonts w:ascii="Times New Roman" w:hAnsi="Times New Roman" w:eastAsia="宋体" w:cs="Times New Roman"/>
                <w:color w:val="000000" w:themeColor="text1"/>
                <w:sz w:val="24"/>
                <w:szCs w:val="24"/>
                <w:highlight w:val="none"/>
                <w14:textFill>
                  <w14:solidFill>
                    <w14:schemeClr w14:val="tx1"/>
                  </w14:solidFill>
                </w14:textFill>
              </w:rPr>
              <w:t>。</w:t>
            </w:r>
          </w:p>
          <w:p w14:paraId="535D3401">
            <w:pPr>
              <w:ind w:firstLine="482"/>
              <w:rPr>
                <w:b/>
                <w:bCs/>
                <w:color w:val="000000" w:themeColor="text1"/>
                <w:highlight w:val="none"/>
                <w14:textFill>
                  <w14:solidFill>
                    <w14:schemeClr w14:val="tx1"/>
                  </w14:solidFill>
                </w14:textFill>
              </w:rPr>
            </w:pPr>
            <w:r>
              <w:rPr>
                <w:rFonts w:hint="eastAsia"/>
                <w:b/>
                <w:bCs/>
                <w:color w:val="000000" w:themeColor="text1"/>
                <w:highlight w:val="none"/>
                <w:lang w:eastAsia="zh-CN"/>
                <w14:textFill>
                  <w14:solidFill>
                    <w14:schemeClr w14:val="tx1"/>
                  </w14:solidFill>
                </w14:textFill>
              </w:rPr>
              <w:t>4.</w:t>
            </w:r>
            <w:r>
              <w:rPr>
                <w:b/>
                <w:bCs/>
                <w:color w:val="000000" w:themeColor="text1"/>
                <w:highlight w:val="none"/>
                <w14:textFill>
                  <w14:solidFill>
                    <w14:schemeClr w14:val="tx1"/>
                  </w14:solidFill>
                </w14:textFill>
              </w:rPr>
              <w:t>电磁辐射</w:t>
            </w:r>
          </w:p>
          <w:p w14:paraId="39A0DD3C">
            <w:pPr>
              <w:ind w:firstLine="48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本项目不涉及。</w:t>
            </w:r>
          </w:p>
          <w:p w14:paraId="10DFB6E6">
            <w:pPr>
              <w:numPr>
                <w:ilvl w:val="0"/>
                <w:numId w:val="9"/>
              </w:numPr>
              <w:ind w:firstLine="482"/>
              <w:rPr>
                <w:rFonts w:ascii="Times New Roman" w:hAnsi="Times New Roman" w:eastAsia="宋体" w:cs="Times New Roman"/>
                <w:b/>
                <w:bCs/>
                <w:color w:val="000000" w:themeColor="text1"/>
                <w:highlight w:val="none"/>
                <w14:textFill>
                  <w14:solidFill>
                    <w14:schemeClr w14:val="tx1"/>
                  </w14:solidFill>
                </w14:textFill>
              </w:rPr>
            </w:pPr>
            <w:r>
              <w:rPr>
                <w:rFonts w:ascii="Times New Roman" w:hAnsi="Times New Roman" w:eastAsia="宋体" w:cs="Times New Roman"/>
                <w:b/>
                <w:bCs/>
                <w:color w:val="000000" w:themeColor="text1"/>
                <w:highlight w:val="none"/>
                <w14:textFill>
                  <w14:solidFill>
                    <w14:schemeClr w14:val="tx1"/>
                  </w14:solidFill>
                </w14:textFill>
              </w:rPr>
              <w:t>地表水环境质量现状</w:t>
            </w:r>
          </w:p>
          <w:p w14:paraId="1D3DDA96">
            <w:pPr>
              <w:spacing w:line="360" w:lineRule="auto"/>
              <w:ind w:firstLine="480" w:firstLineChars="200"/>
              <w:jc w:val="both"/>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根据《建设项目环境影响报告表编制技术指南（污染影响类）（试行）》要求，地表水环境现状可引用近3年规划环评、流域控制断面、生态环境部门公开发布的有效监测数据开展评价。本项目位于昌吉市三工镇常胜四队，区域主要地表水体为三工河，距离厂区较远，无地表水径流流经厂区范围。</w:t>
            </w:r>
          </w:p>
          <w:p w14:paraId="200F5883">
            <w:pPr>
              <w:spacing w:line="360" w:lineRule="auto"/>
              <w:ind w:firstLine="480" w:firstLineChars="200"/>
              <w:jc w:val="both"/>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依据昌吉州生态环境局2025年水环境监测公开数据，三工河瑶池商城、三工河闸门两处区级控制断面常年水质稳定达到《地表水环境质量标准》（GB3838-2002）Ⅰ类优良水体标准；昌吉州全域9条河流、湖库考核断面水质均稳定达到或优于Ⅲ类，区域地表水环境整体优良，无大面积水体污染情况。</w:t>
            </w:r>
          </w:p>
          <w:p w14:paraId="2DF45D31">
            <w:pPr>
              <w:spacing w:line="360" w:lineRule="auto"/>
              <w:ind w:firstLine="480" w:firstLineChars="200"/>
              <w:jc w:val="both"/>
              <w:rPr>
                <w:rFonts w:hint="eastAsia" w:ascii="Times New Roman" w:hAnsi="Times New Roman"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本项目生产废水经多级沉淀实现100%闭路循环回用，无生产废水外排；仅少量生活污水经化粪池收集后由吸污车转运至昌吉市第二污水处理厂处置，不直接排入周边地表水体。按照《环境影响评价技术导则地表水环境》（HJ/T2.3-2018）判定，本项目地表水环境影响评价等级为三级B，无需开展现场地表水监测与详细现状评价</w:t>
            </w:r>
            <w:r>
              <w:rPr>
                <w:rFonts w:hint="eastAsia" w:ascii="Times New Roman" w:hAnsi="Times New Roman" w:eastAsia="宋体" w:cs="宋体"/>
                <w:color w:val="000000" w:themeColor="text1"/>
                <w:sz w:val="24"/>
                <w:szCs w:val="24"/>
                <w:highlight w:val="none"/>
                <w14:textFill>
                  <w14:solidFill>
                    <w14:schemeClr w14:val="tx1"/>
                  </w14:solidFill>
                </w14:textFill>
              </w:rPr>
              <w:t>。因此，本项目可不开展地表水环境质量现状调查与评价。</w:t>
            </w:r>
          </w:p>
          <w:p w14:paraId="6B541C96">
            <w:pPr>
              <w:ind w:firstLine="482"/>
              <w:rPr>
                <w:b/>
                <w:bCs/>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6.</w:t>
            </w:r>
            <w:r>
              <w:rPr>
                <w:b/>
                <w:bCs/>
                <w:color w:val="000000" w:themeColor="text1"/>
                <w:highlight w:val="none"/>
                <w14:textFill>
                  <w14:solidFill>
                    <w14:schemeClr w14:val="tx1"/>
                  </w14:solidFill>
                </w14:textFill>
              </w:rPr>
              <w:t>地下水</w:t>
            </w:r>
          </w:p>
          <w:p w14:paraId="3F9233A3">
            <w:pPr>
              <w:spacing w:line="360" w:lineRule="auto"/>
              <w:ind w:firstLine="480" w:firstLineChars="200"/>
              <w:jc w:val="left"/>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根据《建设项目环境影响报告表编制技术指南（污染影响类</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（试行</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》，原则上不开展环境质量现状调查。建设项目存在地下水环境污染途径的，应结合污染源、保护目标分布情况开展现状调查</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以留作背景值。</w:t>
            </w:r>
          </w:p>
          <w:p w14:paraId="4D81969C">
            <w:pPr>
              <w:spacing w:line="360" w:lineRule="auto"/>
              <w:ind w:firstLine="480" w:firstLineChars="20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根据现场调查，本项目厂界外500米范围内无地下水集中式饮用水水源和热水、矿泉水、温泉等特殊地下水资源，同时项目采取了严格的地下水污染防治措施，无地下水环境污染途径，故本次环评未开展地下水环境质量现状评价。</w:t>
            </w:r>
          </w:p>
          <w:p w14:paraId="0D17C218">
            <w:pPr>
              <w:ind w:firstLine="482"/>
              <w:rPr>
                <w:rFonts w:hint="eastAsia" w:ascii="Times New Roman" w:hAnsi="Times New Roman" w:eastAsia="宋体" w:cs="Times New Roman"/>
                <w:b/>
                <w:bCs/>
                <w:color w:val="000000" w:themeColor="text1"/>
                <w:highlight w:val="none"/>
                <w:lang w:val="en-US" w:eastAsia="zh-CN"/>
                <w14:textFill>
                  <w14:solidFill>
                    <w14:schemeClr w14:val="tx1"/>
                  </w14:solidFill>
                </w14:textFill>
              </w:rPr>
            </w:pPr>
            <w:r>
              <w:rPr>
                <w:rFonts w:hint="eastAsia" w:cs="Times New Roman"/>
                <w:b/>
                <w:bCs/>
                <w:color w:val="000000" w:themeColor="text1"/>
                <w:highlight w:val="none"/>
                <w:lang w:val="en-US" w:eastAsia="zh-CN"/>
                <w14:textFill>
                  <w14:solidFill>
                    <w14:schemeClr w14:val="tx1"/>
                  </w14:solidFill>
                </w14:textFill>
              </w:rPr>
              <w:t>7.</w:t>
            </w:r>
            <w:r>
              <w:rPr>
                <w:rFonts w:hint="eastAsia" w:ascii="Times New Roman" w:hAnsi="Times New Roman" w:eastAsia="宋体" w:cs="Times New Roman"/>
                <w:b/>
                <w:bCs/>
                <w:color w:val="000000" w:themeColor="text1"/>
                <w:highlight w:val="none"/>
                <w:lang w:val="en-US" w:eastAsia="zh-CN"/>
                <w14:textFill>
                  <w14:solidFill>
                    <w14:schemeClr w14:val="tx1"/>
                  </w14:solidFill>
                </w14:textFill>
              </w:rPr>
              <w:t>土壤环境</w:t>
            </w:r>
          </w:p>
          <w:p w14:paraId="65EAB60F">
            <w:pPr>
              <w:topLinePunct/>
              <w:spacing w:line="360" w:lineRule="auto"/>
              <w:ind w:firstLine="480" w:firstLineChars="200"/>
              <w:rPr>
                <w:rFonts w:hint="eastAsia" w:ascii="Times New Roman" w:hAnsi="Times New Roman" w:cs="Times New Roman"/>
                <w:color w:val="000000" w:themeColor="text1"/>
                <w:sz w:val="24"/>
                <w:highlight w:val="none"/>
                <w:lang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根</w:t>
            </w:r>
            <w:r>
              <w:rPr>
                <w:rFonts w:hint="eastAsia" w:ascii="Times New Roman" w:hAnsi="Times New Roman" w:cs="Times New Roman"/>
                <w:color w:val="000000" w:themeColor="text1"/>
                <w:sz w:val="24"/>
                <w:highlight w:val="none"/>
                <w:lang w:eastAsia="zh-CN"/>
                <w14:textFill>
                  <w14:solidFill>
                    <w14:schemeClr w14:val="tx1"/>
                  </w14:solidFill>
                </w14:textFill>
              </w:rPr>
              <w:t>据《建设项目环境影响报告表编制技术指南（污染影响类）（试行）》：</w:t>
            </w:r>
          </w:p>
          <w:p w14:paraId="1A7DB573">
            <w:pPr>
              <w:topLinePunct/>
              <w:spacing w:line="360" w:lineRule="auto"/>
              <w:rPr>
                <w:rFonts w:hint="eastAsia" w:ascii="Times New Roman" w:hAnsi="Times New Roman" w:cs="Times New Roman"/>
                <w:color w:val="000000" w:themeColor="text1"/>
                <w:sz w:val="24"/>
                <w:highlight w:val="none"/>
                <w:lang w:eastAsia="zh-CN"/>
                <w14:textFill>
                  <w14:solidFill>
                    <w14:schemeClr w14:val="tx1"/>
                  </w14:solidFill>
                </w14:textFill>
              </w:rPr>
            </w:pPr>
            <w:r>
              <w:rPr>
                <w:rFonts w:hint="eastAsia" w:ascii="Times New Roman" w:hAnsi="Times New Roman" w:cs="Times New Roman"/>
                <w:color w:val="000000" w:themeColor="text1"/>
                <w:sz w:val="24"/>
                <w:highlight w:val="none"/>
                <w:lang w:eastAsia="zh-CN"/>
                <w14:textFill>
                  <w14:solidFill>
                    <w14:schemeClr w14:val="tx1"/>
                  </w14:solidFill>
                </w14:textFill>
              </w:rPr>
              <w:t>原则上不开展环境质量现状调查。建设项目存在土壤环境污染途径的，应结合污染源、保护目标分布情况开展现状调查以留作背景值。</w:t>
            </w:r>
          </w:p>
          <w:p w14:paraId="7D0DBD46">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rPr>
                <w:rFonts w:hint="default"/>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本项目正常情况下无污染土壤的途径，</w:t>
            </w:r>
            <w:r>
              <w:rPr>
                <w:rFonts w:hint="default" w:ascii="Times New Roman" w:hAnsi="Times New Roman" w:cs="Times New Roman"/>
                <w:color w:val="000000" w:themeColor="text1"/>
                <w:sz w:val="24"/>
                <w:highlight w:val="none"/>
                <w14:textFill>
                  <w14:solidFill>
                    <w14:schemeClr w14:val="tx1"/>
                  </w14:solidFill>
                </w14:textFill>
              </w:rPr>
              <w:t>本次评价未开展土壤环境质量现状监测。</w:t>
            </w:r>
          </w:p>
        </w:tc>
      </w:tr>
      <w:tr w14:paraId="1FAD2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532" w:type="dxa"/>
            <w:tcBorders>
              <w:tl2br w:val="nil"/>
              <w:tr2bl w:val="nil"/>
            </w:tcBorders>
            <w:vAlign w:val="center"/>
          </w:tcPr>
          <w:p w14:paraId="4069FF12">
            <w:pPr>
              <w:adjustRightInd w:val="0"/>
              <w:snapToGrid w:val="0"/>
              <w:ind w:firstLine="0" w:firstLineChars="0"/>
              <w:jc w:val="center"/>
              <w:rPr>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环境保护目标</w:t>
            </w:r>
          </w:p>
        </w:tc>
        <w:tc>
          <w:tcPr>
            <w:tcW w:w="8766" w:type="dxa"/>
            <w:tcBorders>
              <w:tl2br w:val="nil"/>
              <w:tr2bl w:val="nil"/>
            </w:tcBorders>
            <w:vAlign w:val="center"/>
          </w:tcPr>
          <w:p w14:paraId="64CED444">
            <w:pPr>
              <w:pStyle w:val="54"/>
              <w:ind w:firstLine="48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本项目区位于</w:t>
            </w:r>
            <w:r>
              <w:rPr>
                <w:rFonts w:hint="eastAsia" w:ascii="宋体" w:hAnsi="宋体" w:cs="宋体"/>
                <w:color w:val="000000" w:themeColor="text1"/>
                <w:szCs w:val="21"/>
                <w:lang w:val="en-US" w:eastAsia="zh-CN"/>
                <w14:textFill>
                  <w14:solidFill>
                    <w14:schemeClr w14:val="tx1"/>
                  </w14:solidFill>
                </w14:textFill>
              </w:rPr>
              <w:t>新疆昌吉市三工镇常胜四队</w:t>
            </w:r>
            <w:r>
              <w:rPr>
                <w:rFonts w:hint="default" w:ascii="Times New Roman" w:hAnsi="Times New Roman" w:cs="Times New Roman"/>
                <w:color w:val="000000" w:themeColor="text1"/>
                <w:szCs w:val="21"/>
                <w:lang w:val="en-US" w:eastAsia="zh-CN"/>
                <w14:textFill>
                  <w14:solidFill>
                    <w14:schemeClr w14:val="tx1"/>
                  </w14:solidFill>
                </w14:textFill>
              </w:rPr>
              <w:t>99</w:t>
            </w:r>
            <w:r>
              <w:rPr>
                <w:rFonts w:hint="eastAsia" w:ascii="宋体" w:hAnsi="宋体" w:cs="宋体"/>
                <w:color w:val="000000" w:themeColor="text1"/>
                <w:szCs w:val="21"/>
                <w:lang w:val="en-US" w:eastAsia="zh-CN"/>
                <w14:textFill>
                  <w14:solidFill>
                    <w14:schemeClr w14:val="tx1"/>
                  </w14:solidFill>
                </w14:textFill>
              </w:rPr>
              <w:t>号</w:t>
            </w:r>
            <w:r>
              <w:rPr>
                <w:rFonts w:hint="eastAsia"/>
                <w:color w:val="000000" w:themeColor="text1"/>
                <w:highlight w:val="none"/>
                <w14:textFill>
                  <w14:solidFill>
                    <w14:schemeClr w14:val="tx1"/>
                  </w14:solidFill>
                </w14:textFill>
              </w:rPr>
              <w:t>主要环境保护目标调查如下：</w:t>
            </w:r>
          </w:p>
          <w:p w14:paraId="4F4CAAE1">
            <w:pPr>
              <w:keepNext w:val="0"/>
              <w:keepLines w:val="0"/>
              <w:pageBreakBefore w:val="0"/>
              <w:kinsoku/>
              <w:wordWrap/>
              <w:overflowPunct/>
              <w:topLinePunct w:val="0"/>
              <w:autoSpaceDE/>
              <w:autoSpaceDN/>
              <w:bidi w:val="0"/>
              <w:adjustRightInd/>
              <w:snapToGrid/>
              <w:ind w:firstLine="482"/>
              <w:textAlignment w:val="baseline"/>
              <w:rPr>
                <w:rFonts w:ascii="Times New Roman" w:hAnsi="Times New Roman" w:eastAsia="宋体" w:cs="Times New Roman"/>
                <w:b/>
                <w:bCs/>
                <w:color w:val="000000" w:themeColor="text1"/>
                <w14:textFill>
                  <w14:solidFill>
                    <w14:schemeClr w14:val="tx1"/>
                  </w14:solidFill>
                </w14:textFill>
              </w:rPr>
            </w:pPr>
            <w:r>
              <w:rPr>
                <w:rFonts w:ascii="Times New Roman" w:hAnsi="Times New Roman" w:eastAsia="宋体" w:cs="Times New Roman"/>
                <w:b/>
                <w:bCs/>
                <w:color w:val="000000" w:themeColor="text1"/>
                <w14:textFill>
                  <w14:solidFill>
                    <w14:schemeClr w14:val="tx1"/>
                  </w14:solidFill>
                </w14:textFill>
              </w:rPr>
              <w:t>1.</w:t>
            </w:r>
            <w:r>
              <w:rPr>
                <w:rFonts w:hint="eastAsia" w:ascii="Times New Roman" w:hAnsi="Times New Roman" w:eastAsia="宋体" w:cs="Times New Roman"/>
                <w:b/>
                <w:bCs/>
                <w:color w:val="000000" w:themeColor="text1"/>
                <w14:textFill>
                  <w14:solidFill>
                    <w14:schemeClr w14:val="tx1"/>
                  </w14:solidFill>
                </w14:textFill>
              </w:rPr>
              <w:t>大气环境</w:t>
            </w:r>
          </w:p>
          <w:p w14:paraId="6409CE13">
            <w:pPr>
              <w:pStyle w:val="54"/>
              <w:ind w:firstLine="48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大气环境保护目标见下表</w:t>
            </w:r>
            <w:r>
              <w:rPr>
                <w:rFonts w:hint="eastAsia"/>
                <w:color w:val="000000" w:themeColor="text1"/>
                <w:lang w:val="en-US" w:eastAsia="zh-CN"/>
                <w14:textFill>
                  <w14:solidFill>
                    <w14:schemeClr w14:val="tx1"/>
                  </w14:solidFill>
                </w14:textFill>
              </w:rPr>
              <w:t>3-4</w:t>
            </w:r>
            <w:r>
              <w:rPr>
                <w:rFonts w:hint="eastAsia"/>
                <w:color w:val="000000" w:themeColor="text1"/>
                <w14:textFill>
                  <w14:solidFill>
                    <w14:schemeClr w14:val="tx1"/>
                  </w14:solidFill>
                </w14:textFill>
              </w:rPr>
              <w:t>。</w:t>
            </w:r>
          </w:p>
          <w:p w14:paraId="352D99A7">
            <w:pPr>
              <w:pStyle w:val="2"/>
              <w:spacing w:before="0" w:beforeLines="0" w:after="0" w:afterLines="0" w:line="240" w:lineRule="auto"/>
              <w:jc w:val="cente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表3-4     大气环境保护目标分布一览表</w:t>
            </w:r>
          </w:p>
          <w:tbl>
            <w:tblPr>
              <w:tblStyle w:val="42"/>
              <w:tblW w:w="499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751"/>
              <w:gridCol w:w="1768"/>
              <w:gridCol w:w="641"/>
              <w:gridCol w:w="1784"/>
              <w:gridCol w:w="899"/>
              <w:gridCol w:w="899"/>
            </w:tblGrid>
            <w:tr w14:paraId="1B25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8" w:hRule="atLeast"/>
              </w:trPr>
              <w:tc>
                <w:tcPr>
                  <w:tcW w:w="460" w:type="pct"/>
                  <w:vMerge w:val="restart"/>
                  <w:tcBorders>
                    <w:top w:val="single" w:color="000000" w:sz="12" w:space="0"/>
                    <w:left w:val="nil"/>
                    <w:tl2br w:val="nil"/>
                  </w:tcBorders>
                  <w:shd w:val="clear" w:color="auto" w:fill="FFFFFF"/>
                  <w:noWrap w:val="0"/>
                  <w:vAlign w:val="center"/>
                </w:tcPr>
                <w:p w14:paraId="23BDD1EE">
                  <w:pPr>
                    <w:pStyle w:val="253"/>
                    <w:shd w:val="clear" w:color="auto" w:fill="auto"/>
                    <w:spacing w:before="0" w:after="0" w:line="240" w:lineRule="auto"/>
                    <w:ind w:right="0" w:firstLine="0" w:firstLineChars="0"/>
                    <w:rPr>
                      <w:rFonts w:hint="default" w:ascii="Times New Roman" w:hAnsi="Times New Roman" w:eastAsia="华文中宋" w:cs="Times New Roman"/>
                      <w:b w:val="0"/>
                      <w:bCs w:val="0"/>
                      <w:color w:val="000000" w:themeColor="text1"/>
                      <w:highlight w:val="none"/>
                      <w14:textFill>
                        <w14:solidFill>
                          <w14:schemeClr w14:val="tx1"/>
                        </w14:solidFill>
                      </w14:textFill>
                    </w:rPr>
                  </w:pPr>
                  <w:r>
                    <w:rPr>
                      <w:rFonts w:hint="eastAsia" w:ascii="Times New Roman" w:hAnsi="Times New Roman" w:eastAsia="华文中宋" w:cs="Times New Roman"/>
                      <w:b w:val="0"/>
                      <w:bCs w:val="0"/>
                      <w:color w:val="000000" w:themeColor="text1"/>
                      <w:highlight w:val="none"/>
                      <w14:textFill>
                        <w14:solidFill>
                          <w14:schemeClr w14:val="tx1"/>
                        </w14:solidFill>
                      </w14:textFill>
                    </w:rPr>
                    <w:t>名称</w:t>
                  </w:r>
                </w:p>
              </w:tc>
              <w:tc>
                <w:tcPr>
                  <w:tcW w:w="2064" w:type="pct"/>
                  <w:gridSpan w:val="2"/>
                  <w:tcBorders>
                    <w:top w:val="single" w:color="000000" w:sz="12" w:space="0"/>
                  </w:tcBorders>
                  <w:shd w:val="clear" w:color="auto" w:fill="FFFFFF"/>
                  <w:noWrap w:val="0"/>
                  <w:vAlign w:val="center"/>
                </w:tcPr>
                <w:p w14:paraId="125F65B0">
                  <w:pPr>
                    <w:pStyle w:val="253"/>
                    <w:shd w:val="clear" w:color="auto" w:fill="auto"/>
                    <w:spacing w:before="0" w:after="0" w:line="240" w:lineRule="auto"/>
                    <w:ind w:right="0" w:firstLine="0" w:firstLineChars="0"/>
                    <w:rPr>
                      <w:rFonts w:hint="default" w:ascii="Times New Roman" w:hAnsi="Times New Roman" w:eastAsia="华文中宋" w:cs="Times New Roman"/>
                      <w:b w:val="0"/>
                      <w:bCs w:val="0"/>
                      <w:color w:val="000000" w:themeColor="text1"/>
                      <w:highlight w:val="none"/>
                      <w14:textFill>
                        <w14:solidFill>
                          <w14:schemeClr w14:val="tx1"/>
                        </w14:solidFill>
                      </w14:textFill>
                    </w:rPr>
                  </w:pPr>
                  <w:r>
                    <w:rPr>
                      <w:rFonts w:hint="eastAsia" w:ascii="Times New Roman" w:hAnsi="Times New Roman" w:eastAsia="华文中宋" w:cs="Times New Roman"/>
                      <w:b w:val="0"/>
                      <w:bCs w:val="0"/>
                      <w:color w:val="000000" w:themeColor="text1"/>
                      <w:highlight w:val="none"/>
                      <w14:textFill>
                        <w14:solidFill>
                          <w14:schemeClr w14:val="tx1"/>
                        </w14:solidFill>
                      </w14:textFill>
                    </w:rPr>
                    <w:t>坐标</w:t>
                  </w:r>
                </w:p>
              </w:tc>
              <w:tc>
                <w:tcPr>
                  <w:tcW w:w="376" w:type="pct"/>
                  <w:vMerge w:val="restart"/>
                  <w:tcBorders>
                    <w:top w:val="single" w:color="000000" w:sz="12" w:space="0"/>
                  </w:tcBorders>
                  <w:shd w:val="clear" w:color="auto" w:fill="FFFFFF"/>
                  <w:noWrap w:val="0"/>
                  <w:vAlign w:val="center"/>
                </w:tcPr>
                <w:p w14:paraId="707BF09E">
                  <w:pPr>
                    <w:pStyle w:val="253"/>
                    <w:shd w:val="clear" w:color="auto" w:fill="auto"/>
                    <w:spacing w:before="0" w:after="0" w:line="240" w:lineRule="auto"/>
                    <w:ind w:right="0" w:firstLine="0" w:firstLineChars="0"/>
                    <w:rPr>
                      <w:rFonts w:hint="default" w:ascii="Times New Roman" w:hAnsi="Times New Roman" w:eastAsia="华文中宋" w:cs="Times New Roman"/>
                      <w:b w:val="0"/>
                      <w:bCs w:val="0"/>
                      <w:color w:val="000000" w:themeColor="text1"/>
                      <w:highlight w:val="none"/>
                      <w14:textFill>
                        <w14:solidFill>
                          <w14:schemeClr w14:val="tx1"/>
                        </w14:solidFill>
                      </w14:textFill>
                    </w:rPr>
                  </w:pPr>
                  <w:r>
                    <w:rPr>
                      <w:rFonts w:hint="eastAsia" w:ascii="Times New Roman" w:hAnsi="Times New Roman" w:eastAsia="华文中宋" w:cs="Times New Roman"/>
                      <w:b w:val="0"/>
                      <w:bCs w:val="0"/>
                      <w:color w:val="000000" w:themeColor="text1"/>
                      <w:highlight w:val="none"/>
                      <w14:textFill>
                        <w14:solidFill>
                          <w14:schemeClr w14:val="tx1"/>
                        </w14:solidFill>
                      </w14:textFill>
                    </w:rPr>
                    <w:t>保护对象</w:t>
                  </w:r>
                </w:p>
              </w:tc>
              <w:tc>
                <w:tcPr>
                  <w:tcW w:w="1046" w:type="pct"/>
                  <w:vMerge w:val="restart"/>
                  <w:tcBorders>
                    <w:top w:val="single" w:color="000000" w:sz="12" w:space="0"/>
                  </w:tcBorders>
                  <w:shd w:val="clear" w:color="auto" w:fill="FFFFFF"/>
                  <w:noWrap w:val="0"/>
                  <w:vAlign w:val="center"/>
                </w:tcPr>
                <w:p w14:paraId="665D6E9F">
                  <w:pPr>
                    <w:pStyle w:val="253"/>
                    <w:shd w:val="clear" w:color="auto" w:fill="auto"/>
                    <w:spacing w:before="0" w:after="0" w:line="240" w:lineRule="auto"/>
                    <w:ind w:right="0" w:firstLine="0" w:firstLineChars="0"/>
                    <w:rPr>
                      <w:rFonts w:hint="default" w:ascii="Times New Roman" w:hAnsi="Times New Roman" w:eastAsia="华文中宋" w:cs="Times New Roman"/>
                      <w:b w:val="0"/>
                      <w:bCs w:val="0"/>
                      <w:color w:val="000000" w:themeColor="text1"/>
                      <w:highlight w:val="none"/>
                      <w:lang w:val="en-US" w:eastAsia="zh-CN"/>
                      <w14:textFill>
                        <w14:solidFill>
                          <w14:schemeClr w14:val="tx1"/>
                        </w14:solidFill>
                      </w14:textFill>
                    </w:rPr>
                  </w:pPr>
                  <w:r>
                    <w:rPr>
                      <w:rFonts w:hint="eastAsia" w:ascii="Times New Roman" w:hAnsi="Times New Roman" w:eastAsia="华文中宋" w:cs="Times New Roman"/>
                      <w:b w:val="0"/>
                      <w:bCs w:val="0"/>
                      <w:color w:val="000000" w:themeColor="text1"/>
                      <w:highlight w:val="none"/>
                      <w:lang w:val="en-US" w:eastAsia="zh-CN"/>
                      <w14:textFill>
                        <w14:solidFill>
                          <w14:schemeClr w14:val="tx1"/>
                        </w14:solidFill>
                      </w14:textFill>
                    </w:rPr>
                    <w:t>执行标准</w:t>
                  </w:r>
                </w:p>
              </w:tc>
              <w:tc>
                <w:tcPr>
                  <w:tcW w:w="527" w:type="pct"/>
                  <w:vMerge w:val="restart"/>
                  <w:tcBorders>
                    <w:top w:val="single" w:color="000000" w:sz="12" w:space="0"/>
                  </w:tcBorders>
                  <w:shd w:val="clear" w:color="auto" w:fill="FFFFFF"/>
                  <w:noWrap w:val="0"/>
                  <w:vAlign w:val="center"/>
                </w:tcPr>
                <w:p w14:paraId="0FB438F1">
                  <w:pPr>
                    <w:pStyle w:val="253"/>
                    <w:shd w:val="clear" w:color="auto" w:fill="auto"/>
                    <w:spacing w:before="0" w:after="0" w:line="240" w:lineRule="auto"/>
                    <w:ind w:right="0" w:firstLine="0" w:firstLineChars="0"/>
                    <w:rPr>
                      <w:rFonts w:hint="default" w:ascii="Times New Roman" w:hAnsi="Times New Roman" w:eastAsia="华文中宋" w:cs="Times New Roman"/>
                      <w:b w:val="0"/>
                      <w:bCs w:val="0"/>
                      <w:color w:val="000000" w:themeColor="text1"/>
                      <w:highlight w:val="none"/>
                      <w14:textFill>
                        <w14:solidFill>
                          <w14:schemeClr w14:val="tx1"/>
                        </w14:solidFill>
                      </w14:textFill>
                    </w:rPr>
                  </w:pPr>
                  <w:r>
                    <w:rPr>
                      <w:rFonts w:hint="eastAsia" w:ascii="Times New Roman" w:hAnsi="Times New Roman" w:eastAsia="华文中宋" w:cs="Times New Roman"/>
                      <w:b w:val="0"/>
                      <w:bCs w:val="0"/>
                      <w:color w:val="000000" w:themeColor="text1"/>
                      <w:highlight w:val="none"/>
                      <w14:textFill>
                        <w14:solidFill>
                          <w14:schemeClr w14:val="tx1"/>
                        </w14:solidFill>
                      </w14:textFill>
                    </w:rPr>
                    <w:t>环境功能区</w:t>
                  </w:r>
                </w:p>
              </w:tc>
              <w:tc>
                <w:tcPr>
                  <w:tcW w:w="525" w:type="pct"/>
                  <w:vMerge w:val="restart"/>
                  <w:tcBorders>
                    <w:top w:val="single" w:color="000000" w:sz="12" w:space="0"/>
                    <w:right w:val="nil"/>
                  </w:tcBorders>
                  <w:shd w:val="clear" w:color="auto" w:fill="FFFFFF"/>
                  <w:noWrap w:val="0"/>
                  <w:vAlign w:val="center"/>
                </w:tcPr>
                <w:p w14:paraId="299B7891">
                  <w:pPr>
                    <w:pStyle w:val="253"/>
                    <w:shd w:val="clear" w:color="auto" w:fill="auto"/>
                    <w:spacing w:before="0" w:after="0" w:line="240" w:lineRule="auto"/>
                    <w:ind w:right="0" w:firstLine="0" w:firstLineChars="0"/>
                    <w:rPr>
                      <w:rFonts w:hint="default" w:ascii="Times New Roman" w:hAnsi="Times New Roman" w:eastAsia="华文中宋" w:cs="Times New Roman"/>
                      <w:b w:val="0"/>
                      <w:bCs w:val="0"/>
                      <w:color w:val="000000" w:themeColor="text1"/>
                      <w:highlight w:val="none"/>
                      <w14:textFill>
                        <w14:solidFill>
                          <w14:schemeClr w14:val="tx1"/>
                        </w14:solidFill>
                      </w14:textFill>
                    </w:rPr>
                  </w:pPr>
                  <w:r>
                    <w:rPr>
                      <w:rFonts w:hint="default" w:ascii="Times New Roman" w:hAnsi="Times New Roman" w:eastAsia="华文中宋" w:cs="Times New Roman"/>
                      <w:b w:val="0"/>
                      <w:bCs w:val="0"/>
                      <w:color w:val="000000" w:themeColor="text1"/>
                      <w:highlight w:val="none"/>
                      <w14:textFill>
                        <w14:solidFill>
                          <w14:schemeClr w14:val="tx1"/>
                        </w14:solidFill>
                      </w14:textFill>
                    </w:rPr>
                    <w:t>相对厂址方位</w:t>
                  </w:r>
                </w:p>
              </w:tc>
            </w:tr>
            <w:tr w14:paraId="63B3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0" w:type="pct"/>
                  <w:vMerge w:val="continue"/>
                  <w:tcBorders>
                    <w:left w:val="nil"/>
                  </w:tcBorders>
                  <w:shd w:val="clear" w:color="auto" w:fill="FFFFFF"/>
                  <w:noWrap w:val="0"/>
                  <w:vAlign w:val="center"/>
                </w:tcPr>
                <w:p w14:paraId="4378C7FF">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p>
              </w:tc>
              <w:tc>
                <w:tcPr>
                  <w:tcW w:w="1027" w:type="pct"/>
                  <w:shd w:val="clear" w:color="auto" w:fill="FFFFFF"/>
                  <w:noWrap w:val="0"/>
                  <w:vAlign w:val="center"/>
                </w:tcPr>
                <w:p w14:paraId="0819778C">
                  <w:pPr>
                    <w:pStyle w:val="253"/>
                    <w:shd w:val="clear" w:color="auto" w:fill="auto"/>
                    <w:spacing w:before="0" w:after="0" w:line="240" w:lineRule="auto"/>
                    <w:ind w:right="0" w:firstLine="0" w:firstLineChars="0"/>
                    <w:rPr>
                      <w:rFonts w:hint="eastAsia" w:ascii="Times New Roman" w:hAnsi="Times New Roman" w:eastAsia="华文中宋" w:cs="Times New Roman"/>
                      <w:b w:val="0"/>
                      <w:bCs w:val="0"/>
                      <w:color w:val="000000" w:themeColor="text1"/>
                      <w:highlight w:val="none"/>
                      <w:lang w:eastAsia="zh-CN"/>
                      <w14:textFill>
                        <w14:solidFill>
                          <w14:schemeClr w14:val="tx1"/>
                        </w14:solidFill>
                      </w14:textFill>
                    </w:rPr>
                  </w:pPr>
                  <w:r>
                    <w:rPr>
                      <w:rFonts w:hint="eastAsia" w:ascii="Times New Roman" w:hAnsi="Times New Roman" w:eastAsia="华文中宋" w:cs="Times New Roman"/>
                      <w:b w:val="0"/>
                      <w:bCs w:val="0"/>
                      <w:color w:val="000000" w:themeColor="text1"/>
                      <w:highlight w:val="none"/>
                      <w:lang w:eastAsia="zh-CN"/>
                      <w14:textFill>
                        <w14:solidFill>
                          <w14:schemeClr w14:val="tx1"/>
                        </w14:solidFill>
                      </w14:textFill>
                    </w:rPr>
                    <w:t>东经</w:t>
                  </w:r>
                </w:p>
              </w:tc>
              <w:tc>
                <w:tcPr>
                  <w:tcW w:w="1036" w:type="pct"/>
                  <w:shd w:val="clear" w:color="auto" w:fill="FFFFFF"/>
                  <w:noWrap w:val="0"/>
                  <w:vAlign w:val="center"/>
                </w:tcPr>
                <w:p w14:paraId="17F934E7">
                  <w:pPr>
                    <w:pStyle w:val="253"/>
                    <w:shd w:val="clear" w:color="auto" w:fill="auto"/>
                    <w:spacing w:before="0" w:after="0" w:line="240" w:lineRule="auto"/>
                    <w:ind w:right="0" w:firstLine="0" w:firstLineChars="0"/>
                    <w:rPr>
                      <w:rFonts w:hint="eastAsia" w:ascii="Times New Roman" w:hAnsi="Times New Roman" w:eastAsia="华文中宋" w:cs="Times New Roman"/>
                      <w:b w:val="0"/>
                      <w:bCs w:val="0"/>
                      <w:color w:val="000000" w:themeColor="text1"/>
                      <w:highlight w:val="none"/>
                      <w:lang w:eastAsia="zh-CN"/>
                      <w14:textFill>
                        <w14:solidFill>
                          <w14:schemeClr w14:val="tx1"/>
                        </w14:solidFill>
                      </w14:textFill>
                    </w:rPr>
                  </w:pPr>
                  <w:r>
                    <w:rPr>
                      <w:rFonts w:hint="eastAsia" w:ascii="Times New Roman" w:hAnsi="Times New Roman" w:eastAsia="华文中宋" w:cs="Times New Roman"/>
                      <w:b w:val="0"/>
                      <w:bCs w:val="0"/>
                      <w:color w:val="000000" w:themeColor="text1"/>
                      <w:highlight w:val="none"/>
                      <w:lang w:eastAsia="zh-CN"/>
                      <w14:textFill>
                        <w14:solidFill>
                          <w14:schemeClr w14:val="tx1"/>
                        </w14:solidFill>
                      </w14:textFill>
                    </w:rPr>
                    <w:t>北纬</w:t>
                  </w:r>
                </w:p>
              </w:tc>
              <w:tc>
                <w:tcPr>
                  <w:tcW w:w="376" w:type="pct"/>
                  <w:vMerge w:val="continue"/>
                  <w:shd w:val="clear" w:color="auto" w:fill="FFFFFF"/>
                  <w:noWrap w:val="0"/>
                  <w:vAlign w:val="center"/>
                </w:tcPr>
                <w:p w14:paraId="74C8166F">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p>
              </w:tc>
              <w:tc>
                <w:tcPr>
                  <w:tcW w:w="1046" w:type="pct"/>
                  <w:vMerge w:val="continue"/>
                  <w:shd w:val="clear" w:color="auto" w:fill="FFFFFF"/>
                  <w:noWrap w:val="0"/>
                  <w:vAlign w:val="center"/>
                </w:tcPr>
                <w:p w14:paraId="22C919E0">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p>
              </w:tc>
              <w:tc>
                <w:tcPr>
                  <w:tcW w:w="527" w:type="pct"/>
                  <w:vMerge w:val="continue"/>
                  <w:shd w:val="clear" w:color="auto" w:fill="FFFFFF"/>
                  <w:noWrap w:val="0"/>
                  <w:vAlign w:val="center"/>
                </w:tcPr>
                <w:p w14:paraId="79CC3954">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p>
              </w:tc>
              <w:tc>
                <w:tcPr>
                  <w:tcW w:w="525" w:type="pct"/>
                  <w:vMerge w:val="continue"/>
                  <w:tcBorders>
                    <w:right w:val="nil"/>
                  </w:tcBorders>
                  <w:shd w:val="clear" w:color="auto" w:fill="FFFFFF"/>
                  <w:noWrap w:val="0"/>
                  <w:vAlign w:val="center"/>
                </w:tcPr>
                <w:p w14:paraId="03D0DE2B">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p>
              </w:tc>
            </w:tr>
            <w:tr w14:paraId="0DF9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pct"/>
                  <w:tcBorders>
                    <w:left w:val="nil"/>
                  </w:tcBorders>
                  <w:shd w:val="clear" w:color="auto" w:fill="FFFFFF"/>
                  <w:noWrap w:val="0"/>
                  <w:vAlign w:val="center"/>
                </w:tcPr>
                <w:p w14:paraId="70008AEE">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lang w:val="en-US" w:eastAsia="zh-CN"/>
                      <w14:textFill>
                        <w14:solidFill>
                          <w14:schemeClr w14:val="tx1"/>
                        </w14:solidFill>
                      </w14:textFill>
                    </w:rPr>
                  </w:pPr>
                  <w:r>
                    <w:rPr>
                      <w:rFonts w:hint="eastAsia" w:ascii="Times New Roman" w:hAnsi="Times New Roman" w:eastAsia="华文中宋" w:cs="Times New Roman"/>
                      <w:b w:val="0"/>
                      <w:color w:val="000000" w:themeColor="text1"/>
                      <w:highlight w:val="none"/>
                      <w:lang w:val="en-US" w:eastAsia="zh-CN"/>
                      <w14:textFill>
                        <w14:solidFill>
                          <w14:schemeClr w14:val="tx1"/>
                        </w14:solidFill>
                      </w14:textFill>
                    </w:rPr>
                    <w:t>常胜村</w:t>
                  </w:r>
                </w:p>
              </w:tc>
              <w:tc>
                <w:tcPr>
                  <w:tcW w:w="1027" w:type="pct"/>
                  <w:shd w:val="clear" w:color="auto" w:fill="FFFFFF"/>
                  <w:noWrap w:val="0"/>
                  <w:vAlign w:val="center"/>
                </w:tcPr>
                <w:p w14:paraId="60C5BEA4">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87°12′4.438″</w:t>
                  </w:r>
                </w:p>
              </w:tc>
              <w:tc>
                <w:tcPr>
                  <w:tcW w:w="1036" w:type="pct"/>
                  <w:shd w:val="clear" w:color="auto" w:fill="FFFFFF"/>
                  <w:noWrap w:val="0"/>
                  <w:vAlign w:val="center"/>
                </w:tcPr>
                <w:p w14:paraId="01DCFDE9">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43°59′1.63″</w:t>
                  </w:r>
                </w:p>
              </w:tc>
              <w:tc>
                <w:tcPr>
                  <w:tcW w:w="376" w:type="pct"/>
                  <w:shd w:val="clear" w:color="auto" w:fill="FFFFFF"/>
                  <w:noWrap w:val="0"/>
                  <w:vAlign w:val="center"/>
                </w:tcPr>
                <w:p w14:paraId="6C039E6C">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lang w:eastAsia="zh-CN"/>
                      <w14:textFill>
                        <w14:solidFill>
                          <w14:schemeClr w14:val="tx1"/>
                        </w14:solidFill>
                      </w14:textFill>
                    </w:rPr>
                  </w:pPr>
                  <w:r>
                    <w:rPr>
                      <w:rFonts w:hint="eastAsia" w:ascii="Times New Roman" w:hAnsi="Times New Roman" w:eastAsia="华文中宋" w:cs="Times New Roman"/>
                      <w:b w:val="0"/>
                      <w:color w:val="000000" w:themeColor="text1"/>
                      <w:highlight w:val="none"/>
                      <w:lang w:eastAsia="zh-CN"/>
                      <w14:textFill>
                        <w14:solidFill>
                          <w14:schemeClr w14:val="tx1"/>
                        </w14:solidFill>
                      </w14:textFill>
                    </w:rPr>
                    <w:t>村民（</w:t>
                  </w:r>
                  <w:r>
                    <w:rPr>
                      <w:rFonts w:hint="eastAsia" w:ascii="Times New Roman" w:hAnsi="Times New Roman" w:eastAsia="华文中宋" w:cs="Times New Roman"/>
                      <w:b w:val="0"/>
                      <w:color w:val="000000" w:themeColor="text1"/>
                      <w:highlight w:val="none"/>
                      <w:lang w:val="en-US" w:eastAsia="zh-CN"/>
                      <w14:textFill>
                        <w14:solidFill>
                          <w14:schemeClr w14:val="tx1"/>
                        </w14:solidFill>
                      </w14:textFill>
                    </w:rPr>
                    <w:t>57人</w:t>
                  </w:r>
                  <w:r>
                    <w:rPr>
                      <w:rFonts w:hint="eastAsia" w:ascii="Times New Roman" w:hAnsi="Times New Roman" w:eastAsia="华文中宋" w:cs="Times New Roman"/>
                      <w:b w:val="0"/>
                      <w:color w:val="000000" w:themeColor="text1"/>
                      <w:highlight w:val="none"/>
                      <w:lang w:eastAsia="zh-CN"/>
                      <w14:textFill>
                        <w14:solidFill>
                          <w14:schemeClr w14:val="tx1"/>
                        </w14:solidFill>
                      </w14:textFill>
                    </w:rPr>
                    <w:t>）</w:t>
                  </w:r>
                </w:p>
              </w:tc>
              <w:tc>
                <w:tcPr>
                  <w:tcW w:w="1046" w:type="pct"/>
                  <w:shd w:val="clear" w:color="auto" w:fill="FFFFFF"/>
                  <w:noWrap w:val="0"/>
                  <w:vAlign w:val="center"/>
                </w:tcPr>
                <w:p w14:paraId="2FA2DCC2">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r>
                    <w:rPr>
                      <w:rFonts w:hint="default" w:ascii="Times New Roman" w:hAnsi="Times New Roman" w:eastAsia="华文中宋" w:cs="Times New Roman"/>
                      <w:b w:val="0"/>
                      <w:color w:val="000000" w:themeColor="text1"/>
                      <w:highlight w:val="none"/>
                      <w14:textFill>
                        <w14:solidFill>
                          <w14:schemeClr w14:val="tx1"/>
                        </w14:solidFill>
                      </w14:textFill>
                    </w:rPr>
                    <w:t>《环境空气质量标准》（GB3095-</w:t>
                  </w:r>
                  <w:r>
                    <w:rPr>
                      <w:rFonts w:hint="eastAsia" w:ascii="Times New Roman" w:hAnsi="Times New Roman" w:eastAsia="华文中宋" w:cs="Times New Roman"/>
                      <w:b w:val="0"/>
                      <w:color w:val="000000" w:themeColor="text1"/>
                      <w:highlight w:val="none"/>
                      <w:lang w:val="en-US" w:eastAsia="zh-CN"/>
                      <w14:textFill>
                        <w14:solidFill>
                          <w14:schemeClr w14:val="tx1"/>
                        </w14:solidFill>
                      </w14:textFill>
                    </w:rPr>
                    <w:t>2026</w:t>
                  </w:r>
                  <w:r>
                    <w:rPr>
                      <w:rFonts w:hint="default" w:ascii="Times New Roman" w:hAnsi="Times New Roman" w:eastAsia="华文中宋" w:cs="Times New Roman"/>
                      <w:b w:val="0"/>
                      <w:color w:val="000000" w:themeColor="text1"/>
                      <w:highlight w:val="none"/>
                      <w14:textFill>
                        <w14:solidFill>
                          <w14:schemeClr w14:val="tx1"/>
                        </w14:solidFill>
                      </w14:textFill>
                    </w:rPr>
                    <w:t>）</w:t>
                  </w:r>
                  <w:r>
                    <w:rPr>
                      <w:rFonts w:hint="eastAsia" w:ascii="Times New Roman" w:hAnsi="Times New Roman" w:eastAsia="华文中宋" w:cs="Times New Roman"/>
                      <w:b w:val="0"/>
                      <w:color w:val="000000" w:themeColor="text1"/>
                      <w:highlight w:val="none"/>
                      <w:lang w:val="en-US" w:eastAsia="zh-CN"/>
                      <w14:textFill>
                        <w14:solidFill>
                          <w14:schemeClr w14:val="tx1"/>
                        </w14:solidFill>
                      </w14:textFill>
                    </w:rPr>
                    <w:t>过渡阶段</w:t>
                  </w:r>
                  <w:r>
                    <w:rPr>
                      <w:rFonts w:hint="default" w:ascii="Times New Roman" w:hAnsi="Times New Roman" w:eastAsia="华文中宋" w:cs="Times New Roman"/>
                      <w:b w:val="0"/>
                      <w:color w:val="000000" w:themeColor="text1"/>
                      <w:highlight w:val="none"/>
                      <w14:textFill>
                        <w14:solidFill>
                          <w14:schemeClr w14:val="tx1"/>
                        </w14:solidFill>
                      </w14:textFill>
                    </w:rPr>
                    <w:t>二级</w:t>
                  </w:r>
                  <w:r>
                    <w:rPr>
                      <w:rFonts w:hint="eastAsia" w:ascii="Times New Roman" w:hAnsi="Times New Roman" w:eastAsia="华文中宋" w:cs="Times New Roman"/>
                      <w:b w:val="0"/>
                      <w:color w:val="000000" w:themeColor="text1"/>
                      <w:highlight w:val="none"/>
                      <w:lang w:val="en-US" w:eastAsia="zh-CN"/>
                      <w14:textFill>
                        <w14:solidFill>
                          <w14:schemeClr w14:val="tx1"/>
                        </w14:solidFill>
                      </w14:textFill>
                    </w:rPr>
                    <w:t>浓度限值</w:t>
                  </w:r>
                </w:p>
              </w:tc>
              <w:tc>
                <w:tcPr>
                  <w:tcW w:w="527" w:type="pct"/>
                  <w:shd w:val="clear" w:color="auto" w:fill="FFFFFF"/>
                  <w:noWrap w:val="0"/>
                  <w:vAlign w:val="center"/>
                </w:tcPr>
                <w:p w14:paraId="4062B376">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二类区</w:t>
                  </w:r>
                </w:p>
              </w:tc>
              <w:tc>
                <w:tcPr>
                  <w:tcW w:w="525" w:type="pct"/>
                  <w:tcBorders>
                    <w:right w:val="nil"/>
                  </w:tcBorders>
                  <w:shd w:val="clear" w:color="auto" w:fill="FFFFFF"/>
                  <w:noWrap w:val="0"/>
                  <w:vAlign w:val="center"/>
                </w:tcPr>
                <w:p w14:paraId="13C29E26">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东</w:t>
                  </w:r>
                  <w:r>
                    <w:rPr>
                      <w:rFonts w:hint="eastAsia" w:ascii="Times New Roman" w:hAnsi="Times New Roman" w:eastAsia="华文中宋" w:cs="Times New Roman"/>
                      <w:b w:val="0"/>
                      <w:color w:val="000000" w:themeColor="text1"/>
                      <w:highlight w:val="none"/>
                      <w:lang w:eastAsia="zh-CN"/>
                      <w14:textFill>
                        <w14:solidFill>
                          <w14:schemeClr w14:val="tx1"/>
                        </w14:solidFill>
                      </w14:textFill>
                    </w:rPr>
                    <w:t>南</w:t>
                  </w:r>
                  <w:r>
                    <w:rPr>
                      <w:rFonts w:hint="eastAsia" w:ascii="Times New Roman" w:hAnsi="Times New Roman" w:eastAsia="华文中宋" w:cs="Times New Roman"/>
                      <w:b w:val="0"/>
                      <w:color w:val="000000" w:themeColor="text1"/>
                      <w:highlight w:val="none"/>
                      <w14:textFill>
                        <w14:solidFill>
                          <w14:schemeClr w14:val="tx1"/>
                        </w14:solidFill>
                      </w14:textFill>
                    </w:rPr>
                    <w:t>侧</w:t>
                  </w:r>
                </w:p>
                <w:p w14:paraId="1C1B560C">
                  <w:pPr>
                    <w:pStyle w:val="253"/>
                    <w:shd w:val="clear" w:color="auto" w:fill="auto"/>
                    <w:spacing w:before="0" w:after="0" w:line="240" w:lineRule="auto"/>
                    <w:ind w:right="0" w:firstLine="0" w:firstLineChars="0"/>
                    <w:rPr>
                      <w:rFonts w:hint="default"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lang w:val="en-US" w:eastAsia="zh-CN"/>
                      <w14:textFill>
                        <w14:solidFill>
                          <w14:schemeClr w14:val="tx1"/>
                        </w14:solidFill>
                      </w14:textFill>
                    </w:rPr>
                    <w:t>228.58</w:t>
                  </w:r>
                  <w:r>
                    <w:rPr>
                      <w:rFonts w:hint="eastAsia" w:ascii="Times New Roman" w:hAnsi="Times New Roman" w:eastAsia="华文中宋" w:cs="Times New Roman"/>
                      <w:b w:val="0"/>
                      <w:color w:val="000000" w:themeColor="text1"/>
                      <w:highlight w:val="none"/>
                      <w14:textFill>
                        <w14:solidFill>
                          <w14:schemeClr w14:val="tx1"/>
                        </w14:solidFill>
                      </w14:textFill>
                    </w:rPr>
                    <w:t>m</w:t>
                  </w:r>
                </w:p>
              </w:tc>
            </w:tr>
            <w:tr w14:paraId="1102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tcBorders>
                    <w:left w:val="nil"/>
                    <w:bottom w:val="single" w:color="000000" w:sz="12" w:space="0"/>
                    <w:right w:val="nil"/>
                  </w:tcBorders>
                  <w:shd w:val="clear" w:color="auto" w:fill="FFFFFF"/>
                  <w:noWrap w:val="0"/>
                  <w:vAlign w:val="center"/>
                </w:tcPr>
                <w:p w14:paraId="1CB7B727">
                  <w:pPr>
                    <w:pStyle w:val="253"/>
                    <w:shd w:val="clear" w:color="auto" w:fill="auto"/>
                    <w:spacing w:before="0" w:after="0" w:line="240" w:lineRule="auto"/>
                    <w:ind w:right="0" w:firstLine="0" w:firstLineChars="0"/>
                    <w:jc w:val="both"/>
                    <w:rPr>
                      <w:rFonts w:hint="default" w:ascii="Times New Roman" w:hAnsi="Times New Roman" w:eastAsia="华文中宋" w:cs="Times New Roman"/>
                      <w:b w:val="0"/>
                      <w:color w:val="000000" w:themeColor="text1"/>
                      <w:highlight w:val="none"/>
                      <w:lang w:val="en-US" w:eastAsia="zh-CN"/>
                      <w14:textFill>
                        <w14:solidFill>
                          <w14:schemeClr w14:val="tx1"/>
                        </w14:solidFill>
                      </w14:textFill>
                    </w:rPr>
                  </w:pPr>
                  <w:r>
                    <w:rPr>
                      <w:rFonts w:hint="eastAsia" w:ascii="Times New Roman" w:hAnsi="Times New Roman" w:eastAsia="华文中宋" w:cs="Times New Roman"/>
                      <w:b w:val="0"/>
                      <w:color w:val="000000" w:themeColor="text1"/>
                      <w:highlight w:val="none"/>
                      <w:lang w:val="en-US" w:eastAsia="zh-CN"/>
                      <w14:textFill>
                        <w14:solidFill>
                          <w14:schemeClr w14:val="tx1"/>
                        </w14:solidFill>
                      </w14:textFill>
                    </w:rPr>
                    <w:t>注：根据地图显示，昌吉市众鑫游乐场位于项目厂区东北侧150米，但根据现场勘察，该游乐场早已拆除，实际不存在，因此未将昌吉市众鑫游乐场列入环境空气保护目标。</w:t>
                  </w:r>
                </w:p>
              </w:tc>
            </w:tr>
          </w:tbl>
          <w:p w14:paraId="5D7B486A">
            <w:pPr>
              <w:pStyle w:val="213"/>
              <w:ind w:firstLine="482"/>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eastAsia="zh-CN"/>
                <w14:textFill>
                  <w14:solidFill>
                    <w14:schemeClr w14:val="tx1"/>
                  </w14:solidFill>
                </w14:textFill>
              </w:rPr>
              <w:t>2.</w:t>
            </w:r>
            <w:r>
              <w:rPr>
                <w:rFonts w:ascii="Times New Roman" w:hAnsi="Times New Roman"/>
                <w:color w:val="000000" w:themeColor="text1"/>
                <w14:textFill>
                  <w14:solidFill>
                    <w14:schemeClr w14:val="tx1"/>
                  </w14:solidFill>
                </w14:textFill>
              </w:rPr>
              <w:t>声环境</w:t>
            </w:r>
          </w:p>
          <w:p w14:paraId="5D9604DD">
            <w:pPr>
              <w:pStyle w:val="213"/>
              <w:ind w:firstLine="480"/>
              <w:rPr>
                <w:rFonts w:ascii="Times New Roman" w:hAnsi="Times New Roman"/>
                <w:b w:val="0"/>
                <w:color w:val="000000" w:themeColor="text1"/>
                <w:highlight w:val="none"/>
                <w14:textFill>
                  <w14:solidFill>
                    <w14:schemeClr w14:val="tx1"/>
                  </w14:solidFill>
                </w14:textFill>
              </w:rPr>
            </w:pPr>
            <w:r>
              <w:rPr>
                <w:rFonts w:ascii="Times New Roman" w:hAnsi="Times New Roman"/>
                <w:b w:val="0"/>
                <w:color w:val="000000" w:themeColor="text1"/>
                <w:highlight w:val="none"/>
                <w14:textFill>
                  <w14:solidFill>
                    <w14:schemeClr w14:val="tx1"/>
                  </w14:solidFill>
                </w14:textFill>
              </w:rPr>
              <w:t>本项目厂界外50米范围无声环境保护目标。</w:t>
            </w:r>
          </w:p>
          <w:p w14:paraId="5F4583E0">
            <w:pPr>
              <w:pStyle w:val="213"/>
              <w:ind w:firstLine="482"/>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eastAsia="zh-CN"/>
                <w14:textFill>
                  <w14:solidFill>
                    <w14:schemeClr w14:val="tx1"/>
                  </w14:solidFill>
                </w14:textFill>
              </w:rPr>
              <w:t>3.</w:t>
            </w:r>
            <w:r>
              <w:rPr>
                <w:rFonts w:ascii="Times New Roman" w:hAnsi="Times New Roman"/>
                <w:color w:val="000000" w:themeColor="text1"/>
                <w14:textFill>
                  <w14:solidFill>
                    <w14:schemeClr w14:val="tx1"/>
                  </w14:solidFill>
                </w14:textFill>
              </w:rPr>
              <w:t>地下水环境</w:t>
            </w:r>
          </w:p>
          <w:p w14:paraId="08E1104E">
            <w:pPr>
              <w:pStyle w:val="213"/>
              <w:ind w:firstLine="480"/>
              <w:rPr>
                <w:rFonts w:ascii="Times New Roman" w:hAnsi="Times New Roman"/>
                <w:b w:val="0"/>
                <w:color w:val="000000" w:themeColor="text1"/>
                <w14:textFill>
                  <w14:solidFill>
                    <w14:schemeClr w14:val="tx1"/>
                  </w14:solidFill>
                </w14:textFill>
              </w:rPr>
            </w:pPr>
            <w:r>
              <w:rPr>
                <w:rFonts w:ascii="Times New Roman" w:hAnsi="Times New Roman"/>
                <w:b w:val="0"/>
                <w:color w:val="000000" w:themeColor="text1"/>
                <w14:textFill>
                  <w14:solidFill>
                    <w14:schemeClr w14:val="tx1"/>
                  </w14:solidFill>
                </w14:textFill>
              </w:rPr>
              <w:t>本项目厂界外500米范围内无地下水集中式饮用水水源和热水、矿泉水、温泉等特殊地下水资源，无地下水环境保护目标。</w:t>
            </w:r>
          </w:p>
          <w:p w14:paraId="3D3B3157">
            <w:pPr>
              <w:pStyle w:val="213"/>
              <w:ind w:firstLine="482"/>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lang w:eastAsia="zh-CN"/>
                <w14:textFill>
                  <w14:solidFill>
                    <w14:schemeClr w14:val="tx1"/>
                  </w14:solidFill>
                </w14:textFill>
              </w:rPr>
              <w:t>4.</w:t>
            </w:r>
            <w:r>
              <w:rPr>
                <w:rFonts w:ascii="Times New Roman" w:hAnsi="Times New Roman"/>
                <w:color w:val="000000" w:themeColor="text1"/>
                <w14:textFill>
                  <w14:solidFill>
                    <w14:schemeClr w14:val="tx1"/>
                  </w14:solidFill>
                </w14:textFill>
              </w:rPr>
              <w:t>生态环境</w:t>
            </w:r>
          </w:p>
          <w:p w14:paraId="22E0A881">
            <w:pPr>
              <w:keepNext w:val="0"/>
              <w:keepLines w:val="0"/>
              <w:widowControl/>
              <w:suppressLineNumbers w:val="0"/>
              <w:jc w:val="left"/>
              <w:rPr>
                <w:color w:val="000000" w:themeColor="text1"/>
                <w:kern w:val="0"/>
                <w:szCs w:val="2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本项目位于</w:t>
            </w:r>
            <w:r>
              <w:rPr>
                <w:rFonts w:hint="eastAsia" w:ascii="宋体" w:hAnsi="宋体" w:cs="宋体"/>
                <w:color w:val="000000" w:themeColor="text1"/>
                <w:kern w:val="0"/>
                <w:sz w:val="24"/>
                <w:szCs w:val="24"/>
                <w:lang w:val="en-US" w:eastAsia="zh-CN" w:bidi="ar"/>
                <w14:textFill>
                  <w14:solidFill>
                    <w14:schemeClr w14:val="tx1"/>
                  </w14:solidFill>
                </w14:textFill>
              </w:rPr>
              <w:t>现有项目厂区内</w:t>
            </w:r>
            <w:r>
              <w:rPr>
                <w:rFonts w:hint="eastAsia" w:ascii="宋体" w:hAnsi="宋体" w:eastAsia="宋体" w:cs="宋体"/>
                <w:color w:val="000000" w:themeColor="text1"/>
                <w:kern w:val="0"/>
                <w:sz w:val="24"/>
                <w:szCs w:val="24"/>
                <w:lang w:val="en-US" w:eastAsia="zh-CN" w:bidi="ar"/>
                <w14:textFill>
                  <w14:solidFill>
                    <w14:schemeClr w14:val="tx1"/>
                  </w14:solidFill>
                </w14:textFill>
              </w:rPr>
              <w:t>，项目用地范围内不含生态环境保护目标。</w:t>
            </w:r>
          </w:p>
        </w:tc>
      </w:tr>
      <w:tr w14:paraId="54B6B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32" w:type="dxa"/>
            <w:tcBorders>
              <w:tl2br w:val="nil"/>
              <w:tr2bl w:val="nil"/>
            </w:tcBorders>
            <w:tcMar>
              <w:left w:w="28" w:type="dxa"/>
              <w:right w:w="28" w:type="dxa"/>
            </w:tcMar>
            <w:vAlign w:val="center"/>
          </w:tcPr>
          <w:p w14:paraId="506967F8">
            <w:pPr>
              <w:adjustRightInd w:val="0"/>
              <w:snapToGrid w:val="0"/>
              <w:ind w:firstLine="0" w:firstLineChars="0"/>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污染物排</w:t>
            </w:r>
          </w:p>
          <w:p w14:paraId="76C68855">
            <w:pPr>
              <w:adjustRightInd w:val="0"/>
              <w:snapToGrid w:val="0"/>
              <w:ind w:firstLine="0" w:firstLineChars="0"/>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放控制标</w:t>
            </w:r>
          </w:p>
          <w:p w14:paraId="39690CA8">
            <w:pPr>
              <w:adjustRightInd w:val="0"/>
              <w:snapToGrid w:val="0"/>
              <w:ind w:firstLine="0" w:firstLineChars="0"/>
              <w:jc w:val="center"/>
              <w:rPr>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准</w:t>
            </w:r>
          </w:p>
        </w:tc>
        <w:tc>
          <w:tcPr>
            <w:tcW w:w="8766" w:type="dxa"/>
            <w:tcBorders>
              <w:tl2br w:val="nil"/>
              <w:tr2bl w:val="nil"/>
            </w:tcBorders>
            <w:vAlign w:val="center"/>
          </w:tcPr>
          <w:p w14:paraId="0E17528A">
            <w:pPr>
              <w:pStyle w:val="224"/>
              <w:keepNext w:val="0"/>
              <w:keepLines w:val="0"/>
              <w:pageBreakBefore w:val="0"/>
              <w:widowControl w:val="0"/>
              <w:numPr>
                <w:ilvl w:val="0"/>
                <w:numId w:val="10"/>
              </w:numPr>
              <w:kinsoku/>
              <w:wordWrap/>
              <w:overflowPunct/>
              <w:topLinePunct w:val="0"/>
              <w:autoSpaceDE/>
              <w:autoSpaceDN/>
              <w:bidi w:val="0"/>
              <w:adjustRightInd/>
              <w:snapToGrid/>
              <w:spacing w:before="0" w:beforeLines="0"/>
              <w:ind w:firstLine="482"/>
              <w:textAlignment w:val="auto"/>
              <w:rPr>
                <w:b/>
                <w:bCs/>
                <w:color w:val="000000" w:themeColor="text1"/>
                <w:spacing w:val="0"/>
                <w:kern w:val="2"/>
                <w:sz w:val="24"/>
                <w:szCs w:val="24"/>
                <w14:textFill>
                  <w14:solidFill>
                    <w14:schemeClr w14:val="tx1"/>
                  </w14:solidFill>
                </w14:textFill>
              </w:rPr>
            </w:pPr>
            <w:r>
              <w:rPr>
                <w:b/>
                <w:bCs/>
                <w:color w:val="000000" w:themeColor="text1"/>
                <w:spacing w:val="0"/>
                <w:kern w:val="2"/>
                <w:sz w:val="24"/>
                <w:szCs w:val="24"/>
                <w14:textFill>
                  <w14:solidFill>
                    <w14:schemeClr w14:val="tx1"/>
                  </w14:solidFill>
                </w14:textFill>
              </w:rPr>
              <w:t>废气排放标准</w:t>
            </w:r>
          </w:p>
          <w:p w14:paraId="483F600B">
            <w:pPr>
              <w:widowControl/>
              <w:spacing w:line="360" w:lineRule="auto"/>
              <w:ind w:firstLine="480" w:firstLineChars="200"/>
              <w:rPr>
                <w:rFonts w:hint="eastAsia"/>
                <w:color w:val="000000" w:themeColor="text1"/>
                <w:sz w:val="24"/>
                <w14:textFill>
                  <w14:solidFill>
                    <w14:schemeClr w14:val="tx1"/>
                  </w14:solidFill>
                </w14:textFill>
              </w:rPr>
            </w:pPr>
            <w:r>
              <w:rPr>
                <w:rFonts w:hint="eastAsia"/>
                <w:bCs/>
                <w:color w:val="000000" w:themeColor="text1"/>
                <w:sz w:val="24"/>
                <w:lang w:val="en-US" w:eastAsia="zh-CN"/>
                <w14:textFill>
                  <w14:solidFill>
                    <w14:schemeClr w14:val="tx1"/>
                  </w14:solidFill>
                </w14:textFill>
              </w:rPr>
              <w:t>本项目生产线运行过程中粉尘</w:t>
            </w:r>
            <w:r>
              <w:rPr>
                <w:rFonts w:hint="eastAsia"/>
                <w:color w:val="000000" w:themeColor="text1"/>
                <w:sz w:val="24"/>
                <w14:textFill>
                  <w14:solidFill>
                    <w14:schemeClr w14:val="tx1"/>
                  </w14:solidFill>
                </w14:textFill>
              </w:rPr>
              <w:t>执行《大气污染物综合排放标准》（GB16297-1996）中排放标准限值，具体标准值见下表。</w:t>
            </w:r>
          </w:p>
          <w:p w14:paraId="33049E64">
            <w:pPr>
              <w:pStyle w:val="2"/>
              <w:spacing w:before="0" w:beforeLines="0" w:after="0" w:afterLines="0" w:line="240" w:lineRule="auto"/>
              <w:jc w:val="cente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表3-5  废气排放标准</w:t>
            </w:r>
          </w:p>
          <w:tbl>
            <w:tblPr>
              <w:tblStyle w:val="4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876"/>
              <w:gridCol w:w="1218"/>
              <w:gridCol w:w="1255"/>
              <w:gridCol w:w="1414"/>
              <w:gridCol w:w="1541"/>
            </w:tblGrid>
            <w:tr w14:paraId="3AD048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729" w:type="pct"/>
                  <w:vMerge w:val="restart"/>
                  <w:noWrap w:val="0"/>
                  <w:vAlign w:val="center"/>
                </w:tcPr>
                <w:p w14:paraId="2D02F912">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污染物</w:t>
                  </w:r>
                </w:p>
              </w:tc>
              <w:tc>
                <w:tcPr>
                  <w:tcW w:w="1097" w:type="pct"/>
                  <w:vMerge w:val="restart"/>
                  <w:noWrap w:val="0"/>
                  <w:vAlign w:val="center"/>
                </w:tcPr>
                <w:p w14:paraId="35187D3C">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最高允许排放浓度</w:t>
                  </w:r>
                </w:p>
                <w:p w14:paraId="7B6C59C3">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lang w:eastAsia="zh-CN"/>
                      <w14:textFill>
                        <w14:solidFill>
                          <w14:schemeClr w14:val="tx1"/>
                        </w14:solidFill>
                      </w14:textFill>
                    </w:rPr>
                    <w:t>(</w:t>
                  </w:r>
                  <w:r>
                    <w:rPr>
                      <w:rFonts w:hint="eastAsia" w:ascii="Times New Roman" w:hAnsi="Times New Roman" w:eastAsia="华文中宋" w:cs="Times New Roman"/>
                      <w:b w:val="0"/>
                      <w:color w:val="000000" w:themeColor="text1"/>
                      <w:highlight w:val="none"/>
                      <w14:textFill>
                        <w14:solidFill>
                          <w14:schemeClr w14:val="tx1"/>
                        </w14:solidFill>
                      </w14:textFill>
                    </w:rPr>
                    <w:t>mg/m</w:t>
                  </w:r>
                  <w:r>
                    <w:rPr>
                      <w:rFonts w:hint="eastAsia" w:ascii="Times New Roman" w:hAnsi="Times New Roman" w:eastAsia="华文中宋" w:cs="Times New Roman"/>
                      <w:b w:val="0"/>
                      <w:color w:val="000000" w:themeColor="text1"/>
                      <w:highlight w:val="none"/>
                      <w:vertAlign w:val="superscript"/>
                      <w14:textFill>
                        <w14:solidFill>
                          <w14:schemeClr w14:val="tx1"/>
                        </w14:solidFill>
                      </w14:textFill>
                    </w:rPr>
                    <w:t>3</w:t>
                  </w:r>
                  <w:r>
                    <w:rPr>
                      <w:rFonts w:hint="eastAsia" w:ascii="Times New Roman" w:hAnsi="Times New Roman" w:eastAsia="华文中宋" w:cs="Times New Roman"/>
                      <w:b w:val="0"/>
                      <w:color w:val="000000" w:themeColor="text1"/>
                      <w:highlight w:val="none"/>
                      <w:lang w:eastAsia="zh-CN"/>
                      <w14:textFill>
                        <w14:solidFill>
                          <w14:schemeClr w14:val="tx1"/>
                        </w14:solidFill>
                      </w14:textFill>
                    </w:rPr>
                    <w:t>)</w:t>
                  </w:r>
                </w:p>
              </w:tc>
              <w:tc>
                <w:tcPr>
                  <w:tcW w:w="1446" w:type="pct"/>
                  <w:gridSpan w:val="2"/>
                  <w:noWrap w:val="0"/>
                  <w:vAlign w:val="center"/>
                </w:tcPr>
                <w:p w14:paraId="3819B917">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最高允许排放速率（kg/h）</w:t>
                  </w:r>
                </w:p>
              </w:tc>
              <w:tc>
                <w:tcPr>
                  <w:tcW w:w="1728" w:type="pct"/>
                  <w:gridSpan w:val="2"/>
                  <w:noWrap w:val="0"/>
                  <w:vAlign w:val="center"/>
                </w:tcPr>
                <w:p w14:paraId="106609A4">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无组织排放监控浓度限值</w:t>
                  </w:r>
                </w:p>
              </w:tc>
            </w:tr>
            <w:tr w14:paraId="481159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729" w:type="pct"/>
                  <w:vMerge w:val="continue"/>
                  <w:noWrap w:val="0"/>
                  <w:vAlign w:val="center"/>
                </w:tcPr>
                <w:p w14:paraId="1CC82849">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p>
              </w:tc>
              <w:tc>
                <w:tcPr>
                  <w:tcW w:w="1097" w:type="pct"/>
                  <w:vMerge w:val="continue"/>
                  <w:noWrap w:val="0"/>
                  <w:vAlign w:val="center"/>
                </w:tcPr>
                <w:p w14:paraId="379DB182">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p>
              </w:tc>
              <w:tc>
                <w:tcPr>
                  <w:tcW w:w="712" w:type="pct"/>
                  <w:noWrap w:val="0"/>
                  <w:vAlign w:val="center"/>
                </w:tcPr>
                <w:p w14:paraId="3BBF5FFD">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排气筒</w:t>
                  </w:r>
                </w:p>
                <w:p w14:paraId="316F4341">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高度（m）</w:t>
                  </w:r>
                </w:p>
              </w:tc>
              <w:tc>
                <w:tcPr>
                  <w:tcW w:w="734" w:type="pct"/>
                  <w:noWrap w:val="0"/>
                  <w:vAlign w:val="center"/>
                </w:tcPr>
                <w:p w14:paraId="67B79FAB">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二级</w:t>
                  </w:r>
                </w:p>
              </w:tc>
              <w:tc>
                <w:tcPr>
                  <w:tcW w:w="827" w:type="pct"/>
                  <w:noWrap w:val="0"/>
                  <w:vAlign w:val="center"/>
                </w:tcPr>
                <w:p w14:paraId="7570711A">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监控点</w:t>
                  </w:r>
                </w:p>
              </w:tc>
              <w:tc>
                <w:tcPr>
                  <w:tcW w:w="901" w:type="pct"/>
                  <w:noWrap w:val="0"/>
                  <w:vAlign w:val="center"/>
                </w:tcPr>
                <w:p w14:paraId="78677A34">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浓度（mg/m</w:t>
                  </w:r>
                  <w:r>
                    <w:rPr>
                      <w:rFonts w:hint="eastAsia" w:ascii="Times New Roman" w:hAnsi="Times New Roman" w:eastAsia="华文中宋" w:cs="Times New Roman"/>
                      <w:b w:val="0"/>
                      <w:color w:val="000000" w:themeColor="text1"/>
                      <w:highlight w:val="none"/>
                      <w:vertAlign w:val="superscript"/>
                      <w14:textFill>
                        <w14:solidFill>
                          <w14:schemeClr w14:val="tx1"/>
                        </w14:solidFill>
                      </w14:textFill>
                    </w:rPr>
                    <w:t>3</w:t>
                  </w:r>
                  <w:r>
                    <w:rPr>
                      <w:rFonts w:hint="eastAsia" w:ascii="Times New Roman" w:hAnsi="Times New Roman" w:eastAsia="华文中宋" w:cs="Times New Roman"/>
                      <w:b w:val="0"/>
                      <w:color w:val="000000" w:themeColor="text1"/>
                      <w:highlight w:val="none"/>
                      <w14:textFill>
                        <w14:solidFill>
                          <w14:schemeClr w14:val="tx1"/>
                        </w14:solidFill>
                      </w14:textFill>
                    </w:rPr>
                    <w:t>）</w:t>
                  </w:r>
                </w:p>
              </w:tc>
            </w:tr>
            <w:tr w14:paraId="4025B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729" w:type="pct"/>
                  <w:noWrap w:val="0"/>
                  <w:vAlign w:val="center"/>
                </w:tcPr>
                <w:p w14:paraId="1E7332D2">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颗粒物</w:t>
                  </w:r>
                </w:p>
              </w:tc>
              <w:tc>
                <w:tcPr>
                  <w:tcW w:w="1097" w:type="pct"/>
                  <w:noWrap w:val="0"/>
                  <w:vAlign w:val="center"/>
                </w:tcPr>
                <w:p w14:paraId="7D01AFD9">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120</w:t>
                  </w:r>
                </w:p>
                <w:p w14:paraId="3475087D">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w:t>
                  </w:r>
                  <w:r>
                    <w:rPr>
                      <w:rFonts w:hint="eastAsia" w:ascii="Times New Roman" w:hAnsi="Times New Roman" w:eastAsia="华文中宋" w:cs="Times New Roman"/>
                      <w:b w:val="0"/>
                      <w:color w:val="000000" w:themeColor="text1"/>
                      <w:highlight w:val="none"/>
                      <w:lang w:eastAsia="zh-CN"/>
                      <w14:textFill>
                        <w14:solidFill>
                          <w14:schemeClr w14:val="tx1"/>
                        </w14:solidFill>
                      </w14:textFill>
                    </w:rPr>
                    <w:t>其他</w:t>
                  </w:r>
                  <w:r>
                    <w:rPr>
                      <w:rFonts w:hint="eastAsia" w:ascii="Times New Roman" w:hAnsi="Times New Roman" w:eastAsia="华文中宋" w:cs="Times New Roman"/>
                      <w:b w:val="0"/>
                      <w:color w:val="000000" w:themeColor="text1"/>
                      <w:highlight w:val="none"/>
                      <w14:textFill>
                        <w14:solidFill>
                          <w14:schemeClr w14:val="tx1"/>
                        </w14:solidFill>
                      </w14:textFill>
                    </w:rPr>
                    <w:t>）</w:t>
                  </w:r>
                </w:p>
              </w:tc>
              <w:tc>
                <w:tcPr>
                  <w:tcW w:w="712" w:type="pct"/>
                  <w:noWrap w:val="0"/>
                  <w:vAlign w:val="center"/>
                </w:tcPr>
                <w:p w14:paraId="5BFDCB3D">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15</w:t>
                  </w:r>
                </w:p>
              </w:tc>
              <w:tc>
                <w:tcPr>
                  <w:tcW w:w="734" w:type="pct"/>
                  <w:noWrap w:val="0"/>
                  <w:vAlign w:val="center"/>
                </w:tcPr>
                <w:p w14:paraId="6CDE4C52">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3.5</w:t>
                  </w:r>
                </w:p>
              </w:tc>
              <w:tc>
                <w:tcPr>
                  <w:tcW w:w="827" w:type="pct"/>
                  <w:noWrap w:val="0"/>
                  <w:vAlign w:val="center"/>
                </w:tcPr>
                <w:p w14:paraId="3729ABBD">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周界外浓度最高点</w:t>
                  </w:r>
                </w:p>
              </w:tc>
              <w:tc>
                <w:tcPr>
                  <w:tcW w:w="901" w:type="pct"/>
                  <w:noWrap w:val="0"/>
                  <w:vAlign w:val="center"/>
                </w:tcPr>
                <w:p w14:paraId="2654DBB1">
                  <w:pPr>
                    <w:pStyle w:val="253"/>
                    <w:shd w:val="clear" w:color="auto" w:fill="auto"/>
                    <w:spacing w:before="0" w:after="0" w:line="240" w:lineRule="auto"/>
                    <w:ind w:right="0" w:firstLine="0" w:firstLineChars="0"/>
                    <w:rPr>
                      <w:rFonts w:hint="eastAsia" w:ascii="Times New Roman" w:hAnsi="Times New Roman" w:eastAsia="华文中宋" w:cs="Times New Roman"/>
                      <w:b w:val="0"/>
                      <w:color w:val="000000" w:themeColor="text1"/>
                      <w:highlight w:val="none"/>
                      <w14:textFill>
                        <w14:solidFill>
                          <w14:schemeClr w14:val="tx1"/>
                        </w14:solidFill>
                      </w14:textFill>
                    </w:rPr>
                  </w:pPr>
                  <w:r>
                    <w:rPr>
                      <w:rFonts w:hint="eastAsia" w:ascii="Times New Roman" w:hAnsi="Times New Roman" w:eastAsia="华文中宋" w:cs="Times New Roman"/>
                      <w:b w:val="0"/>
                      <w:color w:val="000000" w:themeColor="text1"/>
                      <w:highlight w:val="none"/>
                      <w14:textFill>
                        <w14:solidFill>
                          <w14:schemeClr w14:val="tx1"/>
                        </w14:solidFill>
                      </w14:textFill>
                    </w:rPr>
                    <w:t>1.0</w:t>
                  </w:r>
                </w:p>
              </w:tc>
            </w:tr>
          </w:tbl>
          <w:p w14:paraId="5232BD77">
            <w:pPr>
              <w:keepNext w:val="0"/>
              <w:keepLines w:val="0"/>
              <w:pageBreakBefore w:val="0"/>
              <w:widowControl w:val="0"/>
              <w:kinsoku/>
              <w:wordWrap/>
              <w:overflowPunct/>
              <w:topLinePunct w:val="0"/>
              <w:autoSpaceDE/>
              <w:autoSpaceDN/>
              <w:bidi w:val="0"/>
              <w:adjustRightInd/>
              <w:snapToGrid/>
              <w:ind w:left="0" w:leftChars="0" w:firstLine="482" w:firstLineChars="200"/>
              <w:textAlignment w:val="auto"/>
              <w:rPr>
                <w:b/>
                <w:bCs/>
                <w:color w:val="000000" w:themeColor="text1"/>
                <w:highlight w:val="yellow"/>
                <w14:textFill>
                  <w14:solidFill>
                    <w14:schemeClr w14:val="tx1"/>
                  </w14:solidFill>
                </w14:textFill>
              </w:rPr>
            </w:pPr>
            <w:r>
              <w:rPr>
                <w:rFonts w:hint="eastAsia"/>
                <w:b/>
                <w:bCs/>
                <w:color w:val="000000" w:themeColor="text1"/>
                <w:lang w:eastAsia="zh-CN"/>
                <w14:textFill>
                  <w14:solidFill>
                    <w14:schemeClr w14:val="tx1"/>
                  </w14:solidFill>
                </w14:textFill>
              </w:rPr>
              <w:t>2.</w:t>
            </w:r>
            <w:r>
              <w:rPr>
                <w:b/>
                <w:bCs/>
                <w:color w:val="000000" w:themeColor="text1"/>
                <w14:textFill>
                  <w14:solidFill>
                    <w14:schemeClr w14:val="tx1"/>
                  </w14:solidFill>
                </w14:textFill>
              </w:rPr>
              <w:t>废水排放标准</w:t>
            </w:r>
          </w:p>
          <w:p w14:paraId="0274BD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本项目营运期产生的废水主要为职工生活污水</w:t>
            </w:r>
            <w:r>
              <w:rPr>
                <w:rFonts w:hint="eastAsia" w:cs="Times New Roman"/>
                <w:color w:val="000000" w:themeColor="text1"/>
                <w:sz w:val="24"/>
                <w:lang w:val="en-US" w:eastAsia="zh-CN"/>
                <w14:textFill>
                  <w14:solidFill>
                    <w14:schemeClr w14:val="tx1"/>
                  </w14:solidFill>
                </w14:textFill>
              </w:rPr>
              <w:t>以及生产过程中的洗砂废水和车辆洗车废水</w:t>
            </w:r>
            <w:r>
              <w:rPr>
                <w:rFonts w:hint="default" w:ascii="Times New Roman" w:hAnsi="Times New Roman" w:eastAsia="宋体" w:cs="Times New Roman"/>
                <w:color w:val="000000" w:themeColor="text1"/>
                <w:sz w:val="24"/>
                <w:lang w:val="en-US"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其中生产过程中的洗砂废水和车辆洗车废水经过沉淀后循环使用不外排，生活污水</w:t>
            </w:r>
            <w:r>
              <w:rPr>
                <w:rFonts w:hint="eastAsia"/>
                <w:color w:val="000000" w:themeColor="text1"/>
                <w:highlight w:val="none"/>
                <w:lang w:eastAsia="zh-CN"/>
                <w14:textFill>
                  <w14:solidFill>
                    <w14:schemeClr w14:val="tx1"/>
                  </w14:solidFill>
                </w14:textFill>
              </w:rPr>
              <w:t>排入化粪池，</w:t>
            </w:r>
            <w:r>
              <w:rPr>
                <w:rFonts w:hint="eastAsia"/>
                <w:color w:val="000000" w:themeColor="text1"/>
                <w:highlight w:val="none"/>
                <w14:textFill>
                  <w14:solidFill>
                    <w14:schemeClr w14:val="tx1"/>
                  </w14:solidFill>
                </w14:textFill>
              </w:rPr>
              <w:t>最终</w:t>
            </w:r>
            <w:r>
              <w:rPr>
                <w:rFonts w:hint="eastAsia"/>
                <w:color w:val="000000" w:themeColor="text1"/>
                <w:highlight w:val="none"/>
                <w:lang w:eastAsia="zh-CN"/>
                <w14:textFill>
                  <w14:solidFill>
                    <w14:schemeClr w14:val="tx1"/>
                  </w14:solidFill>
                </w14:textFill>
              </w:rPr>
              <w:t>由吸污车运</w:t>
            </w:r>
            <w:r>
              <w:rPr>
                <w:rFonts w:hint="eastAsia" w:ascii="Times New Roman" w:hAnsi="Times New Roman" w:eastAsia="宋体" w:cs="Times New Roman"/>
                <w:color w:val="000000" w:themeColor="text1"/>
                <w:sz w:val="24"/>
                <w:lang w:val="en-US" w:eastAsia="zh-CN"/>
                <w14:textFill>
                  <w14:solidFill>
                    <w14:schemeClr w14:val="tx1"/>
                  </w14:solidFill>
                </w14:textFill>
              </w:rPr>
              <w:t>往</w:t>
            </w:r>
            <w:r>
              <w:rPr>
                <w:rFonts w:hint="default" w:ascii="Times New Roman" w:hAnsi="Times New Roman" w:eastAsia="宋体" w:cs="Times New Roman"/>
                <w:color w:val="000000" w:themeColor="text1"/>
                <w:sz w:val="24"/>
                <w:lang w:val="en-US" w:eastAsia="zh-CN"/>
                <w14:textFill>
                  <w14:solidFill>
                    <w14:schemeClr w14:val="tx1"/>
                  </w14:solidFill>
                </w14:textFill>
              </w:rPr>
              <w:t>昌吉市第二污水处理厂</w:t>
            </w:r>
            <w:r>
              <w:rPr>
                <w:rFonts w:hint="eastAsia" w:ascii="Times New Roman" w:hAnsi="Times New Roman" w:eastAsia="宋体" w:cs="Times New Roman"/>
                <w:color w:val="000000" w:themeColor="text1"/>
                <w:sz w:val="24"/>
                <w:lang w:val="en-US" w:eastAsia="zh-CN"/>
                <w14:textFill>
                  <w14:solidFill>
                    <w14:schemeClr w14:val="tx1"/>
                  </w14:solidFill>
                </w14:textFill>
              </w:rPr>
              <w:t>处理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其执行标准见下表：</w:t>
            </w:r>
          </w:p>
          <w:p w14:paraId="45EBA6B4">
            <w:pPr>
              <w:pStyle w:val="2"/>
              <w:spacing w:before="0" w:beforeLines="0" w:after="0" w:afterLines="0" w:line="240" w:lineRule="auto"/>
              <w:jc w:val="center"/>
              <w:rPr>
                <w:color w:val="000000" w:themeColor="text1"/>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表3-6     水污染物排放标准</w:t>
            </w:r>
          </w:p>
          <w:tbl>
            <w:tblPr>
              <w:tblStyle w:val="42"/>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1672"/>
              <w:gridCol w:w="3954"/>
              <w:gridCol w:w="1526"/>
            </w:tblGrid>
            <w:tr w14:paraId="7702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pct"/>
                  <w:tcBorders>
                    <w:top w:val="single" w:color="000000" w:sz="12" w:space="0"/>
                    <w:left w:val="nil"/>
                    <w:tl2br w:val="nil"/>
                  </w:tcBorders>
                  <w:shd w:val="clear" w:color="auto" w:fill="FFFFFF"/>
                  <w:noWrap w:val="0"/>
                  <w:vAlign w:val="center"/>
                </w:tcPr>
                <w:p w14:paraId="5504F280">
                  <w:pPr>
                    <w:pStyle w:val="253"/>
                    <w:spacing w:before="0" w:after="0" w:line="240" w:lineRule="auto"/>
                    <w:ind w:right="0" w:firstLine="0" w:firstLineChars="0"/>
                    <w:rPr>
                      <w:rFonts w:ascii="Times New Roman" w:hAnsi="Times New Roman" w:eastAsia="宋体"/>
                      <w:b w:val="0"/>
                      <w:bCs w:val="0"/>
                      <w:color w:val="000000" w:themeColor="text1"/>
                      <w14:textFill>
                        <w14:solidFill>
                          <w14:schemeClr w14:val="tx1"/>
                        </w14:solidFill>
                      </w14:textFill>
                    </w:rPr>
                  </w:pPr>
                  <w:r>
                    <w:rPr>
                      <w:rFonts w:ascii="Times New Roman" w:hAnsi="Times New Roman" w:eastAsia="宋体"/>
                      <w:b w:val="0"/>
                      <w:bCs w:val="0"/>
                      <w:color w:val="000000" w:themeColor="text1"/>
                      <w14:textFill>
                        <w14:solidFill>
                          <w14:schemeClr w14:val="tx1"/>
                        </w14:solidFill>
                      </w14:textFill>
                    </w:rPr>
                    <w:t>废水类别</w:t>
                  </w:r>
                </w:p>
              </w:tc>
              <w:tc>
                <w:tcPr>
                  <w:tcW w:w="979" w:type="pct"/>
                  <w:tcBorders>
                    <w:top w:val="single" w:color="000000" w:sz="12" w:space="0"/>
                  </w:tcBorders>
                  <w:shd w:val="clear" w:color="auto" w:fill="FFFFFF"/>
                  <w:noWrap w:val="0"/>
                  <w:vAlign w:val="center"/>
                </w:tcPr>
                <w:p w14:paraId="1560133C">
                  <w:pPr>
                    <w:pStyle w:val="253"/>
                    <w:spacing w:before="0" w:after="0" w:line="240" w:lineRule="auto"/>
                    <w:ind w:right="0" w:firstLine="0" w:firstLineChars="0"/>
                    <w:rPr>
                      <w:rFonts w:ascii="Times New Roman" w:hAnsi="Times New Roman" w:eastAsia="宋体"/>
                      <w:b w:val="0"/>
                      <w:bCs w:val="0"/>
                      <w:color w:val="000000" w:themeColor="text1"/>
                      <w14:textFill>
                        <w14:solidFill>
                          <w14:schemeClr w14:val="tx1"/>
                        </w14:solidFill>
                      </w14:textFill>
                    </w:rPr>
                  </w:pPr>
                  <w:r>
                    <w:rPr>
                      <w:rFonts w:ascii="Times New Roman" w:hAnsi="Times New Roman" w:eastAsia="宋体"/>
                      <w:b w:val="0"/>
                      <w:bCs w:val="0"/>
                      <w:color w:val="000000" w:themeColor="text1"/>
                      <w14:textFill>
                        <w14:solidFill>
                          <w14:schemeClr w14:val="tx1"/>
                        </w14:solidFill>
                      </w14:textFill>
                    </w:rPr>
                    <w:t>污染物</w:t>
                  </w:r>
                </w:p>
              </w:tc>
              <w:tc>
                <w:tcPr>
                  <w:tcW w:w="2315" w:type="pct"/>
                  <w:tcBorders>
                    <w:top w:val="single" w:color="000000" w:sz="12" w:space="0"/>
                  </w:tcBorders>
                  <w:shd w:val="clear" w:color="auto" w:fill="FFFFFF"/>
                  <w:noWrap w:val="0"/>
                  <w:vAlign w:val="center"/>
                </w:tcPr>
                <w:p w14:paraId="1EAF29F0">
                  <w:pPr>
                    <w:pStyle w:val="253"/>
                    <w:spacing w:before="0" w:after="0" w:line="240" w:lineRule="auto"/>
                    <w:ind w:right="0" w:firstLine="0" w:firstLineChars="0"/>
                    <w:rPr>
                      <w:rFonts w:ascii="Times New Roman" w:hAnsi="Times New Roman" w:eastAsia="宋体"/>
                      <w:b w:val="0"/>
                      <w:bCs w:val="0"/>
                      <w:color w:val="000000" w:themeColor="text1"/>
                      <w14:textFill>
                        <w14:solidFill>
                          <w14:schemeClr w14:val="tx1"/>
                        </w14:solidFill>
                      </w14:textFill>
                    </w:rPr>
                  </w:pPr>
                  <w:r>
                    <w:rPr>
                      <w:rFonts w:ascii="Times New Roman" w:hAnsi="Times New Roman" w:eastAsia="宋体"/>
                      <w:b w:val="0"/>
                      <w:bCs w:val="0"/>
                      <w:color w:val="000000" w:themeColor="text1"/>
                      <w14:textFill>
                        <w14:solidFill>
                          <w14:schemeClr w14:val="tx1"/>
                        </w14:solidFill>
                      </w14:textFill>
                    </w:rPr>
                    <w:t>标准</w:t>
                  </w:r>
                </w:p>
              </w:tc>
              <w:tc>
                <w:tcPr>
                  <w:tcW w:w="893" w:type="pct"/>
                  <w:tcBorders>
                    <w:top w:val="single" w:color="000000" w:sz="12" w:space="0"/>
                    <w:right w:val="nil"/>
                  </w:tcBorders>
                  <w:shd w:val="clear" w:color="auto" w:fill="FFFFFF"/>
                  <w:noWrap w:val="0"/>
                  <w:vAlign w:val="center"/>
                </w:tcPr>
                <w:p w14:paraId="04EA6E4B">
                  <w:pPr>
                    <w:pStyle w:val="253"/>
                    <w:spacing w:before="0" w:after="0" w:line="240" w:lineRule="auto"/>
                    <w:ind w:right="0" w:firstLine="0" w:firstLineChars="0"/>
                    <w:rPr>
                      <w:rFonts w:ascii="Times New Roman" w:hAnsi="Times New Roman" w:eastAsia="宋体"/>
                      <w:b w:val="0"/>
                      <w:bCs w:val="0"/>
                      <w:color w:val="000000" w:themeColor="text1"/>
                      <w14:textFill>
                        <w14:solidFill>
                          <w14:schemeClr w14:val="tx1"/>
                        </w14:solidFill>
                      </w14:textFill>
                    </w:rPr>
                  </w:pPr>
                  <w:r>
                    <w:rPr>
                      <w:rFonts w:ascii="Times New Roman" w:hAnsi="Times New Roman" w:eastAsia="宋体"/>
                      <w:b w:val="0"/>
                      <w:bCs w:val="0"/>
                      <w:color w:val="000000" w:themeColor="text1"/>
                      <w14:textFill>
                        <w14:solidFill>
                          <w14:schemeClr w14:val="tx1"/>
                        </w14:solidFill>
                      </w14:textFill>
                    </w:rPr>
                    <w:t>限值</w:t>
                  </w:r>
                </w:p>
              </w:tc>
            </w:tr>
            <w:tr w14:paraId="63E0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pct"/>
                  <w:vMerge w:val="restart"/>
                  <w:tcBorders>
                    <w:left w:val="nil"/>
                  </w:tcBorders>
                  <w:shd w:val="clear" w:color="auto" w:fill="FFFFFF"/>
                  <w:noWrap w:val="0"/>
                  <w:vAlign w:val="center"/>
                </w:tcPr>
                <w:p w14:paraId="7B15E279">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生活污水</w:t>
                  </w:r>
                </w:p>
              </w:tc>
              <w:tc>
                <w:tcPr>
                  <w:tcW w:w="979" w:type="pct"/>
                  <w:shd w:val="clear" w:color="auto" w:fill="FFFFFF"/>
                  <w:noWrap w:val="0"/>
                  <w:vAlign w:val="center"/>
                </w:tcPr>
                <w:p w14:paraId="13411A2F">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CODcr</w:t>
                  </w:r>
                </w:p>
              </w:tc>
              <w:tc>
                <w:tcPr>
                  <w:tcW w:w="2315" w:type="pct"/>
                  <w:vMerge w:val="restart"/>
                  <w:shd w:val="clear" w:color="auto" w:fill="FFFFFF"/>
                  <w:noWrap w:val="0"/>
                  <w:vAlign w:val="center"/>
                </w:tcPr>
                <w:p w14:paraId="5734853C">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《污水综合排放标准》（GB8978-1996）表4中的三级标准</w:t>
                  </w:r>
                </w:p>
              </w:tc>
              <w:tc>
                <w:tcPr>
                  <w:tcW w:w="893" w:type="pct"/>
                  <w:tcBorders>
                    <w:right w:val="nil"/>
                  </w:tcBorders>
                  <w:shd w:val="clear" w:color="auto" w:fill="FFFFFF"/>
                  <w:noWrap w:val="0"/>
                  <w:vAlign w:val="center"/>
                </w:tcPr>
                <w:p w14:paraId="1B173DBE">
                  <w:pPr>
                    <w:pStyle w:val="253"/>
                    <w:spacing w:before="0" w:after="0" w:line="240" w:lineRule="auto"/>
                    <w:ind w:right="0" w:firstLine="0" w:firstLineChars="0"/>
                    <w:rPr>
                      <w:rFonts w:hint="default" w:ascii="Times New Roman" w:hAnsi="Times New Roman" w:eastAsia="宋体"/>
                      <w:b w:val="0"/>
                      <w:color w:val="000000" w:themeColor="text1"/>
                      <w:lang w:val="en-US" w:eastAsia="zh-CN"/>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500</w:t>
                  </w:r>
                  <w:r>
                    <w:rPr>
                      <w:rFonts w:hint="eastAsia" w:ascii="Times New Roman" w:hAnsi="Times New Roman" w:eastAsia="宋体"/>
                      <w:b w:val="0"/>
                      <w:color w:val="000000" w:themeColor="text1"/>
                      <w:lang w:val="en-US" w:eastAsia="zh-CN"/>
                      <w14:textFill>
                        <w14:solidFill>
                          <w14:schemeClr w14:val="tx1"/>
                        </w14:solidFill>
                      </w14:textFill>
                    </w:rPr>
                    <w:t>mg/l</w:t>
                  </w:r>
                </w:p>
              </w:tc>
            </w:tr>
            <w:tr w14:paraId="2ECC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pct"/>
                  <w:vMerge w:val="continue"/>
                  <w:tcBorders>
                    <w:left w:val="nil"/>
                  </w:tcBorders>
                  <w:shd w:val="clear" w:color="auto" w:fill="FFFFFF"/>
                  <w:noWrap w:val="0"/>
                  <w:vAlign w:val="center"/>
                </w:tcPr>
                <w:p w14:paraId="7E1FBFD8">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p>
              </w:tc>
              <w:tc>
                <w:tcPr>
                  <w:tcW w:w="979" w:type="pct"/>
                  <w:shd w:val="clear" w:color="auto" w:fill="FFFFFF"/>
                  <w:noWrap w:val="0"/>
                  <w:vAlign w:val="center"/>
                </w:tcPr>
                <w:p w14:paraId="7FF60577">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BOD</w:t>
                  </w:r>
                  <w:r>
                    <w:rPr>
                      <w:rFonts w:ascii="Times New Roman" w:hAnsi="Times New Roman" w:eastAsia="宋体"/>
                      <w:b w:val="0"/>
                      <w:color w:val="000000" w:themeColor="text1"/>
                      <w:vertAlign w:val="subscript"/>
                      <w14:textFill>
                        <w14:solidFill>
                          <w14:schemeClr w14:val="tx1"/>
                        </w14:solidFill>
                      </w14:textFill>
                    </w:rPr>
                    <w:t>5</w:t>
                  </w:r>
                </w:p>
              </w:tc>
              <w:tc>
                <w:tcPr>
                  <w:tcW w:w="2315" w:type="pct"/>
                  <w:vMerge w:val="continue"/>
                  <w:shd w:val="clear" w:color="auto" w:fill="FFFFFF"/>
                  <w:noWrap w:val="0"/>
                  <w:vAlign w:val="center"/>
                </w:tcPr>
                <w:p w14:paraId="6B318579">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p>
              </w:tc>
              <w:tc>
                <w:tcPr>
                  <w:tcW w:w="893" w:type="pct"/>
                  <w:tcBorders>
                    <w:right w:val="nil"/>
                  </w:tcBorders>
                  <w:shd w:val="clear" w:color="auto" w:fill="FFFFFF"/>
                  <w:noWrap w:val="0"/>
                  <w:vAlign w:val="center"/>
                </w:tcPr>
                <w:p w14:paraId="5880E333">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300</w:t>
                  </w:r>
                  <w:r>
                    <w:rPr>
                      <w:rFonts w:hint="eastAsia" w:ascii="Times New Roman" w:hAnsi="Times New Roman" w:eastAsia="宋体"/>
                      <w:b w:val="0"/>
                      <w:color w:val="000000" w:themeColor="text1"/>
                      <w:lang w:val="en-US" w:eastAsia="zh-CN"/>
                      <w14:textFill>
                        <w14:solidFill>
                          <w14:schemeClr w14:val="tx1"/>
                        </w14:solidFill>
                      </w14:textFill>
                    </w:rPr>
                    <w:t>mg/l</w:t>
                  </w:r>
                </w:p>
              </w:tc>
            </w:tr>
            <w:tr w14:paraId="36F8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pct"/>
                  <w:vMerge w:val="continue"/>
                  <w:tcBorders>
                    <w:left w:val="nil"/>
                  </w:tcBorders>
                  <w:shd w:val="clear" w:color="auto" w:fill="FFFFFF"/>
                  <w:noWrap w:val="0"/>
                  <w:vAlign w:val="center"/>
                </w:tcPr>
                <w:p w14:paraId="5DDCA0E5">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p>
              </w:tc>
              <w:tc>
                <w:tcPr>
                  <w:tcW w:w="979" w:type="pct"/>
                  <w:shd w:val="clear" w:color="auto" w:fill="FFFFFF"/>
                  <w:noWrap w:val="0"/>
                  <w:vAlign w:val="center"/>
                </w:tcPr>
                <w:p w14:paraId="456816F7">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NH</w:t>
                  </w:r>
                  <w:r>
                    <w:rPr>
                      <w:rFonts w:ascii="Times New Roman" w:hAnsi="Times New Roman" w:eastAsia="宋体"/>
                      <w:b w:val="0"/>
                      <w:color w:val="000000" w:themeColor="text1"/>
                      <w:vertAlign w:val="subscript"/>
                      <w14:textFill>
                        <w14:solidFill>
                          <w14:schemeClr w14:val="tx1"/>
                        </w14:solidFill>
                      </w14:textFill>
                    </w:rPr>
                    <w:t>3</w:t>
                  </w:r>
                  <w:r>
                    <w:rPr>
                      <w:rFonts w:ascii="Times New Roman" w:hAnsi="Times New Roman" w:eastAsia="宋体"/>
                      <w:b w:val="0"/>
                      <w:color w:val="000000" w:themeColor="text1"/>
                      <w14:textFill>
                        <w14:solidFill>
                          <w14:schemeClr w14:val="tx1"/>
                        </w14:solidFill>
                      </w14:textFill>
                    </w:rPr>
                    <w:t>N</w:t>
                  </w:r>
                </w:p>
              </w:tc>
              <w:tc>
                <w:tcPr>
                  <w:tcW w:w="2315" w:type="pct"/>
                  <w:vMerge w:val="continue"/>
                  <w:shd w:val="clear" w:color="auto" w:fill="FFFFFF"/>
                  <w:noWrap w:val="0"/>
                  <w:vAlign w:val="center"/>
                </w:tcPr>
                <w:p w14:paraId="4E2D7FFA">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p>
              </w:tc>
              <w:tc>
                <w:tcPr>
                  <w:tcW w:w="893" w:type="pct"/>
                  <w:tcBorders>
                    <w:right w:val="nil"/>
                  </w:tcBorders>
                  <w:shd w:val="clear" w:color="auto" w:fill="FFFFFF"/>
                  <w:noWrap w:val="0"/>
                  <w:vAlign w:val="center"/>
                </w:tcPr>
                <w:p w14:paraId="5672B2AC">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w:t>
                  </w:r>
                </w:p>
              </w:tc>
            </w:tr>
            <w:tr w14:paraId="7655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pct"/>
                  <w:vMerge w:val="continue"/>
                  <w:tcBorders>
                    <w:left w:val="nil"/>
                    <w:bottom w:val="single" w:color="000000" w:sz="12" w:space="0"/>
                  </w:tcBorders>
                  <w:shd w:val="clear" w:color="auto" w:fill="FFFFFF"/>
                  <w:noWrap w:val="0"/>
                  <w:vAlign w:val="center"/>
                </w:tcPr>
                <w:p w14:paraId="25634A4D">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p>
              </w:tc>
              <w:tc>
                <w:tcPr>
                  <w:tcW w:w="979" w:type="pct"/>
                  <w:tcBorders>
                    <w:bottom w:val="single" w:color="000000" w:sz="12" w:space="0"/>
                  </w:tcBorders>
                  <w:shd w:val="clear" w:color="auto" w:fill="FFFFFF"/>
                  <w:noWrap w:val="0"/>
                  <w:vAlign w:val="center"/>
                </w:tcPr>
                <w:p w14:paraId="4BC367FB">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SS</w:t>
                  </w:r>
                </w:p>
              </w:tc>
              <w:tc>
                <w:tcPr>
                  <w:tcW w:w="2315" w:type="pct"/>
                  <w:vMerge w:val="continue"/>
                  <w:tcBorders>
                    <w:bottom w:val="single" w:color="000000" w:sz="12" w:space="0"/>
                  </w:tcBorders>
                  <w:shd w:val="clear" w:color="auto" w:fill="FFFFFF"/>
                  <w:noWrap w:val="0"/>
                  <w:vAlign w:val="center"/>
                </w:tcPr>
                <w:p w14:paraId="7CF25741">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p>
              </w:tc>
              <w:tc>
                <w:tcPr>
                  <w:tcW w:w="893" w:type="pct"/>
                  <w:tcBorders>
                    <w:bottom w:val="single" w:color="000000" w:sz="12" w:space="0"/>
                    <w:right w:val="nil"/>
                  </w:tcBorders>
                  <w:shd w:val="clear" w:color="auto" w:fill="FFFFFF"/>
                  <w:noWrap w:val="0"/>
                  <w:vAlign w:val="center"/>
                </w:tcPr>
                <w:p w14:paraId="4E471359">
                  <w:pPr>
                    <w:pStyle w:val="253"/>
                    <w:spacing w:before="0" w:after="0" w:line="240" w:lineRule="auto"/>
                    <w:ind w:right="0" w:firstLine="0" w:firstLineChars="0"/>
                    <w:rPr>
                      <w:rFonts w:ascii="Times New Roman" w:hAnsi="Times New Roman" w:eastAsia="宋体"/>
                      <w:b w:val="0"/>
                      <w:color w:val="000000" w:themeColor="text1"/>
                      <w14:textFill>
                        <w14:solidFill>
                          <w14:schemeClr w14:val="tx1"/>
                        </w14:solidFill>
                      </w14:textFill>
                    </w:rPr>
                  </w:pPr>
                  <w:r>
                    <w:rPr>
                      <w:rFonts w:ascii="Times New Roman" w:hAnsi="Times New Roman" w:eastAsia="宋体"/>
                      <w:b w:val="0"/>
                      <w:color w:val="000000" w:themeColor="text1"/>
                      <w14:textFill>
                        <w14:solidFill>
                          <w14:schemeClr w14:val="tx1"/>
                        </w14:solidFill>
                      </w14:textFill>
                    </w:rPr>
                    <w:t>400</w:t>
                  </w:r>
                  <w:r>
                    <w:rPr>
                      <w:rFonts w:hint="eastAsia" w:ascii="Times New Roman" w:hAnsi="Times New Roman" w:eastAsia="宋体"/>
                      <w:b w:val="0"/>
                      <w:color w:val="000000" w:themeColor="text1"/>
                      <w:lang w:val="en-US" w:eastAsia="zh-CN"/>
                      <w14:textFill>
                        <w14:solidFill>
                          <w14:schemeClr w14:val="tx1"/>
                        </w14:solidFill>
                      </w14:textFill>
                    </w:rPr>
                    <w:t>mg/l</w:t>
                  </w:r>
                </w:p>
              </w:tc>
            </w:tr>
          </w:tbl>
          <w:p w14:paraId="27842DCB">
            <w:pPr>
              <w:pStyle w:val="224"/>
              <w:keepNext w:val="0"/>
              <w:keepLines w:val="0"/>
              <w:pageBreakBefore w:val="0"/>
              <w:widowControl w:val="0"/>
              <w:kinsoku/>
              <w:wordWrap/>
              <w:overflowPunct/>
              <w:topLinePunct w:val="0"/>
              <w:autoSpaceDE/>
              <w:autoSpaceDN/>
              <w:bidi w:val="0"/>
              <w:adjustRightInd/>
              <w:snapToGrid w:val="0"/>
              <w:spacing w:before="0" w:beforeLines="0"/>
              <w:ind w:firstLine="482"/>
              <w:textAlignment w:val="auto"/>
              <w:rPr>
                <w:b/>
                <w:bCs/>
                <w:color w:val="000000" w:themeColor="text1"/>
                <w:kern w:val="2"/>
                <w:sz w:val="24"/>
                <w:szCs w:val="24"/>
                <w14:textFill>
                  <w14:solidFill>
                    <w14:schemeClr w14:val="tx1"/>
                  </w14:solidFill>
                </w14:textFill>
              </w:rPr>
            </w:pPr>
            <w:r>
              <w:rPr>
                <w:rFonts w:hint="eastAsia"/>
                <w:b/>
                <w:bCs/>
                <w:color w:val="000000" w:themeColor="text1"/>
                <w:kern w:val="2"/>
                <w:sz w:val="24"/>
                <w:szCs w:val="24"/>
                <w:lang w:eastAsia="zh-CN"/>
                <w14:textFill>
                  <w14:solidFill>
                    <w14:schemeClr w14:val="tx1"/>
                  </w14:solidFill>
                </w14:textFill>
              </w:rPr>
              <w:t>3.</w:t>
            </w:r>
            <w:r>
              <w:rPr>
                <w:b/>
                <w:bCs/>
                <w:color w:val="000000" w:themeColor="text1"/>
                <w:kern w:val="2"/>
                <w:sz w:val="24"/>
                <w:szCs w:val="24"/>
                <w14:textFill>
                  <w14:solidFill>
                    <w14:schemeClr w14:val="tx1"/>
                  </w14:solidFill>
                </w14:textFill>
              </w:rPr>
              <w:t>噪声排放标准</w:t>
            </w:r>
          </w:p>
          <w:p w14:paraId="14DD894F">
            <w:pPr>
              <w:keepNext w:val="0"/>
              <w:keepLines w:val="0"/>
              <w:pageBreakBefore w:val="0"/>
              <w:widowControl w:val="0"/>
              <w:kinsoku/>
              <w:wordWrap/>
              <w:overflowPunct/>
              <w:topLinePunct w:val="0"/>
              <w:autoSpaceDE/>
              <w:autoSpaceDN/>
              <w:bidi w:val="0"/>
              <w:adjustRightInd/>
              <w:ind w:firstLine="48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（1）施工期</w:t>
            </w:r>
          </w:p>
          <w:p w14:paraId="11E956E5">
            <w:pPr>
              <w:widowControl/>
              <w:ind w:firstLine="480"/>
              <w:jc w:val="left"/>
              <w:rPr>
                <w:color w:val="000000" w:themeColor="text1"/>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施工期噪声执行</w:t>
            </w:r>
            <w:r>
              <w:rPr>
                <w:rFonts w:hint="eastAsia" w:ascii="Times New Roman" w:hAnsi="Times New Roman" w:eastAsia="宋体"/>
                <w:color w:val="000000" w:themeColor="text1"/>
                <w:sz w:val="24"/>
                <w14:textFill>
                  <w14:solidFill>
                    <w14:schemeClr w14:val="tx1"/>
                  </w14:solidFill>
                </w14:textFill>
              </w:rPr>
              <w:t>《建筑施工噪声排放标准》</w:t>
            </w:r>
            <w:r>
              <w:rPr>
                <w:rFonts w:hint="eastAsia"/>
                <w:color w:val="000000" w:themeColor="text1"/>
                <w:sz w:val="24"/>
                <w:lang w:eastAsia="zh-CN"/>
                <w14:textFill>
                  <w14:solidFill>
                    <w14:schemeClr w14:val="tx1"/>
                  </w14:solidFill>
                </w14:textFill>
              </w:rPr>
              <w:t>（</w:t>
            </w:r>
            <w:r>
              <w:rPr>
                <w:rFonts w:hint="eastAsia" w:ascii="Times New Roman" w:hAnsi="Times New Roman" w:eastAsia="宋体"/>
                <w:color w:val="000000" w:themeColor="text1"/>
                <w:sz w:val="24"/>
                <w14:textFill>
                  <w14:solidFill>
                    <w14:schemeClr w14:val="tx1"/>
                  </w14:solidFill>
                </w14:textFill>
              </w:rPr>
              <w:t>GB12523-2025</w:t>
            </w:r>
            <w:r>
              <w:rPr>
                <w:rFonts w:hint="eastAsia"/>
                <w:color w:val="000000" w:themeColor="text1"/>
                <w:sz w:val="24"/>
                <w:lang w:eastAsia="zh-CN"/>
                <w14:textFill>
                  <w14:solidFill>
                    <w14:schemeClr w14:val="tx1"/>
                  </w14:solidFill>
                </w14:textFill>
              </w:rPr>
              <w:t>）</w:t>
            </w:r>
            <w:r>
              <w:rPr>
                <w:rFonts w:hint="eastAsia" w:ascii="宋体" w:hAnsi="宋体" w:cs="宋体"/>
                <w:color w:val="000000" w:themeColor="text1"/>
                <w:kern w:val="0"/>
                <w:lang w:bidi="ar"/>
                <w14:textFill>
                  <w14:solidFill>
                    <w14:schemeClr w14:val="tx1"/>
                  </w14:solidFill>
                </w14:textFill>
              </w:rPr>
              <w:t>标准，详见表</w:t>
            </w:r>
            <w:r>
              <w:rPr>
                <w:rFonts w:hint="eastAsia"/>
                <w:color w:val="000000" w:themeColor="text1"/>
                <w:kern w:val="0"/>
                <w:lang w:bidi="ar"/>
                <w14:textFill>
                  <w14:solidFill>
                    <w14:schemeClr w14:val="tx1"/>
                  </w14:solidFill>
                </w14:textFill>
              </w:rPr>
              <w:t>3-</w:t>
            </w:r>
            <w:r>
              <w:rPr>
                <w:rFonts w:hint="eastAsia"/>
                <w:color w:val="000000" w:themeColor="text1"/>
                <w:kern w:val="0"/>
                <w:lang w:val="en-US" w:eastAsia="zh-CN" w:bidi="ar"/>
                <w14:textFill>
                  <w14:solidFill>
                    <w14:schemeClr w14:val="tx1"/>
                  </w14:solidFill>
                </w14:textFill>
              </w:rPr>
              <w:t>7</w:t>
            </w:r>
            <w:r>
              <w:rPr>
                <w:rFonts w:hint="eastAsia" w:ascii="宋体" w:hAnsi="宋体" w:cs="宋体"/>
                <w:color w:val="000000" w:themeColor="text1"/>
                <w:kern w:val="0"/>
                <w:lang w:bidi="ar"/>
                <w14:textFill>
                  <w14:solidFill>
                    <w14:schemeClr w14:val="tx1"/>
                  </w14:solidFill>
                </w14:textFill>
              </w:rPr>
              <w:t>。</w:t>
            </w:r>
          </w:p>
          <w:p w14:paraId="3FB755B3">
            <w:pPr>
              <w:pStyle w:val="195"/>
              <w:spacing w:line="240" w:lineRule="auto"/>
              <w:rPr>
                <w:rFonts w:ascii="Times New Roman" w:hAnsi="Times New Roman"/>
                <w:color w:val="000000" w:themeColor="text1"/>
                <w:kern w:val="2"/>
                <w:sz w:val="21"/>
                <w:szCs w:val="21"/>
                <w14:textFill>
                  <w14:solidFill>
                    <w14:schemeClr w14:val="tx1"/>
                  </w14:solidFill>
                </w14:textFill>
              </w:rPr>
            </w:pPr>
            <w:r>
              <w:rPr>
                <w:rFonts w:ascii="Times New Roman" w:hAnsi="Times New Roman"/>
                <w:color w:val="000000" w:themeColor="text1"/>
                <w:kern w:val="2"/>
                <w:sz w:val="21"/>
                <w:szCs w:val="21"/>
                <w14:textFill>
                  <w14:solidFill>
                    <w14:schemeClr w14:val="tx1"/>
                  </w14:solidFill>
                </w14:textFill>
              </w:rPr>
              <w:t>表3-</w:t>
            </w:r>
            <w:r>
              <w:rPr>
                <w:rFonts w:hint="eastAsia" w:ascii="Times New Roman" w:hAnsi="Times New Roman"/>
                <w:color w:val="000000" w:themeColor="text1"/>
                <w:kern w:val="2"/>
                <w:sz w:val="21"/>
                <w:szCs w:val="21"/>
                <w:lang w:val="en-US" w:eastAsia="zh-CN"/>
                <w14:textFill>
                  <w14:solidFill>
                    <w14:schemeClr w14:val="tx1"/>
                  </w14:solidFill>
                </w14:textFill>
              </w:rPr>
              <w:t>7</w:t>
            </w:r>
            <w:r>
              <w:rPr>
                <w:rFonts w:ascii="Times New Roman" w:hAnsi="Times New Roman"/>
                <w:color w:val="000000" w:themeColor="text1"/>
                <w:kern w:val="2"/>
                <w:sz w:val="21"/>
                <w:szCs w:val="21"/>
                <w14:textFill>
                  <w14:solidFill>
                    <w14:schemeClr w14:val="tx1"/>
                  </w14:solidFill>
                </w14:textFill>
              </w:rPr>
              <w:t xml:space="preserve"> 《</w:t>
            </w:r>
            <w:r>
              <w:rPr>
                <w:rFonts w:hint="eastAsia" w:ascii="Times New Roman" w:hAnsi="Times New Roman"/>
                <w:color w:val="000000" w:themeColor="text1"/>
                <w:kern w:val="2"/>
                <w:sz w:val="21"/>
                <w:szCs w:val="21"/>
                <w14:textFill>
                  <w14:solidFill>
                    <w14:schemeClr w14:val="tx1"/>
                  </w14:solidFill>
                </w14:textFill>
              </w:rPr>
              <w:t>建筑施工</w:t>
            </w:r>
            <w:r>
              <w:rPr>
                <w:rFonts w:ascii="Times New Roman" w:hAnsi="Times New Roman"/>
                <w:color w:val="000000" w:themeColor="text1"/>
                <w:kern w:val="2"/>
                <w:sz w:val="21"/>
                <w:szCs w:val="21"/>
                <w14:textFill>
                  <w14:solidFill>
                    <w14:schemeClr w14:val="tx1"/>
                  </w14:solidFill>
                </w14:textFill>
              </w:rPr>
              <w:t>噪声排放标准》</w:t>
            </w:r>
            <w:r>
              <w:rPr>
                <w:rFonts w:hint="eastAsia" w:ascii="Times New Roman" w:hAnsi="Times New Roman"/>
                <w:color w:val="000000" w:themeColor="text1"/>
                <w:kern w:val="2"/>
                <w:sz w:val="21"/>
                <w:szCs w:val="21"/>
                <w:lang w:eastAsia="zh-CN"/>
                <w14:textFill>
                  <w14:solidFill>
                    <w14:schemeClr w14:val="tx1"/>
                  </w14:solidFill>
                </w14:textFill>
              </w:rPr>
              <w:t>（</w:t>
            </w:r>
            <w:r>
              <w:rPr>
                <w:rFonts w:ascii="Times New Roman" w:hAnsi="Times New Roman"/>
                <w:color w:val="000000" w:themeColor="text1"/>
                <w:kern w:val="2"/>
                <w:sz w:val="21"/>
                <w:szCs w:val="21"/>
                <w14:textFill>
                  <w14:solidFill>
                    <w14:schemeClr w14:val="tx1"/>
                  </w14:solidFill>
                </w14:textFill>
              </w:rPr>
              <w:t>GB12</w:t>
            </w:r>
            <w:r>
              <w:rPr>
                <w:rFonts w:hint="eastAsia" w:ascii="Times New Roman" w:hAnsi="Times New Roman"/>
                <w:color w:val="000000" w:themeColor="text1"/>
                <w:kern w:val="2"/>
                <w:sz w:val="21"/>
                <w:szCs w:val="21"/>
                <w14:textFill>
                  <w14:solidFill>
                    <w14:schemeClr w14:val="tx1"/>
                  </w14:solidFill>
                </w14:textFill>
              </w:rPr>
              <w:t>523</w:t>
            </w:r>
            <w:r>
              <w:rPr>
                <w:rFonts w:ascii="Times New Roman" w:hAnsi="Times New Roman"/>
                <w:color w:val="000000" w:themeColor="text1"/>
                <w:kern w:val="2"/>
                <w:sz w:val="21"/>
                <w:szCs w:val="21"/>
                <w14:textFill>
                  <w14:solidFill>
                    <w14:schemeClr w14:val="tx1"/>
                  </w14:solidFill>
                </w14:textFill>
              </w:rPr>
              <w:t>-</w:t>
            </w:r>
            <w:r>
              <w:rPr>
                <w:rFonts w:hint="eastAsia" w:ascii="Times New Roman" w:hAnsi="Times New Roman"/>
                <w:color w:val="000000" w:themeColor="text1"/>
                <w:kern w:val="2"/>
                <w:sz w:val="21"/>
                <w:szCs w:val="21"/>
                <w:lang w:val="en-US" w:eastAsia="zh-CN"/>
                <w14:textFill>
                  <w14:solidFill>
                    <w14:schemeClr w14:val="tx1"/>
                  </w14:solidFill>
                </w14:textFill>
              </w:rPr>
              <w:t>2025）</w:t>
            </w:r>
            <w:r>
              <w:rPr>
                <w:rFonts w:ascii="Times New Roman" w:hAnsi="Times New Roman"/>
                <w:color w:val="000000" w:themeColor="text1"/>
                <w:kern w:val="2"/>
                <w:sz w:val="21"/>
                <w:szCs w:val="21"/>
                <w14:textFill>
                  <w14:solidFill>
                    <w14:schemeClr w14:val="tx1"/>
                  </w14:solidFill>
                </w14:textFill>
              </w:rPr>
              <w:t xml:space="preserve">    单位：dB(A)</w:t>
            </w:r>
          </w:p>
          <w:tbl>
            <w:tblPr>
              <w:tblStyle w:val="4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3"/>
              <w:gridCol w:w="4285"/>
            </w:tblGrid>
            <w:tr w14:paraId="7D7F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0" w:type="pct"/>
                  <w:tcBorders>
                    <w:top w:val="single" w:color="000000" w:sz="12" w:space="0"/>
                    <w:left w:val="nil"/>
                    <w:tl2br w:val="nil"/>
                    <w:tr2bl w:val="nil"/>
                  </w:tcBorders>
                  <w:shd w:val="clear" w:color="auto" w:fill="FFFFFF"/>
                  <w:vAlign w:val="center"/>
                </w:tcPr>
                <w:p w14:paraId="775F8AF1">
                  <w:pPr>
                    <w:pStyle w:val="56"/>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center"/>
                    <w:textAlignment w:val="auto"/>
                    <w:rPr>
                      <w:rFonts w:ascii="Times New Roman" w:hAnsi="Times New Roman"/>
                      <w:b w:val="0"/>
                      <w:bCs/>
                      <w:color w:val="000000" w:themeColor="text1"/>
                      <w:sz w:val="21"/>
                      <w:szCs w:val="21"/>
                      <w14:textFill>
                        <w14:solidFill>
                          <w14:schemeClr w14:val="tx1"/>
                        </w14:solidFill>
                      </w14:textFill>
                    </w:rPr>
                  </w:pPr>
                  <w:r>
                    <w:rPr>
                      <w:rFonts w:ascii="Times New Roman" w:hAnsi="Times New Roman"/>
                      <w:b w:val="0"/>
                      <w:bCs/>
                      <w:color w:val="000000" w:themeColor="text1"/>
                      <w:sz w:val="21"/>
                      <w:szCs w:val="21"/>
                      <w14:textFill>
                        <w14:solidFill>
                          <w14:schemeClr w14:val="tx1"/>
                        </w14:solidFill>
                      </w14:textFill>
                    </w:rPr>
                    <w:t>昼间</w:t>
                  </w:r>
                </w:p>
              </w:tc>
              <w:tc>
                <w:tcPr>
                  <w:tcW w:w="2509" w:type="pct"/>
                  <w:tcBorders>
                    <w:top w:val="single" w:color="000000" w:sz="12" w:space="0"/>
                    <w:right w:val="nil"/>
                    <w:tl2br w:val="nil"/>
                    <w:tr2bl w:val="nil"/>
                  </w:tcBorders>
                  <w:shd w:val="clear" w:color="auto" w:fill="FFFFFF"/>
                  <w:vAlign w:val="center"/>
                </w:tcPr>
                <w:p w14:paraId="2762345E">
                  <w:pPr>
                    <w:pStyle w:val="56"/>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center"/>
                    <w:textAlignment w:val="auto"/>
                    <w:rPr>
                      <w:rFonts w:ascii="Times New Roman" w:hAnsi="Times New Roman"/>
                      <w:b w:val="0"/>
                      <w:bCs/>
                      <w:color w:val="000000" w:themeColor="text1"/>
                      <w:sz w:val="21"/>
                      <w:szCs w:val="21"/>
                      <w14:textFill>
                        <w14:solidFill>
                          <w14:schemeClr w14:val="tx1"/>
                        </w14:solidFill>
                      </w14:textFill>
                    </w:rPr>
                  </w:pPr>
                  <w:r>
                    <w:rPr>
                      <w:rFonts w:ascii="Times New Roman" w:hAnsi="Times New Roman"/>
                      <w:b w:val="0"/>
                      <w:bCs/>
                      <w:color w:val="000000" w:themeColor="text1"/>
                      <w:sz w:val="21"/>
                      <w:szCs w:val="21"/>
                      <w14:textFill>
                        <w14:solidFill>
                          <w14:schemeClr w14:val="tx1"/>
                        </w14:solidFill>
                      </w14:textFill>
                    </w:rPr>
                    <w:t>夜间</w:t>
                  </w:r>
                </w:p>
              </w:tc>
            </w:tr>
            <w:tr w14:paraId="53A3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0" w:type="pct"/>
                  <w:tcBorders>
                    <w:left w:val="nil"/>
                    <w:bottom w:val="single" w:color="000000" w:sz="12" w:space="0"/>
                    <w:tl2br w:val="nil"/>
                    <w:tr2bl w:val="nil"/>
                  </w:tcBorders>
                  <w:shd w:val="clear" w:color="auto" w:fill="FFFFFF"/>
                  <w:vAlign w:val="center"/>
                </w:tcPr>
                <w:p w14:paraId="273D18E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b w:val="0"/>
                      <w:color w:val="000000" w:themeColor="text1"/>
                      <w14:textFill>
                        <w14:solidFill>
                          <w14:schemeClr w14:val="tx1"/>
                        </w14:solidFill>
                      </w14:textFill>
                    </w:rPr>
                  </w:pPr>
                  <w:r>
                    <w:rPr>
                      <w:rFonts w:hint="eastAsia"/>
                      <w:b w:val="0"/>
                      <w:color w:val="000000" w:themeColor="text1"/>
                      <w14:textFill>
                        <w14:solidFill>
                          <w14:schemeClr w14:val="tx1"/>
                        </w14:solidFill>
                      </w14:textFill>
                    </w:rPr>
                    <w:t>70</w:t>
                  </w:r>
                </w:p>
              </w:tc>
              <w:tc>
                <w:tcPr>
                  <w:tcW w:w="2509" w:type="pct"/>
                  <w:tcBorders>
                    <w:bottom w:val="single" w:color="000000" w:sz="12" w:space="0"/>
                    <w:right w:val="nil"/>
                    <w:tl2br w:val="nil"/>
                    <w:tr2bl w:val="nil"/>
                  </w:tcBorders>
                  <w:shd w:val="clear" w:color="auto" w:fill="FFFFFF"/>
                  <w:vAlign w:val="center"/>
                </w:tcPr>
                <w:p w14:paraId="6DF10D9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55</w:t>
                  </w:r>
                </w:p>
              </w:tc>
            </w:tr>
          </w:tbl>
          <w:p w14:paraId="7E2F9DAA">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（2）运营期</w:t>
            </w:r>
          </w:p>
          <w:p w14:paraId="03C08D9B">
            <w:pPr>
              <w:ind w:firstLine="480"/>
              <w:rPr>
                <w:color w:val="000000" w:themeColor="text1"/>
                <w14:textFill>
                  <w14:solidFill>
                    <w14:schemeClr w14:val="tx1"/>
                  </w14:solidFill>
                </w14:textFill>
              </w:rPr>
            </w:pPr>
            <w:r>
              <w:rPr>
                <w:color w:val="000000" w:themeColor="text1"/>
                <w14:textFill>
                  <w14:solidFill>
                    <w14:schemeClr w14:val="tx1"/>
                  </w14:solidFill>
                </w14:textFill>
              </w:rPr>
              <w:t>本项目所在地声环境功能区划为</w:t>
            </w: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类区，本项目运行期四周厂界噪声执行《工业企业厂界环境噪声排放标准》</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GB12348-2008</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类标准限值要求，</w:t>
            </w:r>
            <w:r>
              <w:rPr>
                <w:bCs/>
                <w:color w:val="000000" w:themeColor="text1"/>
                <w14:textFill>
                  <w14:solidFill>
                    <w14:schemeClr w14:val="tx1"/>
                  </w14:solidFill>
                </w14:textFill>
              </w:rPr>
              <w:t>具体见表3-</w:t>
            </w:r>
            <w:r>
              <w:rPr>
                <w:rFonts w:hint="eastAsia"/>
                <w:bCs/>
                <w:color w:val="000000" w:themeColor="text1"/>
                <w:lang w:val="en-US" w:eastAsia="zh-CN"/>
                <w14:textFill>
                  <w14:solidFill>
                    <w14:schemeClr w14:val="tx1"/>
                  </w14:solidFill>
                </w14:textFill>
              </w:rPr>
              <w:t>8</w:t>
            </w:r>
            <w:r>
              <w:rPr>
                <w:bCs/>
                <w:color w:val="000000" w:themeColor="text1"/>
                <w14:textFill>
                  <w14:solidFill>
                    <w14:schemeClr w14:val="tx1"/>
                  </w14:solidFill>
                </w14:textFill>
              </w:rPr>
              <w:t>。</w:t>
            </w:r>
          </w:p>
          <w:p w14:paraId="0D0516C1">
            <w:pPr>
              <w:pStyle w:val="195"/>
              <w:spacing w:line="240" w:lineRule="auto"/>
              <w:rPr>
                <w:rFonts w:hint="eastAsia" w:ascii="Times New Roman" w:hAnsi="Times New Roman"/>
                <w:color w:val="000000" w:themeColor="text1"/>
                <w:kern w:val="2"/>
                <w:sz w:val="21"/>
                <w:szCs w:val="21"/>
                <w14:textFill>
                  <w14:solidFill>
                    <w14:schemeClr w14:val="tx1"/>
                  </w14:solidFill>
                </w14:textFill>
              </w:rPr>
            </w:pPr>
            <w:r>
              <w:rPr>
                <w:rFonts w:hint="eastAsia" w:ascii="Times New Roman" w:hAnsi="Times New Roman"/>
                <w:color w:val="000000" w:themeColor="text1"/>
                <w:kern w:val="2"/>
                <w:sz w:val="21"/>
                <w:szCs w:val="21"/>
                <w14:textFill>
                  <w14:solidFill>
                    <w14:schemeClr w14:val="tx1"/>
                  </w14:solidFill>
                </w14:textFill>
              </w:rPr>
              <w:t>表3-</w:t>
            </w:r>
            <w:r>
              <w:rPr>
                <w:rFonts w:hint="eastAsia" w:ascii="Times New Roman" w:hAnsi="Times New Roman"/>
                <w:color w:val="000000" w:themeColor="text1"/>
                <w:kern w:val="2"/>
                <w:sz w:val="21"/>
                <w:szCs w:val="21"/>
                <w:lang w:val="en-US" w:eastAsia="zh-CN"/>
                <w14:textFill>
                  <w14:solidFill>
                    <w14:schemeClr w14:val="tx1"/>
                  </w14:solidFill>
                </w14:textFill>
              </w:rPr>
              <w:t>8</w:t>
            </w:r>
            <w:r>
              <w:rPr>
                <w:rFonts w:hint="eastAsia" w:ascii="Times New Roman" w:hAnsi="Times New Roman"/>
                <w:color w:val="000000" w:themeColor="text1"/>
                <w:kern w:val="2"/>
                <w:sz w:val="21"/>
                <w:szCs w:val="21"/>
                <w14:textFill>
                  <w14:solidFill>
                    <w14:schemeClr w14:val="tx1"/>
                  </w14:solidFill>
                </w14:textFill>
              </w:rPr>
              <w:t xml:space="preserve"> 《工业企业厂界环境噪声排放标准》</w:t>
            </w:r>
            <w:r>
              <w:rPr>
                <w:rFonts w:hint="eastAsia" w:ascii="Times New Roman" w:hAnsi="Times New Roman"/>
                <w:color w:val="000000" w:themeColor="text1"/>
                <w:kern w:val="2"/>
                <w:sz w:val="21"/>
                <w:szCs w:val="21"/>
                <w:lang w:eastAsia="zh-CN"/>
                <w14:textFill>
                  <w14:solidFill>
                    <w14:schemeClr w14:val="tx1"/>
                  </w14:solidFill>
                </w14:textFill>
              </w:rPr>
              <w:t>（</w:t>
            </w:r>
            <w:r>
              <w:rPr>
                <w:rFonts w:hint="eastAsia" w:ascii="Times New Roman" w:hAnsi="Times New Roman"/>
                <w:color w:val="000000" w:themeColor="text1"/>
                <w:kern w:val="2"/>
                <w:sz w:val="21"/>
                <w:szCs w:val="21"/>
                <w14:textFill>
                  <w14:solidFill>
                    <w14:schemeClr w14:val="tx1"/>
                  </w14:solidFill>
                </w14:textFill>
              </w:rPr>
              <w:t>GB12348-2008</w:t>
            </w:r>
            <w:r>
              <w:rPr>
                <w:rFonts w:hint="eastAsia" w:ascii="Times New Roman" w:hAnsi="Times New Roman"/>
                <w:color w:val="000000" w:themeColor="text1"/>
                <w:kern w:val="2"/>
                <w:sz w:val="21"/>
                <w:szCs w:val="21"/>
                <w:lang w:eastAsia="zh-CN"/>
                <w14:textFill>
                  <w14:solidFill>
                    <w14:schemeClr w14:val="tx1"/>
                  </w14:solidFill>
                </w14:textFill>
              </w:rPr>
              <w:t>）</w:t>
            </w:r>
            <w:r>
              <w:rPr>
                <w:rFonts w:hint="eastAsia" w:ascii="Times New Roman" w:hAnsi="Times New Roman"/>
                <w:color w:val="000000" w:themeColor="text1"/>
                <w:kern w:val="2"/>
                <w:sz w:val="21"/>
                <w:szCs w:val="21"/>
                <w14:textFill>
                  <w14:solidFill>
                    <w14:schemeClr w14:val="tx1"/>
                  </w14:solidFill>
                </w14:textFill>
              </w:rPr>
              <w:t xml:space="preserve">    单位：dB(A)</w:t>
            </w:r>
          </w:p>
          <w:tbl>
            <w:tblPr>
              <w:tblStyle w:val="4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8"/>
              <w:gridCol w:w="2646"/>
              <w:gridCol w:w="2664"/>
            </w:tblGrid>
            <w:tr w14:paraId="3F73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90" w:type="pct"/>
                  <w:vMerge w:val="restart"/>
                  <w:tcBorders>
                    <w:top w:val="single" w:color="000000" w:sz="12" w:space="0"/>
                    <w:left w:val="nil"/>
                    <w:tl2br w:val="nil"/>
                    <w:tr2bl w:val="nil"/>
                  </w:tcBorders>
                  <w:shd w:val="clear" w:color="auto" w:fill="FFFFFF"/>
                  <w:vAlign w:val="center"/>
                </w:tcPr>
                <w:p w14:paraId="17469A5F">
                  <w:pPr>
                    <w:pStyle w:val="56"/>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center"/>
                    <w:textAlignment w:val="auto"/>
                    <w:rPr>
                      <w:rFonts w:ascii="Times New Roman" w:hAnsi="Times New Roman"/>
                      <w:b w:val="0"/>
                      <w:bCs/>
                      <w:color w:val="000000" w:themeColor="text1"/>
                      <w:sz w:val="21"/>
                      <w:szCs w:val="21"/>
                      <w14:textFill>
                        <w14:solidFill>
                          <w14:schemeClr w14:val="tx1"/>
                        </w14:solidFill>
                      </w14:textFill>
                    </w:rPr>
                  </w:pPr>
                  <w:r>
                    <w:rPr>
                      <w:rFonts w:ascii="Times New Roman" w:hAnsi="Times New Roman"/>
                      <w:b w:val="0"/>
                      <w:bCs/>
                      <w:color w:val="000000" w:themeColor="text1"/>
                      <w:sz w:val="21"/>
                      <w:szCs w:val="21"/>
                      <w14:textFill>
                        <w14:solidFill>
                          <w14:schemeClr w14:val="tx1"/>
                        </w14:solidFill>
                      </w14:textFill>
                    </w:rPr>
                    <w:t>标准类别</w:t>
                  </w:r>
                </w:p>
              </w:tc>
              <w:tc>
                <w:tcPr>
                  <w:tcW w:w="3109" w:type="pct"/>
                  <w:gridSpan w:val="2"/>
                  <w:tcBorders>
                    <w:top w:val="single" w:color="000000" w:sz="12" w:space="0"/>
                    <w:right w:val="nil"/>
                    <w:tl2br w:val="nil"/>
                    <w:tr2bl w:val="nil"/>
                  </w:tcBorders>
                  <w:shd w:val="clear" w:color="auto" w:fill="FFFFFF"/>
                  <w:vAlign w:val="center"/>
                </w:tcPr>
                <w:p w14:paraId="0A9CE118">
                  <w:pPr>
                    <w:pStyle w:val="56"/>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center"/>
                    <w:textAlignment w:val="auto"/>
                    <w:rPr>
                      <w:rFonts w:ascii="Times New Roman" w:hAnsi="Times New Roman"/>
                      <w:b w:val="0"/>
                      <w:bCs/>
                      <w:color w:val="000000" w:themeColor="text1"/>
                      <w:sz w:val="21"/>
                      <w:szCs w:val="21"/>
                      <w14:textFill>
                        <w14:solidFill>
                          <w14:schemeClr w14:val="tx1"/>
                        </w14:solidFill>
                      </w14:textFill>
                    </w:rPr>
                  </w:pPr>
                  <w:r>
                    <w:rPr>
                      <w:rFonts w:ascii="Times New Roman" w:hAnsi="Times New Roman"/>
                      <w:b w:val="0"/>
                      <w:bCs/>
                      <w:color w:val="000000" w:themeColor="text1"/>
                      <w:sz w:val="21"/>
                      <w:szCs w:val="21"/>
                      <w14:textFill>
                        <w14:solidFill>
                          <w14:schemeClr w14:val="tx1"/>
                        </w14:solidFill>
                      </w14:textFill>
                    </w:rPr>
                    <w:t>等效声级Leq(A)</w:t>
                  </w:r>
                </w:p>
              </w:tc>
            </w:tr>
            <w:tr w14:paraId="58B9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90" w:type="pct"/>
                  <w:vMerge w:val="continue"/>
                  <w:tcBorders>
                    <w:left w:val="nil"/>
                    <w:tl2br w:val="nil"/>
                    <w:tr2bl w:val="nil"/>
                  </w:tcBorders>
                  <w:shd w:val="clear" w:color="auto" w:fill="FFFFFF"/>
                  <w:vAlign w:val="center"/>
                </w:tcPr>
                <w:p w14:paraId="5F4FCED4">
                  <w:pPr>
                    <w:pStyle w:val="56"/>
                    <w:keepNext w:val="0"/>
                    <w:keepLines w:val="0"/>
                    <w:pageBreakBefore w:val="0"/>
                    <w:widowControl w:val="0"/>
                    <w:kinsoku/>
                    <w:wordWrap/>
                    <w:overflowPunct/>
                    <w:topLinePunct w:val="0"/>
                    <w:autoSpaceDE/>
                    <w:autoSpaceDN/>
                    <w:bidi w:val="0"/>
                    <w:adjustRightInd w:val="0"/>
                    <w:spacing w:line="300" w:lineRule="exact"/>
                    <w:ind w:firstLine="422"/>
                    <w:jc w:val="center"/>
                    <w:textAlignment w:val="auto"/>
                    <w:rPr>
                      <w:rFonts w:ascii="Times New Roman" w:hAnsi="Times New Roman"/>
                      <w:b w:val="0"/>
                      <w:bCs/>
                      <w:color w:val="000000" w:themeColor="text1"/>
                      <w:sz w:val="21"/>
                      <w:szCs w:val="21"/>
                      <w14:textFill>
                        <w14:solidFill>
                          <w14:schemeClr w14:val="tx1"/>
                        </w14:solidFill>
                      </w14:textFill>
                    </w:rPr>
                  </w:pPr>
                </w:p>
              </w:tc>
              <w:tc>
                <w:tcPr>
                  <w:tcW w:w="1549" w:type="pct"/>
                  <w:tcBorders>
                    <w:tl2br w:val="nil"/>
                    <w:tr2bl w:val="nil"/>
                  </w:tcBorders>
                  <w:shd w:val="clear" w:color="auto" w:fill="FFFFFF"/>
                  <w:vAlign w:val="center"/>
                </w:tcPr>
                <w:p w14:paraId="13BE8B1D">
                  <w:pPr>
                    <w:pStyle w:val="56"/>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center"/>
                    <w:textAlignment w:val="auto"/>
                    <w:rPr>
                      <w:rFonts w:ascii="Times New Roman" w:hAnsi="Times New Roman"/>
                      <w:b w:val="0"/>
                      <w:bCs/>
                      <w:color w:val="000000" w:themeColor="text1"/>
                      <w:sz w:val="21"/>
                      <w:szCs w:val="21"/>
                      <w14:textFill>
                        <w14:solidFill>
                          <w14:schemeClr w14:val="tx1"/>
                        </w14:solidFill>
                      </w14:textFill>
                    </w:rPr>
                  </w:pPr>
                  <w:r>
                    <w:rPr>
                      <w:rFonts w:ascii="Times New Roman" w:hAnsi="Times New Roman"/>
                      <w:b w:val="0"/>
                      <w:bCs/>
                      <w:color w:val="000000" w:themeColor="text1"/>
                      <w:sz w:val="21"/>
                      <w:szCs w:val="21"/>
                      <w14:textFill>
                        <w14:solidFill>
                          <w14:schemeClr w14:val="tx1"/>
                        </w14:solidFill>
                      </w14:textFill>
                    </w:rPr>
                    <w:t>昼间</w:t>
                  </w:r>
                </w:p>
              </w:tc>
              <w:tc>
                <w:tcPr>
                  <w:tcW w:w="1560" w:type="pct"/>
                  <w:tcBorders>
                    <w:right w:val="nil"/>
                    <w:tl2br w:val="nil"/>
                    <w:tr2bl w:val="nil"/>
                  </w:tcBorders>
                  <w:shd w:val="clear" w:color="auto" w:fill="FFFFFF"/>
                  <w:vAlign w:val="center"/>
                </w:tcPr>
                <w:p w14:paraId="0FEB80D3">
                  <w:pPr>
                    <w:pStyle w:val="56"/>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center"/>
                    <w:textAlignment w:val="auto"/>
                    <w:rPr>
                      <w:rFonts w:ascii="Times New Roman" w:hAnsi="Times New Roman"/>
                      <w:b w:val="0"/>
                      <w:bCs/>
                      <w:color w:val="000000" w:themeColor="text1"/>
                      <w:sz w:val="21"/>
                      <w:szCs w:val="21"/>
                      <w14:textFill>
                        <w14:solidFill>
                          <w14:schemeClr w14:val="tx1"/>
                        </w14:solidFill>
                      </w14:textFill>
                    </w:rPr>
                  </w:pPr>
                  <w:r>
                    <w:rPr>
                      <w:rFonts w:ascii="Times New Roman" w:hAnsi="Times New Roman"/>
                      <w:b w:val="0"/>
                      <w:bCs/>
                      <w:color w:val="000000" w:themeColor="text1"/>
                      <w:sz w:val="21"/>
                      <w:szCs w:val="21"/>
                      <w14:textFill>
                        <w14:solidFill>
                          <w14:schemeClr w14:val="tx1"/>
                        </w14:solidFill>
                      </w14:textFill>
                    </w:rPr>
                    <w:t>夜间</w:t>
                  </w:r>
                </w:p>
              </w:tc>
            </w:tr>
            <w:tr w14:paraId="5D38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90" w:type="pct"/>
                  <w:tcBorders>
                    <w:left w:val="nil"/>
                    <w:bottom w:val="single" w:color="000000" w:sz="12" w:space="0"/>
                    <w:tl2br w:val="nil"/>
                    <w:tr2bl w:val="nil"/>
                  </w:tcBorders>
                  <w:shd w:val="clear" w:color="auto" w:fill="FFFFFF"/>
                  <w:vAlign w:val="center"/>
                </w:tcPr>
                <w:p w14:paraId="6C3AA819">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b w:val="0"/>
                      <w:color w:val="000000" w:themeColor="text1"/>
                      <w14:textFill>
                        <w14:solidFill>
                          <w14:schemeClr w14:val="tx1"/>
                        </w14:solidFill>
                      </w14:textFill>
                    </w:rPr>
                  </w:pPr>
                  <w:r>
                    <w:rPr>
                      <w:rFonts w:hint="eastAsia"/>
                      <w:b w:val="0"/>
                      <w:color w:val="000000" w:themeColor="text1"/>
                      <w:lang w:val="en-US" w:eastAsia="zh-CN"/>
                      <w14:textFill>
                        <w14:solidFill>
                          <w14:schemeClr w14:val="tx1"/>
                        </w14:solidFill>
                      </w14:textFill>
                    </w:rPr>
                    <w:t>2</w:t>
                  </w:r>
                  <w:r>
                    <w:rPr>
                      <w:b w:val="0"/>
                      <w:color w:val="000000" w:themeColor="text1"/>
                      <w14:textFill>
                        <w14:solidFill>
                          <w14:schemeClr w14:val="tx1"/>
                        </w14:solidFill>
                      </w14:textFill>
                    </w:rPr>
                    <w:t>类（东、西、南、北侧）</w:t>
                  </w:r>
                </w:p>
              </w:tc>
              <w:tc>
                <w:tcPr>
                  <w:tcW w:w="1549" w:type="pct"/>
                  <w:tcBorders>
                    <w:bottom w:val="single" w:color="000000" w:sz="12" w:space="0"/>
                    <w:tl2br w:val="nil"/>
                    <w:tr2bl w:val="nil"/>
                  </w:tcBorders>
                  <w:shd w:val="clear" w:color="auto" w:fill="FFFFFF"/>
                  <w:vAlign w:val="center"/>
                </w:tcPr>
                <w:p w14:paraId="214FAF1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eastAsia="宋体"/>
                      <w:b w:val="0"/>
                      <w:color w:val="000000" w:themeColor="text1"/>
                      <w:lang w:val="en-US" w:eastAsia="zh-CN"/>
                      <w14:textFill>
                        <w14:solidFill>
                          <w14:schemeClr w14:val="tx1"/>
                        </w14:solidFill>
                      </w14:textFill>
                    </w:rPr>
                  </w:pPr>
                  <w:r>
                    <w:rPr>
                      <w:rFonts w:hint="eastAsia"/>
                      <w:b w:val="0"/>
                      <w:color w:val="000000" w:themeColor="text1"/>
                      <w:lang w:val="en-US" w:eastAsia="zh-CN"/>
                      <w14:textFill>
                        <w14:solidFill>
                          <w14:schemeClr w14:val="tx1"/>
                        </w14:solidFill>
                      </w14:textFill>
                    </w:rPr>
                    <w:t>60</w:t>
                  </w:r>
                </w:p>
              </w:tc>
              <w:tc>
                <w:tcPr>
                  <w:tcW w:w="1560" w:type="pct"/>
                  <w:tcBorders>
                    <w:bottom w:val="single" w:color="000000" w:sz="12" w:space="0"/>
                    <w:right w:val="nil"/>
                    <w:tl2br w:val="nil"/>
                    <w:tr2bl w:val="nil"/>
                  </w:tcBorders>
                  <w:shd w:val="clear" w:color="auto" w:fill="FFFFFF"/>
                  <w:vAlign w:val="center"/>
                </w:tcPr>
                <w:p w14:paraId="08FC96F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eastAsia="宋体"/>
                      <w:b w:val="0"/>
                      <w:color w:val="000000" w:themeColor="text1"/>
                      <w:lang w:eastAsia="zh-CN"/>
                      <w14:textFill>
                        <w14:solidFill>
                          <w14:schemeClr w14:val="tx1"/>
                        </w14:solidFill>
                      </w14:textFill>
                    </w:rPr>
                  </w:pPr>
                  <w:r>
                    <w:rPr>
                      <w:b w:val="0"/>
                      <w:color w:val="000000" w:themeColor="text1"/>
                      <w14:textFill>
                        <w14:solidFill>
                          <w14:schemeClr w14:val="tx1"/>
                        </w14:solidFill>
                      </w14:textFill>
                    </w:rPr>
                    <w:t>5</w:t>
                  </w:r>
                  <w:r>
                    <w:rPr>
                      <w:rFonts w:hint="eastAsia"/>
                      <w:b w:val="0"/>
                      <w:color w:val="000000" w:themeColor="text1"/>
                      <w:lang w:val="en-US" w:eastAsia="zh-CN"/>
                      <w14:textFill>
                        <w14:solidFill>
                          <w14:schemeClr w14:val="tx1"/>
                        </w14:solidFill>
                      </w14:textFill>
                    </w:rPr>
                    <w:t>0</w:t>
                  </w:r>
                </w:p>
              </w:tc>
            </w:tr>
          </w:tbl>
          <w:p w14:paraId="7454A41B">
            <w:pPr>
              <w:ind w:firstLine="482"/>
              <w:rPr>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4.</w:t>
            </w:r>
            <w:r>
              <w:rPr>
                <w:b/>
                <w:bCs/>
                <w:color w:val="000000" w:themeColor="text1"/>
                <w14:textFill>
                  <w14:solidFill>
                    <w14:schemeClr w14:val="tx1"/>
                  </w14:solidFill>
                </w14:textFill>
              </w:rPr>
              <w:t>固体废物</w:t>
            </w:r>
          </w:p>
          <w:p w14:paraId="6E28A4CE">
            <w:pPr>
              <w:pStyle w:val="19"/>
              <w:snapToGrid w:val="0"/>
              <w:spacing w:after="0"/>
              <w:ind w:left="0" w:leftChars="0" w:firstLine="480"/>
              <w:rPr>
                <w:color w:val="000000" w:themeColor="text1"/>
                <w:szCs w:val="24"/>
                <w14:textFill>
                  <w14:solidFill>
                    <w14:schemeClr w14:val="tx1"/>
                  </w14:solidFill>
                </w14:textFill>
              </w:rPr>
            </w:pPr>
            <w:r>
              <w:rPr>
                <w:color w:val="000000" w:themeColor="text1"/>
                <w:szCs w:val="24"/>
                <w14:textFill>
                  <w14:solidFill>
                    <w14:schemeClr w14:val="tx1"/>
                  </w14:solidFill>
                </w14:textFill>
              </w:rPr>
              <w:t>（1）</w:t>
            </w:r>
            <w:r>
              <w:rPr>
                <w:rFonts w:hint="eastAsia"/>
                <w:color w:val="000000" w:themeColor="text1"/>
                <w:szCs w:val="24"/>
                <w14:textFill>
                  <w14:solidFill>
                    <w14:schemeClr w14:val="tx1"/>
                  </w14:solidFill>
                </w14:textFill>
              </w:rPr>
              <w:t>本项目</w:t>
            </w:r>
            <w:r>
              <w:rPr>
                <w:color w:val="000000" w:themeColor="text1"/>
                <w:szCs w:val="24"/>
                <w14:textFill>
                  <w14:solidFill>
                    <w14:schemeClr w14:val="tx1"/>
                  </w14:solidFill>
                </w14:textFill>
              </w:rPr>
              <w:t>一般工业固体废物</w:t>
            </w:r>
            <w:r>
              <w:rPr>
                <w:rFonts w:hint="eastAsia"/>
                <w:color w:val="000000" w:themeColor="text1"/>
                <w:szCs w:val="24"/>
                <w14:textFill>
                  <w14:solidFill>
                    <w14:schemeClr w14:val="tx1"/>
                  </w14:solidFill>
                </w14:textFill>
              </w:rPr>
              <w:t>的处理、处置应满足</w:t>
            </w:r>
            <w:r>
              <w:rPr>
                <w:rFonts w:ascii="Helvetica" w:hAnsi="Helvetica" w:eastAsia="Helvetica" w:cs="Helvetica"/>
                <w:i w:val="0"/>
                <w:iCs w:val="0"/>
                <w:caps w:val="0"/>
                <w:color w:val="000000" w:themeColor="text1"/>
                <w:spacing w:val="0"/>
                <w:sz w:val="24"/>
                <w:szCs w:val="24"/>
                <w:shd w:val="clear" w:fill="FFFFFF"/>
                <w14:textFill>
                  <w14:solidFill>
                    <w14:schemeClr w14:val="tx1"/>
                  </w14:solidFill>
                </w14:textFill>
              </w:rPr>
              <w:t>《中华人民共和国固体废物污染环境防治法》</w:t>
            </w:r>
            <w:r>
              <w:rPr>
                <w:rFonts w:hint="eastAsia"/>
                <w:color w:val="000000" w:themeColor="text1"/>
                <w:szCs w:val="24"/>
                <w14:textFill>
                  <w14:solidFill>
                    <w14:schemeClr w14:val="tx1"/>
                  </w14:solidFill>
                </w14:textFill>
              </w:rPr>
              <w:t>的要求，妥善处置，不得形成二次污染</w:t>
            </w:r>
            <w:r>
              <w:rPr>
                <w:color w:val="000000" w:themeColor="text1"/>
                <w:szCs w:val="24"/>
                <w14:textFill>
                  <w14:solidFill>
                    <w14:schemeClr w14:val="tx1"/>
                  </w14:solidFill>
                </w14:textFill>
              </w:rPr>
              <w:t>。</w:t>
            </w:r>
            <w:r>
              <w:rPr>
                <w:rFonts w:hint="eastAsia"/>
                <w:color w:val="000000" w:themeColor="text1"/>
                <w:szCs w:val="24"/>
                <w14:textFill>
                  <w14:solidFill>
                    <w14:schemeClr w14:val="tx1"/>
                  </w14:solidFill>
                </w14:textFill>
              </w:rPr>
              <w:t>一般工业固体废物采用库房、包装工具贮存，其贮存过程应满足相应防渗漏、防雨淋、防扬尘等环境保护要求。</w:t>
            </w:r>
          </w:p>
          <w:p w14:paraId="28475C90">
            <w:pPr>
              <w:pStyle w:val="19"/>
              <w:snapToGrid w:val="0"/>
              <w:spacing w:after="0"/>
              <w:ind w:left="0" w:leftChars="0" w:firstLine="480"/>
              <w:rPr>
                <w:color w:val="000000" w:themeColor="text1"/>
                <w:szCs w:val="24"/>
                <w14:textFill>
                  <w14:solidFill>
                    <w14:schemeClr w14:val="tx1"/>
                  </w14:solidFill>
                </w14:textFill>
              </w:rPr>
            </w:pPr>
            <w:r>
              <w:rPr>
                <w:color w:val="000000" w:themeColor="text1"/>
                <w:szCs w:val="24"/>
                <w14:textFill>
                  <w14:solidFill>
                    <w14:schemeClr w14:val="tx1"/>
                  </w14:solidFill>
                </w14:textFill>
              </w:rPr>
              <w:t>（2）危险废物执行《危险废物贮存污染控制标准》（GB18597-2023）。</w:t>
            </w:r>
          </w:p>
        </w:tc>
      </w:tr>
      <w:tr w14:paraId="62F3C9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532" w:type="dxa"/>
            <w:tcBorders>
              <w:tl2br w:val="nil"/>
              <w:tr2bl w:val="nil"/>
            </w:tcBorders>
            <w:vAlign w:val="center"/>
          </w:tcPr>
          <w:p w14:paraId="01D10A67">
            <w:pPr>
              <w:adjustRightInd w:val="0"/>
              <w:snapToGrid w:val="0"/>
              <w:ind w:firstLine="0" w:firstLineChars="0"/>
              <w:rPr>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总量控制指标</w:t>
            </w:r>
          </w:p>
        </w:tc>
        <w:tc>
          <w:tcPr>
            <w:tcW w:w="8766" w:type="dxa"/>
            <w:tcBorders>
              <w:tl2br w:val="nil"/>
              <w:tr2bl w:val="nil"/>
            </w:tcBorders>
            <w:vAlign w:val="center"/>
          </w:tcPr>
          <w:p w14:paraId="4B88B7DB">
            <w:pPr>
              <w:keepNext w:val="0"/>
              <w:keepLines w:val="0"/>
              <w:pageBreakBefore w:val="0"/>
              <w:widowControl/>
              <w:kinsoku/>
              <w:wordWrap/>
              <w:overflowPunct/>
              <w:topLinePunct w:val="0"/>
              <w:autoSpaceDE/>
              <w:autoSpaceDN/>
              <w:bidi w:val="0"/>
              <w:spacing w:line="360" w:lineRule="auto"/>
              <w:ind w:firstLine="480"/>
              <w:jc w:val="left"/>
              <w:textAlignment w:val="auto"/>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1.</w:t>
            </w:r>
            <w:r>
              <w:rPr>
                <w:color w:val="000000" w:themeColor="text1"/>
                <w14:textFill>
                  <w14:solidFill>
                    <w14:schemeClr w14:val="tx1"/>
                  </w14:solidFill>
                </w14:textFill>
              </w:rPr>
              <w:t>总量控制原则</w:t>
            </w:r>
          </w:p>
          <w:p w14:paraId="1BBE02B6">
            <w:pPr>
              <w:keepNext w:val="0"/>
              <w:keepLines w:val="0"/>
              <w:pageBreakBefore w:val="0"/>
              <w:widowControl/>
              <w:kinsoku/>
              <w:wordWrap w:val="0"/>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根据《建设项目主要污染物排放总量指标审核及管理暂行办法》中细颗粒物</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PM</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eastAsia" w:cs="Times New Roman"/>
                <w:color w:val="000000" w:themeColor="text1"/>
                <w:vertAlign w:val="subscript"/>
                <w:lang w:val="en-US" w:eastAsia="zh-CN"/>
                <w14:textFill>
                  <w14:solidFill>
                    <w14:schemeClr w14:val="tx1"/>
                  </w14:solidFill>
                </w14:textFill>
              </w:rPr>
              <w:t>5</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年平均浓度不达标的城市，二氧化硫、氮氧化物、烟粉尘、挥发性有机物四项污染物均需进行2倍削减替代</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燃煤发电机组大气污染物排放浓度基本达到燃气轮机组排放限值的除外</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按照《“十五五”污染减排工作方案编制技术指南》相关规定</w:t>
            </w:r>
            <w:r>
              <w:rPr>
                <w:rFonts w:hint="eastAsia" w:cs="Times New Roman"/>
                <w:color w:val="000000" w:themeColor="text1"/>
                <w:lang w:eastAsia="zh-CN"/>
                <w14:textFill>
                  <w14:solidFill>
                    <w14:schemeClr w14:val="tx1"/>
                  </w14:solidFill>
                </w14:textFill>
              </w:rPr>
              <w:t>：</w:t>
            </w:r>
          </w:p>
          <w:p w14:paraId="790849D5">
            <w:pPr>
              <w:keepNext w:val="0"/>
              <w:keepLines w:val="0"/>
              <w:pageBreakBefore w:val="0"/>
              <w:widowControl/>
              <w:kinsoku/>
              <w:wordWrap w:val="0"/>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主要大气污染物</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全国层面对氮氧化物</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NOx</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和挥发性有机物</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VOCs</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实施排放总量控制。</w:t>
            </w:r>
          </w:p>
          <w:p w14:paraId="08CFCD89">
            <w:pPr>
              <w:keepNext w:val="0"/>
              <w:keepLines w:val="0"/>
              <w:pageBreakBefore w:val="0"/>
              <w:widowControl/>
              <w:kinsoku/>
              <w:wordWrap w:val="0"/>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主要水污染物</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全国层面对COD和总磷实施排放总量控制。</w:t>
            </w:r>
          </w:p>
          <w:p w14:paraId="57022D5E">
            <w:pPr>
              <w:keepNext w:val="0"/>
              <w:keepLines w:val="0"/>
              <w:pageBreakBefore w:val="0"/>
              <w:widowControl/>
              <w:kinsoku/>
              <w:wordWrap w:val="0"/>
              <w:overflowPunct/>
              <w:topLinePunct w:val="0"/>
              <w:autoSpaceDE/>
              <w:autoSpaceDN/>
              <w:bidi w:val="0"/>
              <w:adjustRightInd/>
              <w:snapToGrid/>
              <w:spacing w:line="360" w:lineRule="auto"/>
              <w:ind w:firstLine="480"/>
              <w:jc w:val="both"/>
              <w:textAlignment w:val="auto"/>
              <w:rPr>
                <w:rFonts w:hint="default" w:ascii="Times New Roman" w:hAnsi="Times New Roman" w:cs="Times New Roman"/>
                <w:color w:val="000000" w:themeColor="text1"/>
                <w:highlight w:val="none"/>
                <w:lang w:val="en-US"/>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根据本项目实际情况，</w:t>
            </w:r>
            <w:r>
              <w:rPr>
                <w:rFonts w:hint="default" w:ascii="Times New Roman" w:hAnsi="Times New Roman" w:cs="Times New Roman"/>
                <w:color w:val="000000" w:themeColor="text1"/>
                <w:lang w:val="en-US" w:eastAsia="zh-CN"/>
                <w14:textFill>
                  <w14:solidFill>
                    <w14:schemeClr w14:val="tx1"/>
                  </w14:solidFill>
                </w14:textFill>
              </w:rPr>
              <w:t>本</w:t>
            </w:r>
            <w:r>
              <w:rPr>
                <w:rFonts w:hint="default" w:ascii="Times New Roman" w:hAnsi="Times New Roman" w:cs="Times New Roman"/>
                <w:color w:val="000000" w:themeColor="text1"/>
                <w14:textFill>
                  <w14:solidFill>
                    <w14:schemeClr w14:val="tx1"/>
                  </w14:solidFill>
                </w14:textFill>
              </w:rPr>
              <w:t>项目总量控制指标为：废气：</w:t>
            </w:r>
            <w:r>
              <w:rPr>
                <w:rFonts w:hint="default" w:ascii="Times New Roman" w:hAnsi="Times New Roman" w:cs="Times New Roman"/>
                <w:color w:val="000000" w:themeColor="text1"/>
                <w:highlight w:val="none"/>
                <w:lang w:val="en-US" w:eastAsia="zh-CN"/>
                <w14:textFill>
                  <w14:solidFill>
                    <w14:schemeClr w14:val="tx1"/>
                  </w14:solidFill>
                </w14:textFill>
              </w:rPr>
              <w:t>颗粒物。</w:t>
            </w:r>
          </w:p>
          <w:p w14:paraId="5EAB9E21">
            <w:pPr>
              <w:keepNext w:val="0"/>
              <w:keepLines w:val="0"/>
              <w:pageBreakBefore w:val="0"/>
              <w:widowControl/>
              <w:kinsoku/>
              <w:wordWrap w:val="0"/>
              <w:overflowPunct/>
              <w:topLinePunct w:val="0"/>
              <w:autoSpaceDE/>
              <w:autoSpaceDN/>
              <w:bidi w:val="0"/>
              <w:adjustRightInd/>
              <w:snapToGrid/>
              <w:spacing w:line="360" w:lineRule="auto"/>
              <w:ind w:firstLine="480"/>
              <w:jc w:val="both"/>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根据核算，本项目</w:t>
            </w:r>
            <w:r>
              <w:rPr>
                <w:rFonts w:hint="default" w:ascii="Times New Roman" w:hAnsi="Times New Roman" w:cs="Times New Roman"/>
                <w:color w:val="000000" w:themeColor="text1"/>
                <w:sz w:val="24"/>
                <w:lang w:val="en-US" w:eastAsia="zh-CN"/>
                <w14:textFill>
                  <w14:solidFill>
                    <w14:schemeClr w14:val="tx1"/>
                  </w14:solidFill>
                </w14:textFill>
              </w:rPr>
              <w:t>颗粒物</w:t>
            </w:r>
            <w:r>
              <w:rPr>
                <w:rFonts w:hint="default" w:ascii="Times New Roman" w:hAnsi="Times New Roman" w:eastAsia="宋体" w:cs="Times New Roman"/>
                <w:color w:val="000000" w:themeColor="text1"/>
                <w:sz w:val="24"/>
                <w14:textFill>
                  <w14:solidFill>
                    <w14:schemeClr w14:val="tx1"/>
                  </w14:solidFill>
                </w14:textFill>
              </w:rPr>
              <w:t>排放量为</w:t>
            </w:r>
            <w:r>
              <w:rPr>
                <w:rFonts w:hint="default" w:ascii="Times New Roman" w:hAnsi="Times New Roman" w:cs="Times New Roman"/>
                <w:color w:val="000000" w:themeColor="text1"/>
                <w:sz w:val="24"/>
                <w:highlight w:val="none"/>
                <w:lang w:val="en-US" w:eastAsia="zh-CN"/>
                <w14:textFill>
                  <w14:solidFill>
                    <w14:schemeClr w14:val="tx1"/>
                  </w14:solidFill>
                </w14:textFill>
              </w:rPr>
              <w:t>0.22</w:t>
            </w:r>
            <w:r>
              <w:rPr>
                <w:rFonts w:hint="default" w:ascii="Times New Roman" w:hAnsi="Times New Roman" w:eastAsia="宋体" w:cs="Times New Roman"/>
                <w:color w:val="000000" w:themeColor="text1"/>
                <w:sz w:val="24"/>
                <w14:textFill>
                  <w14:solidFill>
                    <w14:schemeClr w14:val="tx1"/>
                  </w14:solidFill>
                </w14:textFill>
              </w:rPr>
              <w:t>吨/年，需倍量消减：</w:t>
            </w:r>
            <w:r>
              <w:rPr>
                <w:rFonts w:hint="default" w:ascii="Times New Roman" w:hAnsi="Times New Roman" w:cs="Times New Roman"/>
                <w:color w:val="000000" w:themeColor="text1"/>
                <w:sz w:val="24"/>
                <w:lang w:val="en-US" w:eastAsia="zh-CN"/>
                <w14:textFill>
                  <w14:solidFill>
                    <w14:schemeClr w14:val="tx1"/>
                  </w14:solidFill>
                </w14:textFill>
              </w:rPr>
              <w:t>颗粒物</w:t>
            </w:r>
            <w:r>
              <w:rPr>
                <w:rFonts w:hint="default" w:ascii="Times New Roman" w:hAnsi="Times New Roman" w:eastAsia="宋体"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0.44</w:t>
            </w:r>
            <w:r>
              <w:rPr>
                <w:rFonts w:hint="default" w:ascii="Times New Roman" w:hAnsi="Times New Roman" w:eastAsia="宋体" w:cs="Times New Roman"/>
                <w:color w:val="000000" w:themeColor="text1"/>
                <w:sz w:val="24"/>
                <w14:textFill>
                  <w14:solidFill>
                    <w14:schemeClr w14:val="tx1"/>
                  </w14:solidFill>
                </w14:textFill>
              </w:rPr>
              <w:t>吨/年。</w:t>
            </w:r>
          </w:p>
          <w:p w14:paraId="73D94E5B">
            <w:pPr>
              <w:pStyle w:val="51"/>
              <w:ind w:left="0" w:leftChars="0" w:firstLine="0" w:firstLineChars="0"/>
              <w:jc w:val="both"/>
              <w:rPr>
                <w:color w:val="000000" w:themeColor="text1"/>
                <w14:textFill>
                  <w14:solidFill>
                    <w14:schemeClr w14:val="tx1"/>
                  </w14:solidFill>
                </w14:textFill>
              </w:rPr>
            </w:pPr>
          </w:p>
        </w:tc>
      </w:tr>
    </w:tbl>
    <w:p w14:paraId="3D8690C4">
      <w:pPr>
        <w:pStyle w:val="37"/>
        <w:snapToGrid w:val="0"/>
        <w:spacing w:line="240" w:lineRule="auto"/>
        <w:ind w:firstLine="0" w:firstLineChars="0"/>
        <w:jc w:val="center"/>
        <w:outlineLvl w:val="0"/>
        <w:rPr>
          <w:color w:val="000000" w:themeColor="text1"/>
          <w:sz w:val="30"/>
          <w:szCs w:val="30"/>
          <w14:textFill>
            <w14:solidFill>
              <w14:schemeClr w14:val="tx1"/>
            </w14:solidFill>
          </w14:textFill>
        </w:rPr>
      </w:pPr>
      <w:r>
        <w:rPr>
          <w:rFonts w:ascii="黑体" w:hAnsi="黑体" w:eastAsia="黑体"/>
          <w:snapToGrid w:val="0"/>
          <w:color w:val="000000" w:themeColor="text1"/>
          <w:sz w:val="36"/>
          <w:szCs w:val="36"/>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四、主要环境影响和保护措施</w:t>
      </w:r>
    </w:p>
    <w:tbl>
      <w:tblPr>
        <w:tblStyle w:val="43"/>
        <w:tblW w:w="9340" w:type="dxa"/>
        <w:tblInd w:w="-9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780"/>
      </w:tblGrid>
      <w:tr w14:paraId="50A5A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8" w:hRule="atLeast"/>
        </w:trPr>
        <w:tc>
          <w:tcPr>
            <w:tcW w:w="457" w:type="dxa"/>
            <w:tcBorders>
              <w:tl2br w:val="nil"/>
              <w:tr2bl w:val="nil"/>
            </w:tcBorders>
            <w:vAlign w:val="center"/>
          </w:tcPr>
          <w:p w14:paraId="6E6C7CE7">
            <w:pPr>
              <w:ind w:firstLine="0" w:firstLineChars="0"/>
              <w:rPr>
                <w:color w:val="000000" w:themeColor="text1"/>
                <w14:textFill>
                  <w14:solidFill>
                    <w14:schemeClr w14:val="tx1"/>
                  </w14:solidFill>
                </w14:textFill>
              </w:rPr>
            </w:pPr>
            <w:r>
              <w:rPr>
                <w:rFonts w:hint="eastAsia"/>
                <w:b/>
                <w:bCs/>
                <w:color w:val="000000" w:themeColor="text1"/>
                <w14:textFill>
                  <w14:solidFill>
                    <w14:schemeClr w14:val="tx1"/>
                  </w14:solidFill>
                </w14:textFill>
              </w:rPr>
              <w:t>施工期环境保护措施</w:t>
            </w:r>
          </w:p>
        </w:tc>
        <w:tc>
          <w:tcPr>
            <w:tcW w:w="8883" w:type="dxa"/>
            <w:tcBorders>
              <w:tl2br w:val="nil"/>
              <w:tr2bl w:val="nil"/>
            </w:tcBorders>
          </w:tcPr>
          <w:p w14:paraId="3F7335F0">
            <w:pPr>
              <w:pStyle w:val="227"/>
              <w:widowControl/>
              <w:kinsoku w:val="0"/>
              <w:autoSpaceDE w:val="0"/>
              <w:autoSpaceDN w:val="0"/>
              <w:adjustRightInd w:val="0"/>
              <w:snapToGrid w:val="0"/>
              <w:spacing w:before="40" w:line="360" w:lineRule="auto"/>
              <w:ind w:left="25" w:firstLine="0" w:firstLineChars="0"/>
              <w:jc w:val="left"/>
              <w:textAlignment w:val="baseline"/>
              <w:rPr>
                <w:rFonts w:ascii="宋体" w:hAnsi="宋体" w:eastAsia="宋体" w:cs="宋体"/>
                <w:b/>
                <w:bCs/>
                <w:snapToGrid w:val="0"/>
                <w:color w:val="000000" w:themeColor="text1"/>
                <w:spacing w:val="-4"/>
                <w:kern w:val="0"/>
                <w14:textFill>
                  <w14:solidFill>
                    <w14:schemeClr w14:val="tx1"/>
                  </w14:solidFill>
                </w14:textFill>
              </w:rPr>
            </w:pPr>
            <w:r>
              <w:rPr>
                <w:rFonts w:ascii="宋体" w:hAnsi="宋体" w:eastAsia="宋体" w:cs="宋体"/>
                <w:b/>
                <w:bCs/>
                <w:snapToGrid w:val="0"/>
                <w:color w:val="000000" w:themeColor="text1"/>
                <w:spacing w:val="-4"/>
                <w:kern w:val="0"/>
                <w14:textFill>
                  <w14:solidFill>
                    <w14:schemeClr w14:val="tx1"/>
                  </w14:solidFill>
                </w14:textFill>
              </w:rPr>
              <w:t>（一）施工期大气污染物排放及治理措施</w:t>
            </w:r>
          </w:p>
          <w:p w14:paraId="7A0035BF">
            <w:pPr>
              <w:pStyle w:val="2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76" w:firstLineChars="200"/>
              <w:jc w:val="left"/>
              <w:textAlignment w:val="baseline"/>
              <w:rPr>
                <w:rFonts w:hint="eastAsia" w:ascii="Times New Roman" w:hAnsi="Times New Roman" w:eastAsia="宋体" w:cs="Times New Roman"/>
                <w:color w:val="000000" w:themeColor="text1"/>
                <w:spacing w:val="-1"/>
                <w:sz w:val="24"/>
                <w14:textFill>
                  <w14:solidFill>
                    <w14:schemeClr w14:val="tx1"/>
                  </w14:solidFill>
                </w14:textFill>
              </w:rPr>
            </w:pPr>
            <w:r>
              <w:rPr>
                <w:rFonts w:hint="eastAsia" w:ascii="Times New Roman" w:hAnsi="Times New Roman" w:eastAsia="宋体" w:cs="Times New Roman"/>
                <w:color w:val="000000" w:themeColor="text1"/>
                <w:spacing w:val="-1"/>
                <w:sz w:val="24"/>
                <w14:textFill>
                  <w14:solidFill>
                    <w14:schemeClr w14:val="tx1"/>
                  </w14:solidFill>
                </w14:textFill>
              </w:rPr>
              <w:t>1.1施工扬尘污染防治措施</w:t>
            </w:r>
          </w:p>
          <w:p w14:paraId="4D7BCDB6">
            <w:pPr>
              <w:pStyle w:val="227"/>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firstLine="480" w:firstLineChars="200"/>
              <w:jc w:val="left"/>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施工场地四周连续设置硬质围挡，裸露土方、砂石建材全覆盖防尘土工布；机械作业、建材装卸全过程同步洒水增湿，操作人员佩戴防尘口罩、护目镜做好个体防护。</w:t>
            </w:r>
          </w:p>
          <w:p w14:paraId="104FB29E">
            <w:pPr>
              <w:pStyle w:val="227"/>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firstLine="480" w:firstLineChars="200"/>
              <w:jc w:val="left"/>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场内运输道路全硬化，每日早中晚定时洒水保湿，场内车辆行驶速度严格控制≤5km/h，杜绝路面积尘起扬。</w:t>
            </w:r>
          </w:p>
          <w:p w14:paraId="5530DEC6">
            <w:pPr>
              <w:pStyle w:val="227"/>
              <w:keepNext w:val="0"/>
              <w:keepLines w:val="0"/>
              <w:pageBreakBefore w:val="0"/>
              <w:widowControl/>
              <w:numPr>
                <w:ilvl w:val="0"/>
                <w:numId w:val="11"/>
              </w:numPr>
              <w:kinsoku w:val="0"/>
              <w:wordWrap/>
              <w:overflowPunct/>
              <w:topLinePunct w:val="0"/>
              <w:autoSpaceDE w:val="0"/>
              <w:autoSpaceDN w:val="0"/>
              <w:bidi w:val="0"/>
              <w:adjustRightInd w:val="0"/>
              <w:snapToGrid w:val="0"/>
              <w:spacing w:line="360" w:lineRule="auto"/>
              <w:ind w:left="0" w:leftChars="0" w:firstLine="480" w:firstLineChars="200"/>
              <w:jc w:val="left"/>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建材、渣土运输车辆全密闭加盖，出场前经洗车平台冲洗轮胎底盘，严禁带泥上路，按城管规定办理建筑垃圾清运备案卡，沿指定路线运输。</w:t>
            </w:r>
          </w:p>
          <w:p w14:paraId="58F1CF49">
            <w:pPr>
              <w:pStyle w:val="227"/>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left"/>
              <w:textAlignment w:val="baseline"/>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（4）定期检修挖掘机、装载机等施工机械，保持设备工况良好，减少粉尘、尾气无组织排放；五级及以上大风天气停止土方开挖、建材装卸等易扬尘工序。</w:t>
            </w:r>
          </w:p>
          <w:p w14:paraId="63935C23">
            <w:pPr>
              <w:pStyle w:val="227"/>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76" w:firstLineChars="200"/>
              <w:jc w:val="left"/>
              <w:textAlignment w:val="baseline"/>
              <w:rPr>
                <w:rFonts w:hint="eastAsia" w:ascii="Times New Roman" w:hAnsi="Times New Roman" w:eastAsia="宋体" w:cs="Times New Roman"/>
                <w:color w:val="000000" w:themeColor="text1"/>
                <w:spacing w:val="-1"/>
                <w:sz w:val="24"/>
                <w14:textFill>
                  <w14:solidFill>
                    <w14:schemeClr w14:val="tx1"/>
                  </w14:solidFill>
                </w14:textFill>
              </w:rPr>
            </w:pPr>
            <w:r>
              <w:rPr>
                <w:rFonts w:hint="eastAsia" w:ascii="Times New Roman" w:hAnsi="Times New Roman" w:eastAsia="宋体" w:cs="Times New Roman"/>
                <w:color w:val="000000" w:themeColor="text1"/>
                <w:spacing w:val="-1"/>
                <w:sz w:val="24"/>
                <w14:textFill>
                  <w14:solidFill>
                    <w14:schemeClr w14:val="tx1"/>
                  </w14:solidFill>
                </w14:textFill>
              </w:rPr>
              <w:t>建设方在采取上述措施后，预计能减少施工废气对周围环境的影响，且这种影响是暂时的，随施工结束影响逐渐消失。</w:t>
            </w:r>
          </w:p>
          <w:p w14:paraId="393349A3">
            <w:pPr>
              <w:pStyle w:val="227"/>
              <w:keepNext w:val="0"/>
              <w:keepLines w:val="0"/>
              <w:pageBreakBefore w:val="0"/>
              <w:widowControl/>
              <w:kinsoku w:val="0"/>
              <w:wordWrap/>
              <w:overflowPunct/>
              <w:topLinePunct w:val="0"/>
              <w:autoSpaceDE w:val="0"/>
              <w:autoSpaceDN w:val="0"/>
              <w:bidi w:val="0"/>
              <w:adjustRightInd w:val="0"/>
              <w:snapToGrid w:val="0"/>
              <w:spacing w:before="40" w:line="360" w:lineRule="auto"/>
              <w:ind w:left="23" w:firstLine="476" w:firstLineChars="200"/>
              <w:jc w:val="left"/>
              <w:textAlignment w:val="baseline"/>
              <w:rPr>
                <w:rFonts w:hint="eastAsia" w:ascii="Times New Roman" w:hAnsi="Times New Roman" w:eastAsia="宋体"/>
                <w:color w:val="000000" w:themeColor="text1"/>
                <w:spacing w:val="-1"/>
                <w14:textFill>
                  <w14:solidFill>
                    <w14:schemeClr w14:val="tx1"/>
                  </w14:solidFill>
                </w14:textFill>
              </w:rPr>
            </w:pPr>
            <w:r>
              <w:rPr>
                <w:rFonts w:hint="eastAsia" w:ascii="Times New Roman" w:hAnsi="Times New Roman" w:eastAsia="宋体"/>
                <w:color w:val="000000" w:themeColor="text1"/>
                <w:spacing w:val="-1"/>
                <w14:textFill>
                  <w14:solidFill>
                    <w14:schemeClr w14:val="tx1"/>
                  </w14:solidFill>
                </w14:textFill>
              </w:rPr>
              <w:t>1.2运输车辆、机械设备废气防治措施</w:t>
            </w:r>
          </w:p>
          <w:p w14:paraId="4FCC7685">
            <w:pPr>
              <w:pStyle w:val="227"/>
              <w:keepNext w:val="0"/>
              <w:keepLines w:val="0"/>
              <w:pageBreakBefore w:val="0"/>
              <w:widowControl/>
              <w:kinsoku w:val="0"/>
              <w:wordWrap/>
              <w:overflowPunct/>
              <w:topLinePunct w:val="0"/>
              <w:autoSpaceDE w:val="0"/>
              <w:autoSpaceDN w:val="0"/>
              <w:bidi w:val="0"/>
              <w:adjustRightInd w:val="0"/>
              <w:snapToGrid w:val="0"/>
              <w:spacing w:before="40" w:line="360" w:lineRule="auto"/>
              <w:ind w:left="23" w:firstLine="476" w:firstLineChars="200"/>
              <w:jc w:val="left"/>
              <w:textAlignment w:val="baseline"/>
              <w:rPr>
                <w:rFonts w:hint="eastAsia" w:ascii="Times New Roman" w:hAnsi="Times New Roman" w:eastAsia="宋体"/>
                <w:color w:val="000000" w:themeColor="text1"/>
                <w:spacing w:val="-1"/>
                <w14:textFill>
                  <w14:solidFill>
                    <w14:schemeClr w14:val="tx1"/>
                  </w14:solidFill>
                </w14:textFill>
              </w:rPr>
            </w:pPr>
            <w:r>
              <w:rPr>
                <w:rFonts w:hint="eastAsia" w:ascii="Times New Roman" w:hAnsi="Times New Roman" w:eastAsia="宋体"/>
                <w:color w:val="000000" w:themeColor="text1"/>
                <w:spacing w:val="-1"/>
                <w14:textFill>
                  <w14:solidFill>
                    <w14:schemeClr w14:val="tx1"/>
                  </w14:solidFill>
                </w14:textFill>
              </w:rPr>
              <w:t>施工机械尾气主要含有CO、NOx等污染物。应采取以下措施</w:t>
            </w:r>
            <w:r>
              <w:rPr>
                <w:rFonts w:hint="eastAsia" w:ascii="Times New Roman" w:hAnsi="Times New Roman" w:eastAsia="宋体"/>
                <w:color w:val="000000" w:themeColor="text1"/>
                <w:spacing w:val="-1"/>
                <w:lang w:eastAsia="zh-CN"/>
                <w14:textFill>
                  <w14:solidFill>
                    <w14:schemeClr w14:val="tx1"/>
                  </w14:solidFill>
                </w14:textFill>
              </w:rPr>
              <w:t>：</w:t>
            </w:r>
          </w:p>
          <w:p w14:paraId="65B7A66A">
            <w:pPr>
              <w:pStyle w:val="227"/>
              <w:keepNext w:val="0"/>
              <w:keepLines w:val="0"/>
              <w:pageBreakBefore w:val="0"/>
              <w:widowControl/>
              <w:kinsoku w:val="0"/>
              <w:wordWrap/>
              <w:overflowPunct/>
              <w:topLinePunct w:val="0"/>
              <w:autoSpaceDE w:val="0"/>
              <w:autoSpaceDN w:val="0"/>
              <w:bidi w:val="0"/>
              <w:adjustRightInd w:val="0"/>
              <w:snapToGrid w:val="0"/>
              <w:spacing w:before="40" w:line="360" w:lineRule="auto"/>
              <w:ind w:left="23" w:firstLine="476" w:firstLineChars="200"/>
              <w:jc w:val="left"/>
              <w:textAlignment w:val="baseline"/>
              <w:rPr>
                <w:rFonts w:hint="eastAsia" w:ascii="Times New Roman" w:hAnsi="Times New Roman" w:eastAsia="宋体"/>
                <w:color w:val="000000" w:themeColor="text1"/>
                <w:spacing w:val="-1"/>
                <w14:textFill>
                  <w14:solidFill>
                    <w14:schemeClr w14:val="tx1"/>
                  </w14:solidFill>
                </w14:textFill>
              </w:rPr>
            </w:pP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lang w:val="en-US" w:eastAsia="zh-CN"/>
                <w14:textFill>
                  <w14:solidFill>
                    <w14:schemeClr w14:val="tx1"/>
                  </w14:solidFill>
                </w14:textFill>
              </w:rPr>
              <w:t>1</w:t>
            </w: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14:textFill>
                  <w14:solidFill>
                    <w14:schemeClr w14:val="tx1"/>
                  </w14:solidFill>
                </w14:textFill>
              </w:rPr>
              <w:t>厂区内施工车辆限速行驶并保持路面的清洁</w:t>
            </w:r>
            <w:r>
              <w:rPr>
                <w:rFonts w:hint="eastAsia" w:ascii="Times New Roman" w:hAnsi="Times New Roman" w:eastAsia="宋体"/>
                <w:color w:val="000000" w:themeColor="text1"/>
                <w:spacing w:val="-1"/>
                <w:lang w:eastAsia="zh-CN"/>
                <w14:textFill>
                  <w14:solidFill>
                    <w14:schemeClr w14:val="tx1"/>
                  </w14:solidFill>
                </w14:textFill>
              </w:rPr>
              <w:t>；</w:t>
            </w:r>
          </w:p>
          <w:p w14:paraId="22D77D57">
            <w:pPr>
              <w:pStyle w:val="227"/>
              <w:keepNext w:val="0"/>
              <w:keepLines w:val="0"/>
              <w:pageBreakBefore w:val="0"/>
              <w:widowControl/>
              <w:kinsoku w:val="0"/>
              <w:wordWrap/>
              <w:overflowPunct/>
              <w:topLinePunct w:val="0"/>
              <w:autoSpaceDE w:val="0"/>
              <w:autoSpaceDN w:val="0"/>
              <w:bidi w:val="0"/>
              <w:adjustRightInd w:val="0"/>
              <w:snapToGrid w:val="0"/>
              <w:spacing w:before="40" w:line="360" w:lineRule="auto"/>
              <w:ind w:left="23" w:firstLine="476" w:firstLineChars="200"/>
              <w:jc w:val="left"/>
              <w:textAlignment w:val="baseline"/>
              <w:rPr>
                <w:rFonts w:hint="eastAsia" w:ascii="Times New Roman" w:hAnsi="Times New Roman" w:eastAsia="宋体"/>
                <w:color w:val="000000" w:themeColor="text1"/>
                <w:spacing w:val="-1"/>
                <w14:textFill>
                  <w14:solidFill>
                    <w14:schemeClr w14:val="tx1"/>
                  </w14:solidFill>
                </w14:textFill>
              </w:rPr>
            </w:pP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lang w:val="en-US" w:eastAsia="zh-CN"/>
                <w14:textFill>
                  <w14:solidFill>
                    <w14:schemeClr w14:val="tx1"/>
                  </w14:solidFill>
                </w14:textFill>
              </w:rPr>
              <w:t>2</w:t>
            </w: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14:textFill>
                  <w14:solidFill>
                    <w14:schemeClr w14:val="tx1"/>
                  </w14:solidFill>
                </w14:textFill>
              </w:rPr>
              <w:t>加强对施工车辆的检修和维护，严禁使用超期服役和尾气超标的车辆</w:t>
            </w:r>
            <w:r>
              <w:rPr>
                <w:rFonts w:hint="eastAsia" w:ascii="Times New Roman" w:hAnsi="Times New Roman" w:eastAsia="宋体"/>
                <w:color w:val="000000" w:themeColor="text1"/>
                <w:spacing w:val="-1"/>
                <w:lang w:eastAsia="zh-CN"/>
                <w14:textFill>
                  <w14:solidFill>
                    <w14:schemeClr w14:val="tx1"/>
                  </w14:solidFill>
                </w14:textFill>
              </w:rPr>
              <w:t>；</w:t>
            </w:r>
          </w:p>
          <w:p w14:paraId="5FEFF9B1">
            <w:pPr>
              <w:pStyle w:val="227"/>
              <w:keepNext w:val="0"/>
              <w:keepLines w:val="0"/>
              <w:pageBreakBefore w:val="0"/>
              <w:widowControl/>
              <w:numPr>
                <w:ilvl w:val="0"/>
                <w:numId w:val="0"/>
              </w:numPr>
              <w:kinsoku w:val="0"/>
              <w:wordWrap/>
              <w:overflowPunct/>
              <w:topLinePunct w:val="0"/>
              <w:autoSpaceDE w:val="0"/>
              <w:autoSpaceDN w:val="0"/>
              <w:bidi w:val="0"/>
              <w:adjustRightInd w:val="0"/>
              <w:snapToGrid w:val="0"/>
              <w:spacing w:before="40" w:line="360" w:lineRule="auto"/>
              <w:ind w:leftChars="200"/>
              <w:jc w:val="left"/>
              <w:textAlignment w:val="baseline"/>
              <w:rPr>
                <w:rFonts w:hint="eastAsia" w:ascii="Times New Roman" w:hAnsi="Times New Roman" w:eastAsia="宋体"/>
                <w:color w:val="000000" w:themeColor="text1"/>
                <w:spacing w:val="-1"/>
                <w14:textFill>
                  <w14:solidFill>
                    <w14:schemeClr w14:val="tx1"/>
                  </w14:solidFill>
                </w14:textFill>
              </w:rPr>
            </w:pP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lang w:val="en-US" w:eastAsia="zh-CN"/>
                <w14:textFill>
                  <w14:solidFill>
                    <w14:schemeClr w14:val="tx1"/>
                  </w14:solidFill>
                </w14:textFill>
              </w:rPr>
              <w:t>3</w:t>
            </w: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14:textFill>
                  <w14:solidFill>
                    <w14:schemeClr w14:val="tx1"/>
                  </w14:solidFill>
                </w14:textFill>
              </w:rPr>
              <w:t>对施工</w:t>
            </w:r>
            <w:r>
              <w:rPr>
                <w:rFonts w:hint="eastAsia" w:ascii="Times New Roman" w:hAnsi="Times New Roman" w:eastAsia="宋体"/>
                <w:color w:val="000000" w:themeColor="text1"/>
                <w:spacing w:val="-1"/>
                <w:lang w:eastAsia="zh-CN"/>
                <w14:textFill>
                  <w14:solidFill>
                    <w14:schemeClr w14:val="tx1"/>
                  </w14:solidFill>
                </w14:textFill>
              </w:rPr>
              <w:t>期间</w:t>
            </w:r>
            <w:r>
              <w:rPr>
                <w:rFonts w:hint="eastAsia" w:ascii="Times New Roman" w:hAnsi="Times New Roman" w:eastAsia="宋体"/>
                <w:color w:val="000000" w:themeColor="text1"/>
                <w:spacing w:val="-1"/>
                <w14:textFill>
                  <w14:solidFill>
                    <w14:schemeClr w14:val="tx1"/>
                  </w14:solidFill>
                </w14:textFill>
              </w:rPr>
              <w:t>进出现场车流量进行合理安排，防止施工现场车流量过大</w:t>
            </w:r>
            <w:r>
              <w:rPr>
                <w:rFonts w:hint="eastAsia" w:ascii="Times New Roman" w:hAnsi="Times New Roman" w:eastAsia="宋体"/>
                <w:color w:val="000000" w:themeColor="text1"/>
                <w:spacing w:val="-1"/>
                <w:lang w:eastAsia="zh-CN"/>
                <w14:textFill>
                  <w14:solidFill>
                    <w14:schemeClr w14:val="tx1"/>
                  </w14:solidFill>
                </w14:textFill>
              </w:rPr>
              <w:t>；</w:t>
            </w:r>
          </w:p>
          <w:p w14:paraId="02B7521C">
            <w:pPr>
              <w:pStyle w:val="227"/>
              <w:keepNext w:val="0"/>
              <w:keepLines w:val="0"/>
              <w:pageBreakBefore w:val="0"/>
              <w:widowControl/>
              <w:numPr>
                <w:ilvl w:val="0"/>
                <w:numId w:val="0"/>
              </w:numPr>
              <w:kinsoku w:val="0"/>
              <w:wordWrap/>
              <w:overflowPunct/>
              <w:topLinePunct w:val="0"/>
              <w:autoSpaceDE w:val="0"/>
              <w:autoSpaceDN w:val="0"/>
              <w:bidi w:val="0"/>
              <w:adjustRightInd w:val="0"/>
              <w:snapToGrid w:val="0"/>
              <w:spacing w:before="40" w:line="360" w:lineRule="auto"/>
              <w:ind w:left="23" w:leftChars="0" w:firstLine="476" w:firstLineChars="200"/>
              <w:jc w:val="left"/>
              <w:textAlignment w:val="baseline"/>
              <w:rPr>
                <w:rFonts w:hint="eastAsia" w:ascii="Times New Roman" w:hAnsi="Times New Roman" w:eastAsia="宋体"/>
                <w:color w:val="000000" w:themeColor="text1"/>
                <w:spacing w:val="-1"/>
                <w14:textFill>
                  <w14:solidFill>
                    <w14:schemeClr w14:val="tx1"/>
                  </w14:solidFill>
                </w14:textFill>
              </w:rPr>
            </w:pP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lang w:val="en-US" w:eastAsia="zh-CN"/>
                <w14:textFill>
                  <w14:solidFill>
                    <w14:schemeClr w14:val="tx1"/>
                  </w14:solidFill>
                </w14:textFill>
              </w:rPr>
              <w:t>4</w:t>
            </w: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14:textFill>
                  <w14:solidFill>
                    <w14:schemeClr w14:val="tx1"/>
                  </w14:solidFill>
                </w14:textFill>
              </w:rPr>
              <w:t>尽可能使用耗油低，排气小的施工车辆，选用优质燃油，减少机械和车辆有害废气排放</w:t>
            </w:r>
            <w:r>
              <w:rPr>
                <w:rFonts w:hint="eastAsia" w:ascii="Times New Roman" w:hAnsi="Times New Roman" w:eastAsia="宋体"/>
                <w:color w:val="000000" w:themeColor="text1"/>
                <w:spacing w:val="-1"/>
                <w:lang w:eastAsia="zh-CN"/>
                <w14:textFill>
                  <w14:solidFill>
                    <w14:schemeClr w14:val="tx1"/>
                  </w14:solidFill>
                </w14:textFill>
              </w:rPr>
              <w:t>；</w:t>
            </w:r>
          </w:p>
          <w:p w14:paraId="3453A7B4">
            <w:pPr>
              <w:pStyle w:val="227"/>
              <w:keepNext w:val="0"/>
              <w:keepLines w:val="0"/>
              <w:pageBreakBefore w:val="0"/>
              <w:widowControl/>
              <w:kinsoku w:val="0"/>
              <w:wordWrap/>
              <w:overflowPunct/>
              <w:topLinePunct w:val="0"/>
              <w:autoSpaceDE w:val="0"/>
              <w:autoSpaceDN w:val="0"/>
              <w:bidi w:val="0"/>
              <w:adjustRightInd w:val="0"/>
              <w:snapToGrid w:val="0"/>
              <w:spacing w:before="40" w:line="360" w:lineRule="auto"/>
              <w:ind w:left="23" w:firstLine="476" w:firstLineChars="200"/>
              <w:jc w:val="left"/>
              <w:textAlignment w:val="baseline"/>
              <w:rPr>
                <w:rFonts w:hint="eastAsia" w:ascii="Times New Roman" w:hAnsi="Times New Roman" w:eastAsia="宋体"/>
                <w:color w:val="000000" w:themeColor="text1"/>
                <w:spacing w:val="-1"/>
                <w14:textFill>
                  <w14:solidFill>
                    <w14:schemeClr w14:val="tx1"/>
                  </w14:solidFill>
                </w14:textFill>
              </w:rPr>
            </w:pP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lang w:val="en-US" w:eastAsia="zh-CN"/>
                <w14:textFill>
                  <w14:solidFill>
                    <w14:schemeClr w14:val="tx1"/>
                  </w14:solidFill>
                </w14:textFill>
              </w:rPr>
              <w:t>5</w:t>
            </w:r>
            <w:r>
              <w:rPr>
                <w:rFonts w:hint="eastAsia" w:ascii="Times New Roman" w:hAnsi="Times New Roman" w:eastAsia="宋体"/>
                <w:color w:val="000000" w:themeColor="text1"/>
                <w:spacing w:val="-1"/>
                <w:lang w:eastAsia="zh-CN"/>
                <w14:textFill>
                  <w14:solidFill>
                    <w14:schemeClr w14:val="tx1"/>
                  </w14:solidFill>
                </w14:textFill>
              </w:rPr>
              <w:t>）</w:t>
            </w:r>
            <w:r>
              <w:rPr>
                <w:rFonts w:hint="eastAsia" w:ascii="Times New Roman" w:hAnsi="Times New Roman" w:eastAsia="宋体"/>
                <w:color w:val="000000" w:themeColor="text1"/>
                <w:spacing w:val="-1"/>
                <w14:textFill>
                  <w14:solidFill>
                    <w14:schemeClr w14:val="tx1"/>
                  </w14:solidFill>
                </w14:textFill>
              </w:rPr>
              <w:t>施工过程中禁止将废弃的建筑材料作为燃料燃烧。</w:t>
            </w:r>
          </w:p>
          <w:p w14:paraId="46A6A711">
            <w:pPr>
              <w:pStyle w:val="227"/>
              <w:widowControl/>
              <w:kinsoku w:val="0"/>
              <w:autoSpaceDE w:val="0"/>
              <w:autoSpaceDN w:val="0"/>
              <w:adjustRightInd w:val="0"/>
              <w:snapToGrid w:val="0"/>
              <w:spacing w:before="40" w:line="360" w:lineRule="auto"/>
              <w:ind w:left="25" w:firstLine="0" w:firstLineChars="0"/>
              <w:jc w:val="left"/>
              <w:textAlignment w:val="baseline"/>
              <w:rPr>
                <w:rFonts w:ascii="宋体" w:hAnsi="宋体" w:eastAsia="宋体" w:cs="宋体"/>
                <w:b/>
                <w:bCs/>
                <w:snapToGrid w:val="0"/>
                <w:color w:val="000000" w:themeColor="text1"/>
                <w:spacing w:val="-4"/>
                <w:kern w:val="0"/>
                <w14:textFill>
                  <w14:solidFill>
                    <w14:schemeClr w14:val="tx1"/>
                  </w14:solidFill>
                </w14:textFill>
              </w:rPr>
            </w:pPr>
            <w:r>
              <w:rPr>
                <w:rFonts w:ascii="宋体" w:hAnsi="宋体" w:eastAsia="宋体" w:cs="宋体"/>
                <w:b/>
                <w:bCs/>
                <w:snapToGrid w:val="0"/>
                <w:color w:val="000000" w:themeColor="text1"/>
                <w:spacing w:val="-4"/>
                <w:kern w:val="0"/>
                <w14:textFill>
                  <w14:solidFill>
                    <w14:schemeClr w14:val="tx1"/>
                  </w14:solidFill>
                </w14:textFill>
              </w:rPr>
              <w:t>（二）施工期废水排放及处理措施</w:t>
            </w:r>
          </w:p>
          <w:p w14:paraId="39A899DA">
            <w:pPr>
              <w:pStyle w:val="2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76" w:firstLineChars="200"/>
              <w:jc w:val="left"/>
              <w:textAlignment w:val="baseline"/>
              <w:rPr>
                <w:rFonts w:hint="eastAsia" w:ascii="Times New Roman" w:hAnsi="Times New Roman" w:eastAsia="宋体" w:cs="Times New Roman"/>
                <w:color w:val="000000" w:themeColor="text1"/>
                <w:spacing w:val="-1"/>
                <w:sz w:val="24"/>
                <w14:textFill>
                  <w14:solidFill>
                    <w14:schemeClr w14:val="tx1"/>
                  </w14:solidFill>
                </w14:textFill>
              </w:rPr>
            </w:pPr>
            <w:r>
              <w:rPr>
                <w:rFonts w:hint="eastAsia" w:ascii="Times New Roman" w:hAnsi="Times New Roman" w:eastAsia="宋体" w:cs="Times New Roman"/>
                <w:color w:val="000000" w:themeColor="text1"/>
                <w:spacing w:val="-1"/>
                <w:sz w:val="24"/>
                <w:lang w:val="en-US" w:eastAsia="zh-CN"/>
                <w14:textFill>
                  <w14:solidFill>
                    <w14:schemeClr w14:val="tx1"/>
                  </w14:solidFill>
                </w14:textFill>
              </w:rPr>
              <w:t>施工废水分为施工生产废水、施工人员生活污水，扩建施工周期短、废水间歇少量产生：</w:t>
            </w:r>
          </w:p>
          <w:p w14:paraId="4E7C09BF">
            <w:pPr>
              <w:pStyle w:val="2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76" w:firstLineChars="200"/>
              <w:jc w:val="left"/>
              <w:textAlignment w:val="baseline"/>
              <w:rPr>
                <w:rFonts w:hint="eastAsia" w:ascii="Times New Roman" w:hAnsi="Times New Roman" w:eastAsia="宋体" w:cs="Times New Roman"/>
                <w:color w:val="000000" w:themeColor="text1"/>
                <w:spacing w:val="-1"/>
                <w:sz w:val="24"/>
                <w14:textFill>
                  <w14:solidFill>
                    <w14:schemeClr w14:val="tx1"/>
                  </w14:solidFill>
                </w14:textFill>
              </w:rPr>
            </w:pPr>
            <w:r>
              <w:rPr>
                <w:rFonts w:hint="eastAsia" w:ascii="Times New Roman" w:hAnsi="Times New Roman" w:eastAsia="宋体" w:cs="Times New Roman"/>
                <w:color w:val="000000" w:themeColor="text1"/>
                <w:spacing w:val="-1"/>
                <w:sz w:val="24"/>
                <w:lang w:eastAsia="zh-CN"/>
                <w14:textFill>
                  <w14:solidFill>
                    <w14:schemeClr w14:val="tx1"/>
                  </w14:solidFill>
                </w14:textFill>
              </w:rPr>
              <w:t>（</w:t>
            </w:r>
            <w:r>
              <w:rPr>
                <w:rFonts w:hint="eastAsia" w:ascii="Times New Roman" w:hAnsi="Times New Roman" w:eastAsia="宋体" w:cs="Times New Roman"/>
                <w:color w:val="000000" w:themeColor="text1"/>
                <w:spacing w:val="-1"/>
                <w:sz w:val="24"/>
                <w:lang w:val="en-US" w:eastAsia="zh-CN"/>
                <w14:textFill>
                  <w14:solidFill>
                    <w14:schemeClr w14:val="tx1"/>
                  </w14:solidFill>
                </w14:textFill>
              </w:rPr>
              <w:t>1</w:t>
            </w:r>
            <w:r>
              <w:rPr>
                <w:rFonts w:hint="eastAsia" w:ascii="Times New Roman" w:hAnsi="Times New Roman" w:eastAsia="宋体" w:cs="Times New Roman"/>
                <w:color w:val="000000" w:themeColor="text1"/>
                <w:spacing w:val="-1"/>
                <w:sz w:val="24"/>
                <w:lang w:eastAsia="zh-CN"/>
                <w14:textFill>
                  <w14:solidFill>
                    <w14:schemeClr w14:val="tx1"/>
                  </w14:solidFill>
                </w14:textFill>
              </w:rPr>
              <w:t>）</w:t>
            </w:r>
            <w:r>
              <w:rPr>
                <w:rFonts w:hint="eastAsia" w:ascii="Times New Roman" w:hAnsi="Times New Roman" w:eastAsia="宋体" w:cs="Times New Roman"/>
                <w:color w:val="000000" w:themeColor="text1"/>
                <w:spacing w:val="-1"/>
                <w:sz w:val="24"/>
                <w14:textFill>
                  <w14:solidFill>
                    <w14:schemeClr w14:val="tx1"/>
                  </w14:solidFill>
                </w14:textFill>
              </w:rPr>
              <w:t>生活污水：施工人员就近租住，不在工地集中食宿，少量洗漱、如厕污水依托厂区现有化粪池统一收集，定期吸污车转运昌吉市第二污水处理厂，无就地直排、漫排现象。</w:t>
            </w:r>
          </w:p>
          <w:p w14:paraId="6470522D">
            <w:pPr>
              <w:pStyle w:val="2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76" w:firstLineChars="200"/>
              <w:jc w:val="left"/>
              <w:textAlignment w:val="baseline"/>
              <w:rPr>
                <w:rFonts w:hint="eastAsia" w:ascii="Times New Roman" w:hAnsi="Times New Roman" w:eastAsia="宋体" w:cs="Times New Roman"/>
                <w:color w:val="000000" w:themeColor="text1"/>
                <w:spacing w:val="-1"/>
                <w:sz w:val="24"/>
                <w14:textFill>
                  <w14:solidFill>
                    <w14:schemeClr w14:val="tx1"/>
                  </w14:solidFill>
                </w14:textFill>
              </w:rPr>
            </w:pPr>
            <w:r>
              <w:rPr>
                <w:rFonts w:hint="eastAsia" w:ascii="Times New Roman" w:hAnsi="Times New Roman" w:eastAsia="宋体" w:cs="Times New Roman"/>
                <w:color w:val="000000" w:themeColor="text1"/>
                <w:spacing w:val="-1"/>
                <w:sz w:val="24"/>
                <w:lang w:eastAsia="zh-CN"/>
                <w14:textFill>
                  <w14:solidFill>
                    <w14:schemeClr w14:val="tx1"/>
                  </w14:solidFill>
                </w14:textFill>
              </w:rPr>
              <w:t>（</w:t>
            </w:r>
            <w:r>
              <w:rPr>
                <w:rFonts w:hint="eastAsia" w:ascii="Times New Roman" w:hAnsi="Times New Roman" w:eastAsia="宋体" w:cs="Times New Roman"/>
                <w:color w:val="000000" w:themeColor="text1"/>
                <w:spacing w:val="-1"/>
                <w:sz w:val="24"/>
                <w:lang w:val="en-US" w:eastAsia="zh-CN"/>
                <w14:textFill>
                  <w14:solidFill>
                    <w14:schemeClr w14:val="tx1"/>
                  </w14:solidFill>
                </w14:textFill>
              </w:rPr>
              <w:t>2</w:t>
            </w:r>
            <w:r>
              <w:rPr>
                <w:rFonts w:hint="eastAsia" w:ascii="Times New Roman" w:hAnsi="Times New Roman" w:eastAsia="宋体" w:cs="Times New Roman"/>
                <w:color w:val="000000" w:themeColor="text1"/>
                <w:spacing w:val="-1"/>
                <w:sz w:val="24"/>
                <w:lang w:eastAsia="zh-CN"/>
                <w14:textFill>
                  <w14:solidFill>
                    <w14:schemeClr w14:val="tx1"/>
                  </w14:solidFill>
                </w14:textFill>
              </w:rPr>
              <w:t>）</w:t>
            </w:r>
            <w:r>
              <w:rPr>
                <w:rFonts w:hint="eastAsia" w:ascii="Times New Roman" w:hAnsi="Times New Roman" w:eastAsia="宋体" w:cs="Times New Roman"/>
                <w:color w:val="000000" w:themeColor="text1"/>
                <w:spacing w:val="-1"/>
                <w:sz w:val="24"/>
                <w14:textFill>
                  <w14:solidFill>
                    <w14:schemeClr w14:val="tx1"/>
                  </w14:solidFill>
                </w14:textFill>
              </w:rPr>
              <w:t>施工生产废水：主要为混凝土养护废水、车辆冲洗废水，日均产生量0.5m³，污染物以SS为主。</w:t>
            </w:r>
          </w:p>
          <w:p w14:paraId="235F6839">
            <w:pPr>
              <w:pStyle w:val="2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76" w:firstLineChars="200"/>
              <w:jc w:val="left"/>
              <w:textAlignment w:val="baseline"/>
              <w:rPr>
                <w:rFonts w:hint="eastAsia" w:ascii="Times New Roman" w:hAnsi="Times New Roman" w:eastAsia="宋体" w:cs="Times New Roman"/>
                <w:color w:val="000000" w:themeColor="text1"/>
                <w:spacing w:val="-1"/>
                <w:sz w:val="24"/>
                <w14:textFill>
                  <w14:solidFill>
                    <w14:schemeClr w14:val="tx1"/>
                  </w14:solidFill>
                </w14:textFill>
              </w:rPr>
            </w:pPr>
            <w:r>
              <w:rPr>
                <w:rFonts w:hint="eastAsia" w:ascii="Times New Roman" w:hAnsi="Times New Roman" w:eastAsia="宋体" w:cs="Times New Roman"/>
                <w:color w:val="000000" w:themeColor="text1"/>
                <w:spacing w:val="-1"/>
                <w:sz w:val="24"/>
                <w14:textFill>
                  <w14:solidFill>
                    <w14:schemeClr w14:val="tx1"/>
                  </w14:solidFill>
                </w14:textFill>
              </w:rPr>
              <w:t>①出入口配套简易沉淀池，车辆冲洗废水全部沉淀后循环回用，不外排；</w:t>
            </w:r>
          </w:p>
          <w:p w14:paraId="08D54905">
            <w:pPr>
              <w:pStyle w:val="2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76" w:firstLineChars="200"/>
              <w:jc w:val="left"/>
              <w:textAlignment w:val="baseline"/>
              <w:rPr>
                <w:rFonts w:hint="eastAsia" w:ascii="Times New Roman" w:hAnsi="Times New Roman" w:eastAsia="宋体" w:cs="Times New Roman"/>
                <w:color w:val="000000" w:themeColor="text1"/>
                <w:spacing w:val="-1"/>
                <w:sz w:val="24"/>
                <w14:textFill>
                  <w14:solidFill>
                    <w14:schemeClr w14:val="tx1"/>
                  </w14:solidFill>
                </w14:textFill>
              </w:rPr>
            </w:pPr>
            <w:r>
              <w:rPr>
                <w:rFonts w:hint="eastAsia" w:ascii="Times New Roman" w:hAnsi="Times New Roman" w:eastAsia="宋体" w:cs="Times New Roman"/>
                <w:color w:val="000000" w:themeColor="text1"/>
                <w:spacing w:val="-1"/>
                <w:sz w:val="24"/>
                <w14:textFill>
                  <w14:solidFill>
                    <w14:schemeClr w14:val="tx1"/>
                  </w14:solidFill>
                </w14:textFill>
              </w:rPr>
              <w:t>②混凝土优先采用薄膜保湿养护，大幅减少养护废水；若采用洒水养护，废水引入沉淀池沉淀后复用；</w:t>
            </w:r>
          </w:p>
          <w:p w14:paraId="02A9D155">
            <w:pPr>
              <w:pStyle w:val="227"/>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476" w:firstLineChars="200"/>
              <w:jc w:val="left"/>
              <w:textAlignment w:val="baseline"/>
              <w:rPr>
                <w:rFonts w:hint="eastAsia" w:ascii="Times New Roman" w:hAnsi="Times New Roman" w:eastAsia="宋体" w:cs="Times New Roman"/>
                <w:color w:val="000000" w:themeColor="text1"/>
                <w:spacing w:val="-1"/>
                <w:sz w:val="24"/>
                <w14:textFill>
                  <w14:solidFill>
                    <w14:schemeClr w14:val="tx1"/>
                  </w14:solidFill>
                </w14:textFill>
              </w:rPr>
            </w:pPr>
            <w:r>
              <w:rPr>
                <w:rFonts w:hint="eastAsia" w:ascii="Times New Roman" w:hAnsi="Times New Roman" w:eastAsia="宋体" w:cs="Times New Roman"/>
                <w:color w:val="000000" w:themeColor="text1"/>
                <w:spacing w:val="-1"/>
                <w:sz w:val="24"/>
                <w14:textFill>
                  <w14:solidFill>
                    <w14:schemeClr w14:val="tx1"/>
                  </w14:solidFill>
                </w14:textFill>
              </w:rPr>
              <w:t>③施工区设置截水沟，雨水、冲洗废水全部导流收集，避免漫流冲刷泥土形成泥水径流污染周边农田。</w:t>
            </w:r>
          </w:p>
          <w:p w14:paraId="73D7BFFB">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color w:val="000000" w:themeColor="text1"/>
                <w:sz w:val="22"/>
                <w:szCs w:val="22"/>
                <w14:textFill>
                  <w14:solidFill>
                    <w14:schemeClr w14:val="tx1"/>
                  </w14:solidFill>
                </w14:textFill>
              </w:rPr>
            </w:pPr>
            <w:r>
              <w:rPr>
                <w:rFonts w:ascii="Times New Roman" w:hAnsi="Times New Roman" w:eastAsia="宋体"/>
                <w:color w:val="000000" w:themeColor="text1"/>
                <w14:textFill>
                  <w14:solidFill>
                    <w14:schemeClr w14:val="tx1"/>
                  </w14:solidFill>
                </w14:textFill>
              </w:rPr>
              <w:t>综上所述，在严格执行以上环保措施后，项目</w:t>
            </w:r>
            <w:r>
              <w:rPr>
                <w:rFonts w:ascii="Times New Roman" w:hAnsi="Times New Roman" w:eastAsia="宋体"/>
                <w:color w:val="000000" w:themeColor="text1"/>
                <w:spacing w:val="-1"/>
                <w14:textFill>
                  <w14:solidFill>
                    <w14:schemeClr w14:val="tx1"/>
                  </w14:solidFill>
                </w14:textFill>
              </w:rPr>
              <w:t>施工废水对周围环境影响很小</w:t>
            </w:r>
            <w:r>
              <w:rPr>
                <w:rFonts w:ascii="Times New Roman" w:hAnsi="Times New Roman" w:eastAsia="宋体"/>
                <w:color w:val="000000" w:themeColor="text1"/>
                <w:spacing w:val="-1"/>
                <w:sz w:val="22"/>
                <w:szCs w:val="22"/>
                <w14:textFill>
                  <w14:solidFill>
                    <w14:schemeClr w14:val="tx1"/>
                  </w14:solidFill>
                </w14:textFill>
              </w:rPr>
              <w:t>。</w:t>
            </w:r>
          </w:p>
          <w:p w14:paraId="5FEA52D1">
            <w:pPr>
              <w:pStyle w:val="227"/>
              <w:widowControl/>
              <w:kinsoku w:val="0"/>
              <w:autoSpaceDE w:val="0"/>
              <w:autoSpaceDN w:val="0"/>
              <w:adjustRightInd w:val="0"/>
              <w:snapToGrid w:val="0"/>
              <w:spacing w:before="40" w:line="360" w:lineRule="auto"/>
              <w:ind w:left="25" w:firstLine="0" w:firstLineChars="0"/>
              <w:jc w:val="left"/>
              <w:textAlignment w:val="baseline"/>
              <w:rPr>
                <w:rFonts w:ascii="宋体" w:hAnsi="宋体" w:eastAsia="宋体" w:cs="宋体"/>
                <w:b/>
                <w:bCs/>
                <w:snapToGrid w:val="0"/>
                <w:color w:val="000000" w:themeColor="text1"/>
                <w:spacing w:val="-4"/>
                <w:kern w:val="0"/>
                <w14:textFill>
                  <w14:solidFill>
                    <w14:schemeClr w14:val="tx1"/>
                  </w14:solidFill>
                </w14:textFill>
              </w:rPr>
            </w:pPr>
            <w:r>
              <w:rPr>
                <w:rFonts w:ascii="宋体" w:hAnsi="宋体" w:eastAsia="宋体" w:cs="宋体"/>
                <w:b/>
                <w:bCs/>
                <w:snapToGrid w:val="0"/>
                <w:color w:val="000000" w:themeColor="text1"/>
                <w:spacing w:val="-4"/>
                <w:kern w:val="0"/>
                <w14:textFill>
                  <w14:solidFill>
                    <w14:schemeClr w14:val="tx1"/>
                  </w14:solidFill>
                </w14:textFill>
              </w:rPr>
              <w:t>（三）施工期噪声污染及治理措施</w:t>
            </w:r>
          </w:p>
          <w:p w14:paraId="6DC99304">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pacing w:val="-1"/>
                <w:sz w:val="24"/>
                <w14:textFill>
                  <w14:solidFill>
                    <w14:schemeClr w14:val="tx1"/>
                  </w14:solidFill>
                </w14:textFill>
              </w:rPr>
              <w:t>本项目施工噪声主要为设备噪声。在施工期间，为降低本项目施工</w:t>
            </w:r>
            <w:r>
              <w:rPr>
                <w:rFonts w:hint="eastAsia" w:ascii="Times New Roman" w:hAnsi="Times New Roman" w:eastAsia="宋体"/>
                <w:color w:val="000000" w:themeColor="text1"/>
                <w:spacing w:val="-1"/>
                <w:sz w:val="24"/>
                <w:lang w:eastAsia="zh-CN"/>
                <w14:textFill>
                  <w14:solidFill>
                    <w14:schemeClr w14:val="tx1"/>
                  </w14:solidFill>
                </w14:textFill>
              </w:rPr>
              <w:t>期间</w:t>
            </w:r>
            <w:r>
              <w:rPr>
                <w:rFonts w:ascii="Times New Roman" w:hAnsi="Times New Roman" w:eastAsia="宋体"/>
                <w:color w:val="000000" w:themeColor="text1"/>
                <w:spacing w:val="-1"/>
                <w:sz w:val="24"/>
                <w14:textFill>
                  <w14:solidFill>
                    <w14:schemeClr w14:val="tx1"/>
                  </w14:solidFill>
                </w14:textFill>
              </w:rPr>
              <w:t>噪声对声环境造成的影响，施工方要加强管理，采取如下噪声控制措施：</w:t>
            </w:r>
          </w:p>
          <w:p w14:paraId="6CEA05C1">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pacing w:val="-1"/>
                <w:sz w:val="24"/>
                <w14:textFill>
                  <w14:solidFill>
                    <w14:schemeClr w14:val="tx1"/>
                  </w14:solidFill>
                </w14:textFill>
              </w:rPr>
              <w:t>（</w:t>
            </w:r>
            <w:r>
              <w:rPr>
                <w:rFonts w:ascii="Times New Roman" w:hAnsi="Times New Roman" w:eastAsia="宋体" w:cs="Times New Roman"/>
                <w:color w:val="000000" w:themeColor="text1"/>
                <w:spacing w:val="-1"/>
                <w:sz w:val="24"/>
                <w14:textFill>
                  <w14:solidFill>
                    <w14:schemeClr w14:val="tx1"/>
                  </w14:solidFill>
                </w14:textFill>
              </w:rPr>
              <w:t>1</w:t>
            </w:r>
            <w:r>
              <w:rPr>
                <w:rFonts w:ascii="Times New Roman" w:hAnsi="Times New Roman" w:eastAsia="宋体"/>
                <w:color w:val="000000" w:themeColor="text1"/>
                <w:spacing w:val="-1"/>
                <w:sz w:val="24"/>
                <w14:textFill>
                  <w14:solidFill>
                    <w14:schemeClr w14:val="tx1"/>
                  </w14:solidFill>
                </w14:textFill>
              </w:rPr>
              <w:t>）建设单位应当按照规定将噪声污染防治费用列入工程造价，在施工合同中明确施工单位的噪声污染防治责任。施工单位应当按照规定制定噪声污染防治实施方案，采取有效措施，减少振动、降低噪声。建设单位应当监督施工单位落实噪声污染</w:t>
            </w:r>
            <w:r>
              <w:rPr>
                <w:rFonts w:ascii="Times New Roman" w:hAnsi="Times New Roman" w:eastAsia="宋体"/>
                <w:color w:val="000000" w:themeColor="text1"/>
                <w:spacing w:val="-2"/>
                <w:sz w:val="24"/>
                <w14:textFill>
                  <w14:solidFill>
                    <w14:schemeClr w14:val="tx1"/>
                  </w14:solidFill>
                </w14:textFill>
              </w:rPr>
              <w:t>防治实施方案。</w:t>
            </w:r>
          </w:p>
          <w:p w14:paraId="71523F4E">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72" w:firstLineChars="200"/>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pacing w:val="-2"/>
                <w:sz w:val="24"/>
                <w14:textFill>
                  <w14:solidFill>
                    <w14:schemeClr w14:val="tx1"/>
                  </w14:solidFill>
                </w14:textFill>
              </w:rPr>
              <w:t>（</w:t>
            </w:r>
            <w:r>
              <w:rPr>
                <w:rFonts w:ascii="Times New Roman" w:hAnsi="Times New Roman" w:eastAsia="宋体" w:cs="Times New Roman"/>
                <w:color w:val="000000" w:themeColor="text1"/>
                <w:spacing w:val="-2"/>
                <w:sz w:val="24"/>
                <w14:textFill>
                  <w14:solidFill>
                    <w14:schemeClr w14:val="tx1"/>
                  </w14:solidFill>
                </w14:textFill>
              </w:rPr>
              <w:t>2</w:t>
            </w:r>
            <w:r>
              <w:rPr>
                <w:rFonts w:ascii="Times New Roman" w:hAnsi="Times New Roman" w:eastAsia="宋体"/>
                <w:color w:val="000000" w:themeColor="text1"/>
                <w:spacing w:val="-2"/>
                <w:sz w:val="24"/>
                <w14:textFill>
                  <w14:solidFill>
                    <w14:schemeClr w14:val="tx1"/>
                  </w14:solidFill>
                </w14:textFill>
              </w:rPr>
              <w:t>）应当优先使用低噪声施工工艺和设备。</w:t>
            </w:r>
          </w:p>
          <w:p w14:paraId="129C28B6">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pacing w:val="-1"/>
                <w:sz w:val="24"/>
                <w14:textFill>
                  <w14:solidFill>
                    <w14:schemeClr w14:val="tx1"/>
                  </w14:solidFill>
                </w14:textFill>
              </w:rPr>
              <w:t>（</w:t>
            </w:r>
            <w:r>
              <w:rPr>
                <w:rFonts w:ascii="Times New Roman" w:hAnsi="Times New Roman" w:eastAsia="宋体" w:cs="Times New Roman"/>
                <w:color w:val="000000" w:themeColor="text1"/>
                <w:spacing w:val="-1"/>
                <w:sz w:val="24"/>
                <w14:textFill>
                  <w14:solidFill>
                    <w14:schemeClr w14:val="tx1"/>
                  </w14:solidFill>
                </w14:textFill>
              </w:rPr>
              <w:t>3</w:t>
            </w:r>
            <w:r>
              <w:rPr>
                <w:rFonts w:ascii="Times New Roman" w:hAnsi="Times New Roman" w:eastAsia="宋体"/>
                <w:color w:val="000000" w:themeColor="text1"/>
                <w:spacing w:val="-1"/>
                <w:sz w:val="24"/>
                <w14:textFill>
                  <w14:solidFill>
                    <w14:schemeClr w14:val="tx1"/>
                  </w14:solidFill>
                </w14:textFill>
              </w:rPr>
              <w:t>）禁止夜间进行产生噪声的建筑施工作业，但抢修、抢险施工作业，因生产工艺要求或者其他特殊需要必须连续施工作业的除外。因特殊需要必须连续施工作业的，应当取得地方人民政府住房和城乡建设、生态环境主管部门或者地方人民政府指</w:t>
            </w:r>
            <w:r>
              <w:rPr>
                <w:rFonts w:ascii="Times New Roman" w:hAnsi="Times New Roman" w:eastAsia="宋体"/>
                <w:color w:val="000000" w:themeColor="text1"/>
                <w:sz w:val="24"/>
                <w14:textFill>
                  <w14:solidFill>
                    <w14:schemeClr w14:val="tx1"/>
                  </w14:solidFill>
                </w14:textFill>
              </w:rPr>
              <w:t>定的部门的证明，并在施工现场显著位置公示</w:t>
            </w:r>
            <w:r>
              <w:rPr>
                <w:rFonts w:ascii="Times New Roman" w:hAnsi="Times New Roman" w:eastAsia="宋体"/>
                <w:color w:val="000000" w:themeColor="text1"/>
                <w:spacing w:val="-1"/>
                <w:sz w:val="24"/>
                <w14:textFill>
                  <w14:solidFill>
                    <w14:schemeClr w14:val="tx1"/>
                  </w14:solidFill>
                </w14:textFill>
              </w:rPr>
              <w:t>或者以其他方式公告附近居民。</w:t>
            </w:r>
          </w:p>
          <w:p w14:paraId="03DF5D64">
            <w:pPr>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textAlignment w:val="auto"/>
              <w:rPr>
                <w:color w:val="000000" w:themeColor="text1"/>
                <w:spacing w:val="-2"/>
                <w14:textFill>
                  <w14:solidFill>
                    <w14:schemeClr w14:val="tx1"/>
                  </w14:solidFill>
                </w14:textFill>
              </w:rPr>
            </w:pPr>
            <w:r>
              <w:rPr>
                <w:rFonts w:ascii="Times New Roman" w:hAnsi="Times New Roman" w:eastAsia="宋体"/>
                <w:color w:val="000000" w:themeColor="text1"/>
                <w:spacing w:val="-1"/>
                <w:sz w:val="24"/>
                <w14:textFill>
                  <w14:solidFill>
                    <w14:schemeClr w14:val="tx1"/>
                  </w14:solidFill>
                </w14:textFill>
              </w:rPr>
              <w:t>通过上述噪声预防控制措施落实后，项目施工用地噪声可满足《建筑施工噪声排放标准》（</w:t>
            </w:r>
            <w:r>
              <w:rPr>
                <w:rFonts w:ascii="Times New Roman" w:hAnsi="Times New Roman" w:eastAsia="宋体" w:cs="Times New Roman"/>
                <w:color w:val="000000" w:themeColor="text1"/>
                <w:spacing w:val="-1"/>
                <w:sz w:val="24"/>
                <w14:textFill>
                  <w14:solidFill>
                    <w14:schemeClr w14:val="tx1"/>
                  </w14:solidFill>
                </w14:textFill>
              </w:rPr>
              <w:t>GB12523-2025</w:t>
            </w:r>
            <w:r>
              <w:rPr>
                <w:rFonts w:ascii="Times New Roman" w:hAnsi="Times New Roman" w:eastAsia="宋体"/>
                <w:color w:val="000000" w:themeColor="text1"/>
                <w:spacing w:val="-1"/>
                <w:sz w:val="24"/>
                <w14:textFill>
                  <w14:solidFill>
                    <w14:schemeClr w14:val="tx1"/>
                  </w14:solidFill>
                </w14:textFill>
              </w:rPr>
              <w:t>）标准的要求，同时对周边声环</w:t>
            </w:r>
            <w:r>
              <w:rPr>
                <w:rFonts w:ascii="Times New Roman" w:hAnsi="Times New Roman" w:eastAsia="宋体"/>
                <w:color w:val="000000" w:themeColor="text1"/>
                <w:spacing w:val="-2"/>
                <w:sz w:val="24"/>
                <w14:textFill>
                  <w14:solidFill>
                    <w14:schemeClr w14:val="tx1"/>
                  </w14:solidFill>
                </w14:textFill>
              </w:rPr>
              <w:t>境保护目标的影响可接受。</w:t>
            </w:r>
          </w:p>
          <w:p w14:paraId="3A18AAC0">
            <w:pPr>
              <w:pStyle w:val="227"/>
              <w:widowControl/>
              <w:kinsoku w:val="0"/>
              <w:autoSpaceDE w:val="0"/>
              <w:autoSpaceDN w:val="0"/>
              <w:adjustRightInd w:val="0"/>
              <w:snapToGrid w:val="0"/>
              <w:spacing w:before="40" w:line="360" w:lineRule="auto"/>
              <w:ind w:left="25" w:firstLine="0" w:firstLineChars="0"/>
              <w:jc w:val="left"/>
              <w:textAlignment w:val="baseline"/>
              <w:rPr>
                <w:rFonts w:ascii="宋体" w:hAnsi="宋体" w:eastAsia="宋体" w:cs="宋体"/>
                <w:b/>
                <w:bCs/>
                <w:snapToGrid w:val="0"/>
                <w:color w:val="000000" w:themeColor="text1"/>
                <w:spacing w:val="-4"/>
                <w:kern w:val="0"/>
                <w14:textFill>
                  <w14:solidFill>
                    <w14:schemeClr w14:val="tx1"/>
                  </w14:solidFill>
                </w14:textFill>
              </w:rPr>
            </w:pPr>
            <w:r>
              <w:rPr>
                <w:rFonts w:ascii="宋体" w:hAnsi="宋体" w:eastAsia="宋体" w:cs="宋体"/>
                <w:b/>
                <w:bCs/>
                <w:snapToGrid w:val="0"/>
                <w:color w:val="000000" w:themeColor="text1"/>
                <w:spacing w:val="-4"/>
                <w:kern w:val="0"/>
                <w14:textFill>
                  <w14:solidFill>
                    <w14:schemeClr w14:val="tx1"/>
                  </w14:solidFill>
                </w14:textFill>
              </w:rPr>
              <w:t>（四）施工期固体废物处置措施</w:t>
            </w:r>
          </w:p>
          <w:p w14:paraId="27D5BC05">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jc w:val="both"/>
              <w:textAlignment w:val="auto"/>
              <w:rPr>
                <w:rFonts w:eastAsia="宋体"/>
                <w:color w:val="000000" w:themeColor="text1"/>
                <w:sz w:val="24"/>
                <w14:textFill>
                  <w14:solidFill>
                    <w14:schemeClr w14:val="tx1"/>
                  </w14:solidFill>
                </w14:textFill>
              </w:rPr>
            </w:pPr>
            <w:r>
              <w:rPr>
                <w:rFonts w:eastAsia="宋体"/>
                <w:color w:val="000000" w:themeColor="text1"/>
                <w:spacing w:val="-1"/>
                <w:sz w:val="24"/>
                <w14:textFill>
                  <w14:solidFill>
                    <w14:schemeClr w14:val="tx1"/>
                  </w14:solidFill>
                </w14:textFill>
              </w:rPr>
              <w:t>根据现场调查，项目所在区域场地较为平整，无大量土石方开挖。施工期基础建设少量土石方开挖能够做到挖填平衡，本项目无弃土产生。本项目施工期固体废弃物主要为建筑垃圾和生活垃圾。</w:t>
            </w:r>
          </w:p>
          <w:p w14:paraId="4342E325">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68" w:firstLineChars="200"/>
              <w:textAlignment w:val="auto"/>
              <w:rPr>
                <w:rFonts w:eastAsia="宋体"/>
                <w:color w:val="000000" w:themeColor="text1"/>
                <w:sz w:val="24"/>
                <w14:textFill>
                  <w14:solidFill>
                    <w14:schemeClr w14:val="tx1"/>
                  </w14:solidFill>
                </w14:textFill>
              </w:rPr>
            </w:pPr>
            <w:r>
              <w:rPr>
                <w:rFonts w:eastAsia="宋体"/>
                <w:color w:val="000000" w:themeColor="text1"/>
                <w:spacing w:val="-3"/>
                <w:sz w:val="24"/>
                <w14:textFill>
                  <w14:solidFill>
                    <w14:schemeClr w14:val="tx1"/>
                  </w14:solidFill>
                </w14:textFill>
              </w:rPr>
              <w:t>（</w:t>
            </w:r>
            <w:r>
              <w:rPr>
                <w:rFonts w:ascii="Times New Roman" w:hAnsi="Times New Roman" w:eastAsia="宋体" w:cs="Times New Roman"/>
                <w:color w:val="000000" w:themeColor="text1"/>
                <w:spacing w:val="-3"/>
                <w:sz w:val="24"/>
                <w14:textFill>
                  <w14:solidFill>
                    <w14:schemeClr w14:val="tx1"/>
                  </w14:solidFill>
                </w14:textFill>
              </w:rPr>
              <w:t>1</w:t>
            </w:r>
            <w:r>
              <w:rPr>
                <w:rFonts w:eastAsia="宋体"/>
                <w:color w:val="000000" w:themeColor="text1"/>
                <w:spacing w:val="-3"/>
                <w:sz w:val="24"/>
                <w14:textFill>
                  <w14:solidFill>
                    <w14:schemeClr w14:val="tx1"/>
                  </w14:solidFill>
                </w14:textFill>
              </w:rPr>
              <w:t>）生活垃圾</w:t>
            </w:r>
          </w:p>
          <w:p w14:paraId="69A60C6C">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56" w:firstLineChars="200"/>
              <w:textAlignment w:val="auto"/>
              <w:rPr>
                <w:rFonts w:eastAsia="宋体"/>
                <w:color w:val="000000" w:themeColor="text1"/>
                <w:spacing w:val="-6"/>
                <w:sz w:val="24"/>
                <w14:textFill>
                  <w14:solidFill>
                    <w14:schemeClr w14:val="tx1"/>
                  </w14:solidFill>
                </w14:textFill>
              </w:rPr>
            </w:pPr>
            <w:r>
              <w:rPr>
                <w:rFonts w:eastAsia="宋体"/>
                <w:color w:val="000000" w:themeColor="text1"/>
                <w:spacing w:val="-6"/>
                <w:sz w:val="24"/>
                <w14:textFill>
                  <w14:solidFill>
                    <w14:schemeClr w14:val="tx1"/>
                  </w14:solidFill>
                </w14:textFill>
              </w:rPr>
              <w:t>施工工人生活垃圾以</w:t>
            </w:r>
            <w:r>
              <w:rPr>
                <w:rFonts w:ascii="Times New Roman" w:hAnsi="Times New Roman" w:eastAsia="宋体" w:cs="Times New Roman"/>
                <w:color w:val="000000" w:themeColor="text1"/>
                <w:spacing w:val="-6"/>
                <w:sz w:val="24"/>
                <w14:textFill>
                  <w14:solidFill>
                    <w14:schemeClr w14:val="tx1"/>
                  </w14:solidFill>
                </w14:textFill>
              </w:rPr>
              <w:t>0.5kg/</w:t>
            </w:r>
            <w:r>
              <w:rPr>
                <w:rFonts w:eastAsia="宋体"/>
                <w:color w:val="000000" w:themeColor="text1"/>
                <w:spacing w:val="-6"/>
                <w:sz w:val="24"/>
                <w14:textFill>
                  <w14:solidFill>
                    <w14:schemeClr w14:val="tx1"/>
                  </w14:solidFill>
                </w14:textFill>
              </w:rPr>
              <w:t>人•</w:t>
            </w:r>
            <w:r>
              <w:rPr>
                <w:rFonts w:ascii="Times New Roman" w:hAnsi="Times New Roman" w:eastAsia="宋体" w:cs="Times New Roman"/>
                <w:color w:val="000000" w:themeColor="text1"/>
                <w:spacing w:val="-6"/>
                <w:sz w:val="24"/>
                <w14:textFill>
                  <w14:solidFill>
                    <w14:schemeClr w14:val="tx1"/>
                  </w14:solidFill>
                </w14:textFill>
              </w:rPr>
              <w:t>d</w:t>
            </w:r>
            <w:r>
              <w:rPr>
                <w:rFonts w:eastAsia="宋体"/>
                <w:color w:val="000000" w:themeColor="text1"/>
                <w:spacing w:val="-6"/>
                <w:sz w:val="24"/>
                <w14:textFill>
                  <w14:solidFill>
                    <w14:schemeClr w14:val="tx1"/>
                  </w14:solidFill>
                </w14:textFill>
              </w:rPr>
              <w:t>计，则施工期</w:t>
            </w:r>
            <w:r>
              <w:rPr>
                <w:rFonts w:eastAsia="宋体"/>
                <w:color w:val="000000" w:themeColor="text1"/>
                <w:spacing w:val="-7"/>
                <w:sz w:val="24"/>
                <w14:textFill>
                  <w14:solidFill>
                    <w14:schemeClr w14:val="tx1"/>
                  </w14:solidFill>
                </w14:textFill>
              </w:rPr>
              <w:t>施工人员产生的生活垃圾为</w:t>
            </w:r>
            <w:r>
              <w:rPr>
                <w:rFonts w:ascii="Times New Roman" w:hAnsi="Times New Roman" w:eastAsia="宋体" w:cs="Times New Roman"/>
                <w:color w:val="000000" w:themeColor="text1"/>
                <w:spacing w:val="-7"/>
                <w:sz w:val="24"/>
                <w14:textFill>
                  <w14:solidFill>
                    <w14:schemeClr w14:val="tx1"/>
                  </w14:solidFill>
                </w14:textFill>
              </w:rPr>
              <w:t>10kg/d</w:t>
            </w:r>
            <w:r>
              <w:rPr>
                <w:rFonts w:eastAsia="宋体"/>
                <w:color w:val="000000" w:themeColor="text1"/>
                <w:spacing w:val="-7"/>
                <w:sz w:val="24"/>
                <w14:textFill>
                  <w14:solidFill>
                    <w14:schemeClr w14:val="tx1"/>
                  </w14:solidFill>
                </w14:textFill>
              </w:rPr>
              <w:t>，</w:t>
            </w:r>
            <w:r>
              <w:rPr>
                <w:rFonts w:eastAsia="宋体"/>
                <w:color w:val="000000" w:themeColor="text1"/>
                <w:spacing w:val="-2"/>
                <w:sz w:val="24"/>
                <w14:textFill>
                  <w14:solidFill>
                    <w14:schemeClr w14:val="tx1"/>
                  </w14:solidFill>
                </w14:textFill>
              </w:rPr>
              <w:t>生活垃圾集中收集，</w:t>
            </w:r>
            <w:r>
              <w:rPr>
                <w:rFonts w:eastAsia="宋体"/>
                <w:color w:val="000000" w:themeColor="text1"/>
                <w:spacing w:val="-6"/>
                <w:sz w:val="24"/>
                <w14:textFill>
                  <w14:solidFill>
                    <w14:schemeClr w14:val="tx1"/>
                  </w14:solidFill>
                </w14:textFill>
              </w:rPr>
              <w:t>由</w:t>
            </w:r>
            <w:r>
              <w:rPr>
                <w:rFonts w:hint="eastAsia" w:eastAsia="宋体"/>
                <w:color w:val="000000" w:themeColor="text1"/>
                <w:spacing w:val="-6"/>
                <w:sz w:val="24"/>
                <w14:textFill>
                  <w14:solidFill>
                    <w14:schemeClr w14:val="tx1"/>
                  </w14:solidFill>
                </w14:textFill>
              </w:rPr>
              <w:t>昌吉市三工镇常胜四队</w:t>
            </w:r>
            <w:r>
              <w:rPr>
                <w:rFonts w:hint="eastAsia" w:eastAsia="宋体"/>
                <w:color w:val="000000" w:themeColor="text1"/>
                <w:spacing w:val="-6"/>
                <w:sz w:val="24"/>
                <w:lang w:val="en-US" w:eastAsia="zh-CN"/>
                <w14:textFill>
                  <w14:solidFill>
                    <w14:schemeClr w14:val="tx1"/>
                  </w14:solidFill>
                </w14:textFill>
              </w:rPr>
              <w:t>村委会收集后统一交由</w:t>
            </w:r>
            <w:r>
              <w:rPr>
                <w:rFonts w:eastAsia="宋体"/>
                <w:color w:val="000000" w:themeColor="text1"/>
                <w:spacing w:val="-6"/>
                <w:sz w:val="24"/>
                <w14:textFill>
                  <w14:solidFill>
                    <w14:schemeClr w14:val="tx1"/>
                  </w14:solidFill>
                </w14:textFill>
              </w:rPr>
              <w:t>昌吉市市容环境卫生管理中心</w:t>
            </w:r>
            <w:r>
              <w:rPr>
                <w:rFonts w:hint="eastAsia" w:eastAsia="宋体"/>
                <w:color w:val="000000" w:themeColor="text1"/>
                <w:spacing w:val="-6"/>
                <w:sz w:val="24"/>
                <w:lang w:val="en-US" w:eastAsia="zh-CN"/>
                <w14:textFill>
                  <w14:solidFill>
                    <w14:schemeClr w14:val="tx1"/>
                  </w14:solidFill>
                </w14:textFill>
              </w:rPr>
              <w:t>处理处置</w:t>
            </w:r>
            <w:r>
              <w:rPr>
                <w:rFonts w:eastAsia="宋体"/>
                <w:color w:val="000000" w:themeColor="text1"/>
                <w:spacing w:val="-6"/>
                <w:sz w:val="24"/>
                <w14:textFill>
                  <w14:solidFill>
                    <w14:schemeClr w14:val="tx1"/>
                  </w14:solidFill>
                </w14:textFill>
              </w:rPr>
              <w:t>。</w:t>
            </w:r>
          </w:p>
          <w:p w14:paraId="58118BCA">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68" w:firstLineChars="200"/>
              <w:textAlignment w:val="auto"/>
              <w:rPr>
                <w:rFonts w:eastAsia="宋体"/>
                <w:color w:val="000000" w:themeColor="text1"/>
                <w:sz w:val="24"/>
                <w14:textFill>
                  <w14:solidFill>
                    <w14:schemeClr w14:val="tx1"/>
                  </w14:solidFill>
                </w14:textFill>
              </w:rPr>
            </w:pPr>
            <w:r>
              <w:rPr>
                <w:rFonts w:eastAsia="宋体"/>
                <w:color w:val="000000" w:themeColor="text1"/>
                <w:spacing w:val="-3"/>
                <w:sz w:val="24"/>
                <w14:textFill>
                  <w14:solidFill>
                    <w14:schemeClr w14:val="tx1"/>
                  </w14:solidFill>
                </w14:textFill>
              </w:rPr>
              <w:t>（</w:t>
            </w:r>
            <w:r>
              <w:rPr>
                <w:rFonts w:ascii="Times New Roman" w:hAnsi="Times New Roman" w:eastAsia="宋体" w:cs="Times New Roman"/>
                <w:color w:val="000000" w:themeColor="text1"/>
                <w:spacing w:val="-3"/>
                <w:sz w:val="24"/>
                <w14:textFill>
                  <w14:solidFill>
                    <w14:schemeClr w14:val="tx1"/>
                  </w14:solidFill>
                </w14:textFill>
              </w:rPr>
              <w:t>2</w:t>
            </w:r>
            <w:r>
              <w:rPr>
                <w:rFonts w:eastAsia="宋体"/>
                <w:color w:val="000000" w:themeColor="text1"/>
                <w:spacing w:val="-3"/>
                <w:sz w:val="24"/>
                <w14:textFill>
                  <w14:solidFill>
                    <w14:schemeClr w14:val="tx1"/>
                  </w14:solidFill>
                </w14:textFill>
              </w:rPr>
              <w:t>）建筑垃圾</w:t>
            </w:r>
          </w:p>
          <w:p w14:paraId="66236DA1">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56" w:firstLineChars="200"/>
              <w:textAlignment w:val="auto"/>
              <w:rPr>
                <w:rFonts w:eastAsia="宋体"/>
                <w:color w:val="000000" w:themeColor="text1"/>
                <w:spacing w:val="-6"/>
                <w:sz w:val="24"/>
                <w14:textFill>
                  <w14:solidFill>
                    <w14:schemeClr w14:val="tx1"/>
                  </w14:solidFill>
                </w14:textFill>
              </w:rPr>
            </w:pPr>
            <w:r>
              <w:rPr>
                <w:rFonts w:eastAsia="宋体"/>
                <w:color w:val="000000" w:themeColor="text1"/>
                <w:spacing w:val="-6"/>
                <w:sz w:val="24"/>
                <w14:textFill>
                  <w14:solidFill>
                    <w14:schemeClr w14:val="tx1"/>
                  </w14:solidFill>
                </w14:textFill>
              </w:rPr>
              <w:t>施工单位须对施工产生各类固体废物做到日产日清、规范转运，严格依照环境卫生主管管理要求实施资源化利用或合规处置；施工产生钢材、木方等可回收边角废料实行分类分区归集，统一交由正规废旧物资回收单位收购综合利用；混凝土碎块、砖石渣土等不可回收建筑废弃物单独密闭堆存，委托具备清运资质单位转运至主管部门划定合规固废消纳点位处置，</w:t>
            </w:r>
            <w:r>
              <w:rPr>
                <w:rFonts w:hint="eastAsia" w:eastAsia="宋体"/>
                <w:color w:val="000000" w:themeColor="text1"/>
                <w:spacing w:val="-6"/>
                <w:sz w:val="24"/>
                <w:lang w:eastAsia="zh-CN"/>
                <w14:textFill>
                  <w14:solidFill>
                    <w14:schemeClr w14:val="tx1"/>
                  </w14:solidFill>
                </w14:textFill>
              </w:rPr>
              <w:t>严禁随意抛撒，就</w:t>
            </w:r>
            <w:r>
              <w:rPr>
                <w:rFonts w:eastAsia="宋体"/>
                <w:color w:val="000000" w:themeColor="text1"/>
                <w:spacing w:val="-6"/>
                <w:sz w:val="24"/>
                <w14:textFill>
                  <w14:solidFill>
                    <w14:schemeClr w14:val="tx1"/>
                  </w14:solidFill>
                </w14:textFill>
              </w:rPr>
              <w:t>地乱堆或私设倾倒点。</w:t>
            </w:r>
          </w:p>
          <w:p w14:paraId="3A6C9BFD">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color w:val="000000" w:themeColor="text1"/>
                <w:spacing w:val="-2"/>
                <w14:textFill>
                  <w14:solidFill>
                    <w14:schemeClr w14:val="tx1"/>
                  </w14:solidFill>
                </w14:textFill>
              </w:rPr>
            </w:pPr>
            <w:r>
              <w:rPr>
                <w:rFonts w:eastAsia="宋体"/>
                <w:color w:val="000000" w:themeColor="text1"/>
                <w:sz w:val="24"/>
                <w14:textFill>
                  <w14:solidFill>
                    <w14:schemeClr w14:val="tx1"/>
                  </w14:solidFill>
                </w14:textFill>
              </w:rPr>
              <w:t>综上所述，本项目施工期的固体废弃物可实现</w:t>
            </w:r>
            <w:r>
              <w:rPr>
                <w:rFonts w:eastAsia="宋体"/>
                <w:color w:val="000000" w:themeColor="text1"/>
                <w:spacing w:val="-1"/>
                <w:sz w:val="24"/>
                <w14:textFill>
                  <w14:solidFill>
                    <w14:schemeClr w14:val="tx1"/>
                  </w14:solidFill>
                </w14:textFill>
              </w:rPr>
              <w:t>有效处置，不致造成二次污染。</w:t>
            </w:r>
          </w:p>
        </w:tc>
      </w:tr>
      <w:tr w14:paraId="7AFDF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64" w:hRule="atLeast"/>
        </w:trPr>
        <w:tc>
          <w:tcPr>
            <w:tcW w:w="457" w:type="dxa"/>
            <w:tcBorders>
              <w:tl2br w:val="nil"/>
              <w:tr2bl w:val="nil"/>
            </w:tcBorders>
            <w:vAlign w:val="center"/>
          </w:tcPr>
          <w:p w14:paraId="25A1A72A">
            <w:pPr>
              <w:ind w:firstLine="0" w:firstLineChars="0"/>
              <w:rPr>
                <w:color w:val="000000" w:themeColor="text1"/>
                <w14:textFill>
                  <w14:solidFill>
                    <w14:schemeClr w14:val="tx1"/>
                  </w14:solidFill>
                </w14:textFill>
              </w:rPr>
            </w:pPr>
            <w:r>
              <w:rPr>
                <w:rFonts w:hint="eastAsia"/>
                <w:b/>
                <w:bCs/>
                <w:color w:val="000000" w:themeColor="text1"/>
                <w14:textFill>
                  <w14:solidFill>
                    <w14:schemeClr w14:val="tx1"/>
                  </w14:solidFill>
                </w14:textFill>
              </w:rPr>
              <w:t>运营期环境影响和保护措施</w:t>
            </w:r>
          </w:p>
        </w:tc>
        <w:tc>
          <w:tcPr>
            <w:tcW w:w="8883" w:type="dxa"/>
            <w:tcBorders>
              <w:tl2br w:val="nil"/>
              <w:tr2bl w:val="nil"/>
            </w:tcBorders>
          </w:tcPr>
          <w:p w14:paraId="0F62F492">
            <w:pPr>
              <w:pStyle w:val="249"/>
              <w:spacing w:line="360" w:lineRule="auto"/>
              <w:ind w:left="0" w:leftChars="0" w:firstLine="0" w:firstLineChars="0"/>
              <w:rPr>
                <w:rFonts w:ascii="Times New Roman" w:hAnsi="Times New Roman" w:eastAsia="宋体"/>
                <w:color w:val="000000" w:themeColor="text1"/>
                <w:szCs w:val="24"/>
                <w:highlight w:val="none"/>
                <w14:textFill>
                  <w14:solidFill>
                    <w14:schemeClr w14:val="tx1"/>
                  </w14:solidFill>
                </w14:textFill>
              </w:rPr>
            </w:pPr>
            <w:r>
              <w:rPr>
                <w:rFonts w:hint="eastAsia" w:eastAsia="宋体"/>
                <w:color w:val="000000" w:themeColor="text1"/>
                <w:szCs w:val="24"/>
                <w:highlight w:val="none"/>
                <w:lang w:val="en-US" w:eastAsia="zh-CN"/>
                <w14:textFill>
                  <w14:solidFill>
                    <w14:schemeClr w14:val="tx1"/>
                  </w14:solidFill>
                </w14:textFill>
              </w:rPr>
              <w:t>（一）</w:t>
            </w:r>
            <w:r>
              <w:rPr>
                <w:rFonts w:hint="eastAsia" w:ascii="Times New Roman" w:hAnsi="Times New Roman" w:eastAsia="宋体"/>
                <w:color w:val="000000" w:themeColor="text1"/>
                <w:szCs w:val="24"/>
                <w:highlight w:val="none"/>
                <w14:textFill>
                  <w14:solidFill>
                    <w14:schemeClr w14:val="tx1"/>
                  </w14:solidFill>
                </w14:textFill>
              </w:rPr>
              <w:t>废气</w:t>
            </w:r>
          </w:p>
          <w:p w14:paraId="53D8B38C">
            <w:pPr>
              <w:pStyle w:val="250"/>
              <w:spacing w:line="360" w:lineRule="auto"/>
              <w:ind w:firstLine="482"/>
              <w:rPr>
                <w:rFonts w:hint="eastAsia"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olor w:val="000000" w:themeColor="text1"/>
                <w:sz w:val="24"/>
                <w:szCs w:val="24"/>
                <w:highlight w:val="none"/>
                <w14:textFill>
                  <w14:solidFill>
                    <w14:schemeClr w14:val="tx1"/>
                  </w14:solidFill>
                </w14:textFill>
              </w:rPr>
              <w:t>废气正常情况下排放</w:t>
            </w:r>
          </w:p>
          <w:p w14:paraId="1A5C1120">
            <w:pPr>
              <w:pStyle w:val="250"/>
              <w:spacing w:line="360" w:lineRule="auto"/>
              <w:ind w:firstLine="482"/>
              <w:rPr>
                <w:rFonts w:hint="eastAsia" w:ascii="Times New Roman" w:hAnsi="Times New Roman" w:eastAsia="宋体"/>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olor w:val="000000" w:themeColor="text1"/>
                <w:sz w:val="24"/>
                <w:szCs w:val="24"/>
                <w:highlight w:val="none"/>
                <w14:textFill>
                  <w14:solidFill>
                    <w14:schemeClr w14:val="tx1"/>
                  </w14:solidFill>
                </w14:textFill>
              </w:rPr>
              <w:t>源强核算</w:t>
            </w:r>
          </w:p>
          <w:p w14:paraId="185F743E">
            <w:pPr>
              <w:spacing w:line="360" w:lineRule="auto"/>
              <w:ind w:firstLine="480" w:firstLineChars="200"/>
              <w:contextualSpacing/>
              <w:rPr>
                <w:rFonts w:hint="eastAsia"/>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①</w:t>
            </w:r>
            <w:r>
              <w:rPr>
                <w:rFonts w:hint="eastAsia"/>
                <w:b w:val="0"/>
                <w:bCs/>
                <w:color w:val="000000" w:themeColor="text1"/>
                <w:sz w:val="24"/>
                <w:szCs w:val="24"/>
                <w:highlight w:val="none"/>
                <w:lang w:val="en-US" w:eastAsia="zh-CN"/>
                <w14:textFill>
                  <w14:solidFill>
                    <w14:schemeClr w14:val="tx1"/>
                  </w14:solidFill>
                </w14:textFill>
              </w:rPr>
              <w:t>原料堆场粉尘</w:t>
            </w:r>
          </w:p>
          <w:p w14:paraId="3DB2AE53">
            <w:pPr>
              <w:pStyle w:val="200"/>
              <w:spacing w:line="360" w:lineRule="auto"/>
              <w:ind w:firstLine="480"/>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参考《关于发布</w:t>
            </w:r>
            <w:r>
              <w:rPr>
                <w:rFonts w:hint="eastAsia"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排放源统计调查排污核算方法和系数手册</w:t>
            </w:r>
            <w:r>
              <w:rPr>
                <w:rFonts w:hint="eastAsia"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的公告》（生态环境部公告2021年第24号）中《固体物料堆存颗粒物产排污核算系数手册》可知，工业企业固体物料堆存颗粒物包括装卸扬尘和风蚀扬尘，颗粒物产生量核算公式如下：</w:t>
            </w:r>
          </w:p>
          <w:p w14:paraId="7F28185F">
            <w:pPr>
              <w:pStyle w:val="200"/>
              <w:spacing w:line="360" w:lineRule="auto"/>
              <w:ind w:firstLine="0" w:firstLineChars="0"/>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object>
                <v:shape id="_x0000_i1025" o:spt="75" type="#_x0000_t75" style="height:20.4pt;width:245.55pt;" o:ole="t" filled="f" o:preferrelative="t" stroked="f" coordsize="21600,21600">
                  <v:path/>
                  <v:fill on="f" focussize="0,0"/>
                  <v:stroke on="f"/>
                  <v:imagedata r:id="rId15" o:title=""/>
                  <o:lock v:ext="edit" aspectratio="t"/>
                  <w10:wrap type="none"/>
                  <w10:anchorlock/>
                </v:shape>
                <o:OLEObject Type="Embed" ProgID="Equation.3" ShapeID="_x0000_i1025" DrawAspect="Content" ObjectID="_1468075725" r:id="rId14">
                  <o:LockedField>false</o:LockedField>
                </o:OLEObject>
              </w:object>
            </w:r>
          </w:p>
          <w:p w14:paraId="58799D54">
            <w:pPr>
              <w:spacing w:line="360" w:lineRule="auto"/>
              <w:ind w:firstLine="480" w:firstLineChars="200"/>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式中：P指颗粒物产生量（单位：吨）；</w:t>
            </w:r>
          </w:p>
          <w:p w14:paraId="0ED5597E">
            <w:pPr>
              <w:spacing w:line="360" w:lineRule="auto"/>
              <w:ind w:firstLine="1099" w:firstLineChars="458"/>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ZCy指装卸扬尘产生量（单位：吨）；</w:t>
            </w:r>
          </w:p>
          <w:p w14:paraId="075667F0">
            <w:pPr>
              <w:spacing w:line="360" w:lineRule="auto"/>
              <w:ind w:firstLine="1099" w:firstLineChars="458"/>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FCy指风蚀扬尘产生量（单位：吨）；</w:t>
            </w:r>
          </w:p>
          <w:p w14:paraId="1AE99B40">
            <w:pPr>
              <w:spacing w:line="360" w:lineRule="auto"/>
              <w:ind w:firstLine="1099" w:firstLineChars="458"/>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Nc指年物料运载车次（单位：车）；</w:t>
            </w:r>
          </w:p>
          <w:p w14:paraId="7327E002">
            <w:pPr>
              <w:spacing w:line="360" w:lineRule="auto"/>
              <w:ind w:firstLine="1099" w:firstLineChars="458"/>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D指单车平均运载量（单位：吨/车），取30t；</w:t>
            </w:r>
          </w:p>
          <w:p w14:paraId="09798541">
            <w:pPr>
              <w:spacing w:line="360" w:lineRule="auto"/>
              <w:ind w:firstLine="1099" w:firstLineChars="458"/>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s="Times New Roman"/>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a/b）指装卸扬尘概化系数（单位：千克/吨），a指各省风速概化系数，新疆取0.0011；b指物料含水率概化系数，取0.0001；</w:t>
            </w:r>
          </w:p>
          <w:p w14:paraId="42502EEF">
            <w:pPr>
              <w:spacing w:line="360" w:lineRule="auto"/>
              <w:ind w:firstLine="1099" w:firstLineChars="458"/>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Ef指堆场风蚀扬尘概化系数，见附录3（单位：千克/平方米），取8.5848；</w:t>
            </w:r>
          </w:p>
          <w:p w14:paraId="3215F31A">
            <w:pPr>
              <w:spacing w:line="360" w:lineRule="auto"/>
              <w:ind w:firstLine="1099" w:firstLineChars="458"/>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S指堆场占地面积（单位：平方米），本项目原料堆场面积为9000m</w:t>
            </w:r>
            <w:r>
              <w:rPr>
                <w:rFonts w:hint="eastAsia"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2</w:t>
            </w:r>
          </w:p>
          <w:p w14:paraId="0EE81FC3">
            <w:pPr>
              <w:pStyle w:val="200"/>
              <w:spacing w:line="360" w:lineRule="auto"/>
              <w:ind w:left="0" w:leftChars="0" w:firstLine="480" w:firstLineChars="200"/>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经计算，原料堆场装卸粉尘产生量为37.16t/a；</w:t>
            </w:r>
            <w:r>
              <w:rPr>
                <w:rFonts w:ascii="宋体" w:hAnsi="宋体" w:eastAsia="宋体" w:cs="宋体"/>
                <w:color w:val="000000" w:themeColor="text1"/>
                <w:sz w:val="24"/>
                <w:szCs w:val="24"/>
                <w14:textFill>
                  <w14:solidFill>
                    <w14:schemeClr w14:val="tx1"/>
                  </w14:solidFill>
                </w14:textFill>
              </w:rPr>
              <w:t>风蚀扬尘</w:t>
            </w:r>
            <w:r>
              <w:rPr>
                <w:rFonts w:hint="eastAsia" w:ascii="宋体" w:hAnsi="宋体" w:eastAsia="宋体" w:cs="宋体"/>
                <w:color w:val="000000" w:themeColor="text1"/>
                <w:sz w:val="24"/>
                <w:szCs w:val="24"/>
                <w:lang w:val="en-US" w:eastAsia="zh-CN"/>
                <w14:textFill>
                  <w14:solidFill>
                    <w14:schemeClr w14:val="tx1"/>
                  </w14:solidFill>
                </w14:textFill>
              </w:rPr>
              <w:t>产生量为</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77.26t/a，则本项目原料堆场产生的粉尘量为114.42t/a。</w:t>
            </w:r>
          </w:p>
          <w:p w14:paraId="5027A55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治理措施及排放情况</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原料堆场占地面积9000m²，按照《工业料堆场扬尘整治规范》（DB65/T4061-2017）Ⅱ类堆场管控要求配套双重抑尘设施：堆场四周布设高度2.5m、高于堆垛1.1倍的封闭式防风抑尘网，阻断风力侵蚀起尘；堆场全域布设自动化喷</w:t>
            </w:r>
            <w:r>
              <w:rPr>
                <w:rFonts w:hint="eastAsia" w:cs="Times New Roman"/>
                <w:color w:val="000000" w:themeColor="text1"/>
                <w:sz w:val="24"/>
                <w:szCs w:val="24"/>
                <w:lang w:val="en-US" w:eastAsia="zh-CN"/>
                <w14:textFill>
                  <w14:solidFill>
                    <w14:schemeClr w14:val="tx1"/>
                  </w14:solidFill>
                </w14:textFill>
              </w:rPr>
              <w:t>水装置</w:t>
            </w:r>
            <w:r>
              <w:rPr>
                <w:rFonts w:ascii="Times New Roman" w:hAnsi="Times New Roman" w:eastAsia="宋体" w:cs="Times New Roman"/>
                <w:color w:val="000000" w:themeColor="text1"/>
                <w:sz w:val="24"/>
                <w:szCs w:val="24"/>
                <w14:textFill>
                  <w14:solidFill>
                    <w14:schemeClr w14:val="tx1"/>
                  </w14:solidFill>
                </w14:textFill>
              </w:rPr>
              <w:t>，每日分时段洒水增湿，干燥大风天气增加洒水频次，持续保持表层物料高含水率，从源头抑制风蚀、装卸扬尘产生</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参考生态环境部发布的《排放源统计调查产排污核算方法和系数手册》（公告2021年第24号）中“固体物料堆存颗粒物产排污核算系数手册—附录4：粉尘控制措施控制效率”，防风抑尘降尘效率为60%，洒水降尘效率为74%，则原料堆场粉尘的排放量为</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11.90t/a。</w:t>
            </w:r>
          </w:p>
          <w:p w14:paraId="739722E7">
            <w:pPr>
              <w:spacing w:line="360" w:lineRule="auto"/>
              <w:ind w:firstLine="480" w:firstLineChars="200"/>
              <w:contextualSpacing/>
              <w:rPr>
                <w:rFonts w:hint="default" w:ascii="Times New Roman" w:hAnsi="Times New Roman" w:cs="Times New Roman"/>
                <w:color w:val="000000" w:themeColor="text1"/>
                <w:sz w:val="24"/>
                <w:szCs w:val="22"/>
                <w14:textFill>
                  <w14:solidFill>
                    <w14:schemeClr w14:val="tx1"/>
                  </w14:solidFill>
                </w14:textFill>
              </w:rPr>
            </w:pPr>
            <w:r>
              <w:rPr>
                <w:rFonts w:hint="eastAsia"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②</w:t>
            </w:r>
            <w:r>
              <w:rPr>
                <w:rFonts w:hint="eastAsia" w:cs="Times New Roman"/>
                <w:color w:val="000000" w:themeColor="text1"/>
                <w:sz w:val="24"/>
                <w:szCs w:val="22"/>
                <w:lang w:val="en-US" w:eastAsia="zh-CN"/>
                <w14:textFill>
                  <w14:solidFill>
                    <w14:schemeClr w14:val="tx1"/>
                  </w14:solidFill>
                </w14:textFill>
              </w:rPr>
              <w:t>上料</w:t>
            </w:r>
            <w:r>
              <w:rPr>
                <w:rFonts w:hint="default" w:ascii="Times New Roman" w:hAnsi="Times New Roman" w:cs="Times New Roman"/>
                <w:color w:val="000000" w:themeColor="text1"/>
                <w:sz w:val="24"/>
                <w:szCs w:val="22"/>
                <w:lang w:val="en-US" w:eastAsia="zh-CN"/>
                <w14:textFill>
                  <w14:solidFill>
                    <w14:schemeClr w14:val="tx1"/>
                  </w14:solidFill>
                </w14:textFill>
              </w:rPr>
              <w:t>粉尘</w:t>
            </w:r>
          </w:p>
          <w:p w14:paraId="096B37B4">
            <w:pPr>
              <w:spacing w:line="360" w:lineRule="auto"/>
              <w:ind w:firstLine="480" w:firstLineChars="200"/>
              <w:contextualSpacing/>
              <w:rPr>
                <w:rFonts w:hint="default" w:ascii="Times New Roman" w:hAnsi="Times New Roman" w:cs="Times New Roman"/>
                <w:color w:val="000000" w:themeColor="text1"/>
                <w:sz w:val="24"/>
                <w:szCs w:val="22"/>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参考《逸散性工业粉尘控制技术》“第十八章、粒料加工厂”表</w:t>
            </w:r>
            <w:r>
              <w:rPr>
                <w:rFonts w:hint="default" w:ascii="Times New Roman" w:hAnsi="Times New Roman" w:eastAsia="宋体" w:cs="Times New Roman"/>
                <w:color w:val="000000" w:themeColor="text1"/>
                <w:sz w:val="24"/>
                <w:lang w:val="en-US" w:eastAsia="zh-CN"/>
                <w14:textFill>
                  <w14:solidFill>
                    <w14:schemeClr w14:val="tx1"/>
                  </w14:solidFill>
                </w14:textFill>
              </w:rPr>
              <w:t>18-1</w:t>
            </w:r>
            <w:r>
              <w:rPr>
                <w:rFonts w:hint="eastAsia" w:ascii="Times New Roman" w:hAnsi="Times New Roman" w:eastAsia="宋体" w:cs="Times New Roman"/>
                <w:color w:val="000000" w:themeColor="text1"/>
                <w:sz w:val="24"/>
                <w:lang w:val="en-US" w:eastAsia="zh-CN"/>
                <w14:textFill>
                  <w14:solidFill>
                    <w14:schemeClr w14:val="tx1"/>
                  </w14:solidFill>
                </w14:textFill>
              </w:rPr>
              <w:t>，原料上料粉尘排放系数为</w:t>
            </w:r>
            <w:r>
              <w:rPr>
                <w:rFonts w:hint="default" w:ascii="Times New Roman" w:hAnsi="Times New Roman" w:eastAsia="宋体" w:cs="Times New Roman"/>
                <w:color w:val="000000" w:themeColor="text1"/>
                <w:sz w:val="24"/>
                <w:lang w:val="en-US" w:eastAsia="zh-CN"/>
                <w14:textFill>
                  <w14:solidFill>
                    <w14:schemeClr w14:val="tx1"/>
                  </w14:solidFill>
                </w14:textFill>
              </w:rPr>
              <w:t>0.02kg/t</w:t>
            </w:r>
            <w:r>
              <w:rPr>
                <w:rFonts w:hint="eastAsia" w:ascii="Times New Roman" w:hAnsi="Times New Roman" w:eastAsia="宋体" w:cs="Times New Roman"/>
                <w:color w:val="000000" w:themeColor="text1"/>
                <w:sz w:val="24"/>
                <w:lang w:val="en-US" w:eastAsia="zh-CN"/>
                <w14:textFill>
                  <w14:solidFill>
                    <w14:schemeClr w14:val="tx1"/>
                  </w14:solidFill>
                </w14:textFill>
              </w:rPr>
              <w:t>原料，原料处理量为</w:t>
            </w:r>
            <w:r>
              <w:rPr>
                <w:rFonts w:hint="eastAsia" w:cs="Times New Roman"/>
                <w:color w:val="000000" w:themeColor="text1"/>
                <w:sz w:val="24"/>
                <w:highlight w:val="none"/>
                <w:lang w:val="en-US" w:eastAsia="zh-CN"/>
                <w14:textFill>
                  <w14:solidFill>
                    <w14:schemeClr w14:val="tx1"/>
                  </w14:solidFill>
                </w14:textFill>
              </w:rPr>
              <w:t>101337.83</w:t>
            </w:r>
            <w:r>
              <w:rPr>
                <w:rFonts w:hint="default" w:ascii="Times New Roman" w:hAnsi="Times New Roman" w:eastAsia="宋体" w:cs="Times New Roman"/>
                <w:color w:val="000000" w:themeColor="text1"/>
                <w:sz w:val="24"/>
                <w:lang w:val="en-US" w:eastAsia="zh-CN"/>
                <w14:textFill>
                  <w14:solidFill>
                    <w14:schemeClr w14:val="tx1"/>
                  </w14:solidFill>
                </w14:textFill>
              </w:rPr>
              <w:t>t/a</w:t>
            </w:r>
            <w:r>
              <w:rPr>
                <w:rFonts w:hint="eastAsia" w:ascii="Times New Roman" w:hAnsi="Times New Roman" w:eastAsia="宋体" w:cs="Times New Roman"/>
                <w:color w:val="000000" w:themeColor="text1"/>
                <w:sz w:val="24"/>
                <w:lang w:val="en-US" w:eastAsia="zh-CN"/>
                <w14:textFill>
                  <w14:solidFill>
                    <w14:schemeClr w14:val="tx1"/>
                  </w14:solidFill>
                </w14:textFill>
              </w:rPr>
              <w:t>，上料粉尘产生量为2.03</w:t>
            </w:r>
            <w:r>
              <w:rPr>
                <w:rFonts w:hint="default" w:ascii="Times New Roman" w:hAnsi="Times New Roman" w:cs="Times New Roman"/>
                <w:color w:val="000000" w:themeColor="text1"/>
                <w:sz w:val="24"/>
                <w:lang w:val="en-US" w:eastAsia="zh-CN"/>
                <w14:textFill>
                  <w14:solidFill>
                    <w14:schemeClr w14:val="tx1"/>
                  </w14:solidFill>
                </w14:textFill>
              </w:rPr>
              <w:t>t/a</w:t>
            </w:r>
            <w:r>
              <w:rPr>
                <w:rFonts w:hint="eastAsia" w:ascii="Times New Roman" w:hAnsi="Times New Roman" w:cs="Times New Roman"/>
                <w:color w:val="000000" w:themeColor="text1"/>
                <w:sz w:val="24"/>
                <w:lang w:val="en-US" w:eastAsia="zh-CN"/>
                <w14:textFill>
                  <w14:solidFill>
                    <w14:schemeClr w14:val="tx1"/>
                  </w14:solidFill>
                </w14:textFill>
              </w:rPr>
              <w:t>。</w:t>
            </w:r>
          </w:p>
          <w:p w14:paraId="56CFA68F">
            <w:pPr>
              <w:pStyle w:val="250"/>
              <w:spacing w:line="360" w:lineRule="auto"/>
              <w:ind w:firstLine="482"/>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③振动筛分粉尘</w:t>
            </w:r>
          </w:p>
          <w:p w14:paraId="3B685DF1">
            <w:pPr>
              <w:kinsoku/>
              <w:overflowPunct/>
              <w:bidi w:val="0"/>
              <w:spacing w:line="360" w:lineRule="auto"/>
              <w:ind w:left="0" w:leftChars="0" w:right="0" w:firstLine="480" w:firstLineChars="200"/>
              <w:rPr>
                <w:rFonts w:hint="default" w:ascii="Times New Roman" w:hAnsi="Times New Roman" w:cs="Times New Roman"/>
                <w:color w:val="000000" w:themeColor="text1"/>
                <w:sz w:val="24"/>
                <w:szCs w:val="22"/>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参考《逸散性工业粉尘控制技术》“第十八章、粒料加工厂”表</w:t>
            </w:r>
            <w:r>
              <w:rPr>
                <w:rFonts w:hint="default" w:ascii="Times New Roman" w:hAnsi="Times New Roman" w:eastAsia="宋体" w:cs="Times New Roman"/>
                <w:color w:val="000000" w:themeColor="text1"/>
                <w:sz w:val="24"/>
                <w:lang w:val="en-US" w:eastAsia="zh-CN"/>
                <w14:textFill>
                  <w14:solidFill>
                    <w14:schemeClr w14:val="tx1"/>
                  </w14:solidFill>
                </w14:textFill>
              </w:rPr>
              <w:t>18-1</w:t>
            </w:r>
            <w:r>
              <w:rPr>
                <w:rFonts w:hint="eastAsia" w:ascii="Times New Roman" w:hAnsi="Times New Roman" w:eastAsia="宋体" w:cs="Times New Roman"/>
                <w:color w:val="000000" w:themeColor="text1"/>
                <w:sz w:val="24"/>
                <w:lang w:val="en-US" w:eastAsia="zh-CN"/>
                <w14:textFill>
                  <w14:solidFill>
                    <w14:schemeClr w14:val="tx1"/>
                  </w14:solidFill>
                </w14:textFill>
              </w:rPr>
              <w:t>，破碎和筛选粉尘排放系数为</w:t>
            </w:r>
            <w:r>
              <w:rPr>
                <w:rFonts w:hint="default" w:ascii="Times New Roman" w:hAnsi="Times New Roman" w:eastAsia="宋体" w:cs="Times New Roman"/>
                <w:color w:val="000000" w:themeColor="text1"/>
                <w:sz w:val="24"/>
                <w:lang w:val="en-US" w:eastAsia="zh-CN"/>
                <w14:textFill>
                  <w14:solidFill>
                    <w14:schemeClr w14:val="tx1"/>
                  </w14:solidFill>
                </w14:textFill>
              </w:rPr>
              <w:t>0.25kg/t</w:t>
            </w:r>
            <w:r>
              <w:rPr>
                <w:rFonts w:hint="eastAsia" w:ascii="Times New Roman" w:hAnsi="Times New Roman" w:eastAsia="宋体" w:cs="Times New Roman"/>
                <w:color w:val="000000" w:themeColor="text1"/>
                <w:sz w:val="24"/>
                <w:lang w:val="en-US" w:eastAsia="zh-CN"/>
                <w14:textFill>
                  <w14:solidFill>
                    <w14:schemeClr w14:val="tx1"/>
                  </w14:solidFill>
                </w14:textFill>
              </w:rPr>
              <w:t>原料，</w:t>
            </w:r>
            <w:r>
              <w:rPr>
                <w:rFonts w:hint="default" w:ascii="Times New Roman" w:hAnsi="Times New Roman" w:cs="Times New Roman"/>
                <w:color w:val="000000" w:themeColor="text1"/>
                <w:sz w:val="24"/>
                <w:szCs w:val="22"/>
                <w:lang w:val="en-US" w:eastAsia="zh-CN"/>
                <w14:textFill>
                  <w14:solidFill>
                    <w14:schemeClr w14:val="tx1"/>
                  </w14:solidFill>
                </w14:textFill>
              </w:rPr>
              <w:t>本项目原料用量为</w:t>
            </w:r>
            <w:r>
              <w:rPr>
                <w:rFonts w:hint="eastAsia" w:cs="Times New Roman"/>
                <w:color w:val="000000" w:themeColor="text1"/>
                <w:sz w:val="24"/>
                <w:szCs w:val="22"/>
                <w:lang w:val="en-US" w:eastAsia="zh-CN"/>
                <w14:textFill>
                  <w14:solidFill>
                    <w14:schemeClr w14:val="tx1"/>
                  </w14:solidFill>
                </w14:textFill>
              </w:rPr>
              <w:t>101337.83</w:t>
            </w:r>
            <w:r>
              <w:rPr>
                <w:rFonts w:hint="default" w:ascii="Times New Roman" w:hAnsi="Times New Roman" w:eastAsia="宋体" w:cs="Times New Roman"/>
                <w:color w:val="000000" w:themeColor="text1"/>
                <w:sz w:val="24"/>
                <w:lang w:val="en-US" w:eastAsia="zh-CN"/>
                <w14:textFill>
                  <w14:solidFill>
                    <w14:schemeClr w14:val="tx1"/>
                  </w14:solidFill>
                </w14:textFill>
              </w:rPr>
              <w:t>t/a</w:t>
            </w:r>
            <w:r>
              <w:rPr>
                <w:rFonts w:hint="default" w:ascii="Times New Roman" w:hAnsi="Times New Roman" w:cs="Times New Roman"/>
                <w:color w:val="000000" w:themeColor="text1"/>
                <w:sz w:val="24"/>
                <w:szCs w:val="22"/>
                <w:lang w:val="en-US" w:eastAsia="zh-CN"/>
                <w14:textFill>
                  <w14:solidFill>
                    <w14:schemeClr w14:val="tx1"/>
                  </w14:solidFill>
                </w14:textFill>
              </w:rPr>
              <w:t>，</w:t>
            </w:r>
            <w:r>
              <w:rPr>
                <w:rFonts w:hint="eastAsia" w:cs="Times New Roman"/>
                <w:color w:val="000000" w:themeColor="text1"/>
                <w:sz w:val="24"/>
                <w:szCs w:val="22"/>
                <w:lang w:val="en-US" w:eastAsia="zh-CN"/>
                <w14:textFill>
                  <w14:solidFill>
                    <w14:schemeClr w14:val="tx1"/>
                  </w14:solidFill>
                </w14:textFill>
              </w:rPr>
              <w:t>振动</w:t>
            </w:r>
            <w:r>
              <w:rPr>
                <w:rFonts w:hint="eastAsia" w:cs="Times New Roman"/>
                <w:color w:val="000000" w:themeColor="text1"/>
                <w:kern w:val="0"/>
                <w:sz w:val="24"/>
                <w:szCs w:val="24"/>
                <w:lang w:val="en-US" w:eastAsia="zh-CN" w:bidi="ar"/>
                <w14:textFill>
                  <w14:solidFill>
                    <w14:schemeClr w14:val="tx1"/>
                  </w14:solidFill>
                </w14:textFill>
              </w:rPr>
              <w:t>筛分粉尘产生量为25.33</w:t>
            </w:r>
            <w:r>
              <w:rPr>
                <w:rFonts w:hint="default" w:ascii="Times New Roman" w:hAnsi="Times New Roman" w:cs="Times New Roman"/>
                <w:color w:val="000000" w:themeColor="text1"/>
                <w:sz w:val="24"/>
                <w:lang w:val="en-US" w:eastAsia="zh-CN"/>
                <w14:textFill>
                  <w14:solidFill>
                    <w14:schemeClr w14:val="tx1"/>
                  </w14:solidFill>
                </w14:textFill>
              </w:rPr>
              <w:t>t/a</w:t>
            </w:r>
            <w:r>
              <w:rPr>
                <w:rFonts w:hint="eastAsia" w:ascii="Times New Roman" w:hAnsi="Times New Roman" w:cs="Times New Roman"/>
                <w:color w:val="000000" w:themeColor="text1"/>
                <w:sz w:val="24"/>
                <w:lang w:val="en-US" w:eastAsia="zh-CN"/>
                <w14:textFill>
                  <w14:solidFill>
                    <w14:schemeClr w14:val="tx1"/>
                  </w14:solidFill>
                </w14:textFill>
              </w:rPr>
              <w:t>，</w:t>
            </w:r>
          </w:p>
          <w:p w14:paraId="3B031178">
            <w:pPr>
              <w:widowControl/>
              <w:spacing w:line="360" w:lineRule="auto"/>
              <w:ind w:firstLine="482" w:firstLineChars="200"/>
              <w:jc w:val="both"/>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治理措施及排放情况</w:t>
            </w:r>
            <w:r>
              <w:rPr>
                <w:rFonts w:hint="eastAsia" w:eastAsia="宋体" w:cs="Times New Roman"/>
                <w:b/>
                <w:bCs/>
                <w:color w:val="000000" w:themeColor="text1"/>
                <w:kern w:val="2"/>
                <w:sz w:val="24"/>
                <w:szCs w:val="24"/>
                <w:lang w:val="en-US" w:eastAsia="zh-CN" w:bidi="ar-SA"/>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上料口设置三面围挡式局部密闭集气罩，仅预留铲车进料操作位，罩内维持负压抽风，集气罩收集效率为70%；振动筛整体加装全封闭钢制密闭罩，设备四周、上下全部密封，物料进出缝隙加装耐磨防尘软帘，最大程度减少粉尘外溢，密闭集气罩收集效率为80%。各点位集气罩通过防腐通风管道汇总，配套离心引风机将含尘废气统一送入脉冲布袋除尘器净化，除尘器滤料符合《袋式除尘器技术要求》（GB/T6719-2009）标准，正常运行除尘效率99%，除尘系统配套风机额定风量5000m³/h，净化后的废气经15m高标准化排气筒高空排放，排气筒设置规范采样平台与环保标识牌。经核算，上料和振动筛分粉尘有组织排放量为0.22t/a，上料、振动筛分时间每年约3360小时（年生产210天，每天16小时），排放速率为0.07kg/h，排放浓度为14mg/m</w:t>
            </w:r>
            <w:r>
              <w:rPr>
                <w:rFonts w:ascii="Times New Roman" w:hAnsi="Times New Roman" w:eastAsia="宋体" w:cs="Times New Roman"/>
                <w:color w:val="000000" w:themeColor="text1"/>
                <w:sz w:val="24"/>
                <w:szCs w:val="24"/>
                <w:vertAlign w:val="superscript"/>
                <w14:textFill>
                  <w14:solidFill>
                    <w14:schemeClr w14:val="tx1"/>
                  </w14:solidFill>
                </w14:textFill>
              </w:rPr>
              <w:t>3</w:t>
            </w:r>
            <w:r>
              <w:rPr>
                <w:rFonts w:ascii="Times New Roman" w:hAnsi="Times New Roman" w:eastAsia="宋体" w:cs="Times New Roman"/>
                <w:color w:val="000000" w:themeColor="text1"/>
                <w:sz w:val="24"/>
                <w:szCs w:val="24"/>
                <w14:textFill>
                  <w14:solidFill>
                    <w14:schemeClr w14:val="tx1"/>
                  </w14:solidFill>
                </w14:textFill>
              </w:rPr>
              <w:t>；未被集气罩捕集的粉尘散逸至车间内形成无组织排放，无组织粉尘产生量（即排放量）为5.67t/a。</w:t>
            </w:r>
          </w:p>
          <w:p w14:paraId="57C86D3E">
            <w:pPr>
              <w:widowControl/>
              <w:spacing w:line="360" w:lineRule="auto"/>
              <w:ind w:firstLine="480" w:firstLineChars="200"/>
              <w:jc w:val="both"/>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注：振动筛分工序筛分出来的＞40mm大块物料，由车辆转运至一期原料堆场，作为一期生产原料回用；该部分回用料可减少一期原料外购量、降低生产成本，对应的粉尘源强统一纳入一期源强核算，本项目不再重复计算。</w:t>
            </w:r>
          </w:p>
          <w:p w14:paraId="4BE58299">
            <w:pPr>
              <w:widowControl/>
              <w:spacing w:line="360" w:lineRule="auto"/>
              <w:ind w:firstLine="48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微软雅黑" w:cs="Times New Roman"/>
                <w:color w:val="000000" w:themeColor="text1"/>
                <w:lang w:val="en-US" w:eastAsia="zh-CN"/>
                <w14:textFill>
                  <w14:solidFill>
                    <w14:schemeClr w14:val="tx1"/>
                  </w14:solidFill>
                </w14:textFill>
              </w:rPr>
              <w:t>④</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成品</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装</w:t>
            </w:r>
            <w:r>
              <w:rPr>
                <w:rFonts w:hint="default" w:ascii="Times New Roman" w:hAnsi="Times New Roman" w:cs="Times New Roman"/>
                <w:color w:val="000000" w:themeColor="text1"/>
                <w:kern w:val="0"/>
                <w:sz w:val="24"/>
                <w:szCs w:val="24"/>
                <w:lang w:val="en-US" w:eastAsia="zh-CN" w:bidi="ar"/>
                <w14:textFill>
                  <w14:solidFill>
                    <w14:schemeClr w14:val="tx1"/>
                  </w14:solidFill>
                </w14:textFill>
              </w:rPr>
              <w:t>料</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粉尘</w:t>
            </w:r>
          </w:p>
          <w:p w14:paraId="35E542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本项目成品装车采用铲车装车，</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现</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成品</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露天堆放</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，并配备能够覆盖成品的喷雾设施。据《逸散性工业粉尘控制技术》（中国环境科学出版社1989年）第十八章粒料加工厂装料作业（砂和砾石）排放因子为0.01kg/t（装货），本项目年产石料</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8万</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t/a，</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则产生粉尘量为0.8</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t/a</w:t>
            </w:r>
            <w:r>
              <w:rPr>
                <w:rFonts w:hint="eastAsia" w:cs="Times New Roman"/>
                <w:color w:val="000000" w:themeColor="text1"/>
                <w:kern w:val="0"/>
                <w:sz w:val="24"/>
                <w:szCs w:val="24"/>
                <w:lang w:val="en-US" w:eastAsia="zh-CN" w:bidi="ar"/>
                <w14:textFill>
                  <w14:solidFill>
                    <w14:schemeClr w14:val="tx1"/>
                  </w14:solidFill>
                </w14:textFill>
              </w:rPr>
              <w:t xml:space="preserve">。 </w:t>
            </w:r>
          </w:p>
          <w:p w14:paraId="7A7CE30D">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治理措施及排放情况</w:t>
            </w:r>
            <w:r>
              <w:rPr>
                <w:rFonts w:hint="eastAsia" w:eastAsia="宋体" w:cs="Times New Roman"/>
                <w:b/>
                <w:bC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成品碎石、砂子堆场四周布设</w:t>
            </w:r>
            <w:r>
              <w:rPr>
                <w:rFonts w:hint="eastAsia" w:eastAsia="宋体" w:cs="Times New Roman"/>
                <w:color w:val="000000" w:themeColor="text1"/>
                <w:kern w:val="0"/>
                <w:sz w:val="24"/>
                <w:szCs w:val="24"/>
                <w:lang w:val="en-US" w:eastAsia="zh-CN" w:bidi="ar"/>
                <w14:textFill>
                  <w14:solidFill>
                    <w14:schemeClr w14:val="tx1"/>
                  </w14:solidFill>
                </w14:textFill>
              </w:rPr>
              <w:t>洒水降尘设施</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铲车装车点位配套可移动高压雾炮装置；装车作业全程同步开启喷雾设备，水雾完全覆盖铲车卸料落差区域，作业间隙对堆料表层定时洒水增湿，维持物料表面含水率，抑制表层细粉料起扬；干燥、大风天气加密洒水喷雾频次，多重洒水抑尘综合削减效率可达74%。经核算，抑尘处理后成品装车无组织粉尘排放量为0.21t/a，全部以无组织形式逸散于厂区内</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549676B6">
            <w:pPr>
              <w:widowControl/>
              <w:spacing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微软雅黑" w:cs="Times New Roman"/>
                <w:b w:val="0"/>
                <w:bCs/>
                <w:color w:val="000000" w:themeColor="text1"/>
                <w:sz w:val="24"/>
                <w:szCs w:val="24"/>
                <w:highlight w:val="none"/>
                <w:lang w:val="en-US" w:eastAsia="zh-CN"/>
                <w14:textFill>
                  <w14:solidFill>
                    <w14:schemeClr w14:val="tx1"/>
                  </w14:solidFill>
                </w14:textFill>
              </w:rPr>
              <w:t>⑤</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运输扬尘</w:t>
            </w:r>
          </w:p>
          <w:p w14:paraId="2AAE4EC4">
            <w:pPr>
              <w:widowControl/>
              <w:spacing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本工程外购原材料采用汽车运输。车辆行驶产生的扬尘，在道路完全干燥的情况下，可按下列经验公式计算：</w:t>
            </w:r>
          </w:p>
          <w:p w14:paraId="7AD14E83">
            <w:pPr>
              <w:widowControl/>
              <w:spacing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Q=0.123×</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V/5</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W/6.8</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vertAlign w:val="superscript"/>
                <w:lang w:val="en-US" w:eastAsia="zh-CN" w:bidi="ar"/>
                <w14:textFill>
                  <w14:solidFill>
                    <w14:schemeClr w14:val="tx1"/>
                  </w14:solidFill>
                </w14:textFill>
              </w:rPr>
              <w:t>0.85</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P/0.5</w:t>
            </w:r>
            <w:r>
              <w:rPr>
                <w:rFonts w:hint="eastAsia"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vertAlign w:val="superscript"/>
                <w:lang w:val="en-US" w:eastAsia="zh-CN" w:bidi="ar"/>
                <w14:textFill>
                  <w14:solidFill>
                    <w14:schemeClr w14:val="tx1"/>
                  </w14:solidFill>
                </w14:textFill>
              </w:rPr>
              <w:t>0.75</w:t>
            </w:r>
          </w:p>
          <w:p w14:paraId="52627141">
            <w:pPr>
              <w:widowControl/>
              <w:spacing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式中：Q：汽车行驶时的扬尘，kg/km；</w:t>
            </w:r>
          </w:p>
          <w:p w14:paraId="05E883B6">
            <w:pPr>
              <w:widowControl/>
              <w:spacing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V：汽车速度，km/h；</w:t>
            </w:r>
          </w:p>
          <w:p w14:paraId="0A192793">
            <w:pPr>
              <w:widowControl/>
              <w:spacing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W：汽车载重量，吨；</w:t>
            </w:r>
          </w:p>
          <w:p w14:paraId="03ADDB92">
            <w:pPr>
              <w:widowControl/>
              <w:spacing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P：道路表面粉尘量，kg/m</w:t>
            </w:r>
            <w:r>
              <w:rPr>
                <w:rFonts w:hint="default" w:ascii="Times New Roman" w:hAnsi="Times New Roman" w:eastAsia="宋体" w:cs="Times New Roman"/>
                <w:color w:val="000000" w:themeColor="text1"/>
                <w:kern w:val="0"/>
                <w:sz w:val="24"/>
                <w:szCs w:val="24"/>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077B0B2C">
            <w:pPr>
              <w:widowControl/>
              <w:spacing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本项目车辆在厂区行驶距离约为100m，</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项目运输车辆载重</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30</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辆，平均每天发车空重载各辆</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次，空车重约</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1</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，重车重约</w:t>
            </w:r>
            <w:r>
              <w:rPr>
                <w:rFonts w:hint="eastAsia" w:cs="Times New Roman"/>
                <w:color w:val="000000" w:themeColor="text1"/>
                <w:kern w:val="0"/>
                <w:sz w:val="24"/>
                <w:szCs w:val="24"/>
                <w:lang w:val="en-US" w:eastAsia="zh-CN" w:bidi="ar"/>
                <w14:textFill>
                  <w14:solidFill>
                    <w14:schemeClr w14:val="tx1"/>
                  </w14:solidFill>
                </w14:textFill>
              </w:rPr>
              <w:t>45</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。以速度</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4km/h</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行驶，</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道路表面粉尘量</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以</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0.</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4</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kg/m</w:t>
            </w:r>
            <w:r>
              <w:rPr>
                <w:rFonts w:hint="default" w:ascii="Times New Roman" w:hAnsi="Times New Roman" w:eastAsia="宋体" w:cs="Times New Roman"/>
                <w:color w:val="000000" w:themeColor="text1"/>
                <w:kern w:val="0"/>
                <w:sz w:val="24"/>
                <w:szCs w:val="24"/>
                <w:vertAlign w:val="superscript"/>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计，</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运输扬尘</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产生量为</w:t>
            </w:r>
            <w:r>
              <w:rPr>
                <w:rFonts w:hint="eastAsia" w:ascii="Times New Roman" w:hAnsi="Times New Roman" w:eastAsiaTheme="minorEastAsia" w:cstheme="minorBidi"/>
                <w:b w:val="0"/>
                <w:bCs w:val="0"/>
                <w:color w:val="000000" w:themeColor="text1"/>
                <w:kern w:val="2"/>
                <w:sz w:val="24"/>
                <w:szCs w:val="24"/>
                <w:lang w:val="en-US" w:eastAsia="zh-CN"/>
                <w14:textFill>
                  <w14:solidFill>
                    <w14:schemeClr w14:val="tx1"/>
                  </w14:solidFill>
                </w14:textFill>
              </w:rPr>
              <w:t>0.012</w:t>
            </w:r>
            <w:r>
              <w:rPr>
                <w:rFonts w:hint="default" w:ascii="Times New Roman" w:hAnsi="Times New Roman" w:eastAsiaTheme="minorEastAsia" w:cstheme="minorBidi"/>
                <w:b w:val="0"/>
                <w:bCs w:val="0"/>
                <w:color w:val="000000" w:themeColor="text1"/>
                <w:kern w:val="2"/>
                <w:sz w:val="24"/>
                <w:szCs w:val="24"/>
                <w:lang w:val="en-US" w:eastAsia="zh-CN"/>
                <w14:textFill>
                  <w14:solidFill>
                    <w14:schemeClr w14:val="tx1"/>
                  </w14:solidFill>
                </w14:textFill>
              </w:rPr>
              <w:t>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/a</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cs="Times New Roman"/>
                <w:color w:val="000000" w:themeColor="text1"/>
                <w:sz w:val="24"/>
                <w:szCs w:val="22"/>
                <w:lang w:val="en-US" w:eastAsia="zh-CN"/>
                <w14:textFill>
                  <w14:solidFill>
                    <w14:schemeClr w14:val="tx1"/>
                  </w14:solidFill>
                </w14:textFill>
              </w:rPr>
              <w:t>为</w:t>
            </w:r>
            <w:r>
              <w:rPr>
                <w:rFonts w:hint="default" w:ascii="Times New Roman" w:hAnsi="Times New Roman" w:cs="Times New Roman"/>
                <w:color w:val="000000" w:themeColor="text1"/>
                <w:sz w:val="24"/>
                <w:szCs w:val="22"/>
                <w:lang w:val="en-US" w:eastAsia="zh-CN"/>
                <w14:textFill>
                  <w14:solidFill>
                    <w14:schemeClr w14:val="tx1"/>
                  </w14:solidFill>
                </w14:textFill>
              </w:rPr>
              <w:t>无组织排放</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14:paraId="2DCE80EA">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治理措施及排放情况：</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厂区全部运输道路全面硬化，无裸露土路；厂区出入口配套全自动洗车平台，车辆驶出前彻底冲洗轮胎、底盘，杜绝带泥上路；场内划定专用运输路线，设置限速标识；道路两侧布设固定喷淋管线，每日早、中、晚定时洒水保湿，干旱大风时段增加洒水频次，及时清扫路面散落砂石、积尘，减少路面起尘基础条件；所有原料、成品、泥饼运输车辆车厢全覆盖密闭篷布，杜绝沿途抛洒。综合洒水、清扫、车辆冲洗、密闭篷布多重抑尘措施协同作用，道路扬尘整体削减效率可达74%，抑尘后厂区运输扬尘排放量为0.003t/a，以无组织形式扩散。</w:t>
            </w:r>
          </w:p>
          <w:p w14:paraId="647D9643">
            <w:pPr>
              <w:widowControl/>
              <w:spacing w:line="360" w:lineRule="auto"/>
              <w:ind w:firstLine="480" w:firstLineChars="20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微软雅黑" w:cs="Times New Roman"/>
                <w:b w:val="0"/>
                <w:bCs/>
                <w:color w:val="000000" w:themeColor="text1"/>
                <w:kern w:val="2"/>
                <w:sz w:val="24"/>
                <w:szCs w:val="24"/>
                <w:highlight w:val="none"/>
                <w:lang w:val="en-US" w:eastAsia="zh-CN" w:bidi="ar-SA"/>
                <w14:textFill>
                  <w14:solidFill>
                    <w14:schemeClr w14:val="tx1"/>
                  </w14:solidFill>
                </w14:textFill>
              </w:rPr>
              <w:t>⑥</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汽车尾气</w:t>
            </w:r>
          </w:p>
          <w:p w14:paraId="282B7088">
            <w:pPr>
              <w:pStyle w:val="250"/>
              <w:spacing w:line="360" w:lineRule="auto"/>
              <w:ind w:firstLine="482"/>
              <w:rPr>
                <w:rFonts w:hint="default" w:ascii="Times New Roman" w:hAnsi="Times New Roman" w:eastAsia="宋体" w:cs="Times New Roman"/>
                <w:b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val="0"/>
                <w:color w:val="000000" w:themeColor="text1"/>
                <w:kern w:val="0"/>
                <w:sz w:val="24"/>
                <w:szCs w:val="24"/>
                <w:lang w:val="en-US" w:eastAsia="zh-CN" w:bidi="ar"/>
                <w14:textFill>
                  <w14:solidFill>
                    <w14:schemeClr w14:val="tx1"/>
                  </w14:solidFill>
                </w14:textFill>
              </w:rPr>
              <w:t>本项目原辅材料、成品依托货运汽车场内场外转运，车辆怠速、行驶过程会产生含CO、NOₓ、THC的机动车尾气；项目厂区场地开阔，无高大建构筑物阻隔，大气扩散条件优越，尾气污染物可快速稀释消散，对区域大气环境影响轻微。</w:t>
            </w:r>
          </w:p>
          <w:p w14:paraId="61DE75A9">
            <w:pPr>
              <w:pStyle w:val="250"/>
              <w:spacing w:line="360" w:lineRule="auto"/>
              <w:ind w:firstLine="482"/>
              <w:rPr>
                <w:rFonts w:hint="eastAsia" w:ascii="Times New Roman" w:hAnsi="Times New Roman" w:eastAsia="宋体" w:cs="Times New Roman"/>
                <w:b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val="0"/>
                <w:color w:val="000000" w:themeColor="text1"/>
                <w:kern w:val="0"/>
                <w:sz w:val="24"/>
                <w:szCs w:val="24"/>
                <w:lang w:val="en-US" w:eastAsia="zh-CN" w:bidi="ar"/>
                <w14:textFill>
                  <w14:solidFill>
                    <w14:schemeClr w14:val="tx1"/>
                  </w14:solidFill>
                </w14:textFill>
              </w:rPr>
              <w:t>⑦</w:t>
            </w:r>
            <w:r>
              <w:rPr>
                <w:rFonts w:hint="eastAsia" w:ascii="Times New Roman" w:hAnsi="Times New Roman" w:eastAsia="宋体" w:cs="Times New Roman"/>
                <w:b w:val="0"/>
                <w:color w:val="000000" w:themeColor="text1"/>
                <w:kern w:val="0"/>
                <w:sz w:val="24"/>
                <w:szCs w:val="24"/>
                <w:lang w:val="en-US" w:eastAsia="zh-CN" w:bidi="ar"/>
                <w14:textFill>
                  <w14:solidFill>
                    <w14:schemeClr w14:val="tx1"/>
                  </w14:solidFill>
                </w14:textFill>
              </w:rPr>
              <w:t>皮带运输粉尘</w:t>
            </w:r>
          </w:p>
          <w:p w14:paraId="30A14E88">
            <w:pPr>
              <w:pStyle w:val="250"/>
              <w:spacing w:line="360" w:lineRule="auto"/>
              <w:ind w:firstLine="482"/>
              <w:rPr>
                <w:rFonts w:hint="default" w:ascii="Times New Roman" w:hAnsi="Times New Roman" w:eastAsia="宋体" w:cs="Times New Roman"/>
                <w:b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val="0"/>
                <w:color w:val="000000" w:themeColor="text1"/>
                <w:kern w:val="0"/>
                <w:sz w:val="24"/>
                <w:szCs w:val="24"/>
                <w:lang w:val="en-US" w:eastAsia="zh-CN" w:bidi="ar"/>
                <w14:textFill>
                  <w14:solidFill>
                    <w14:schemeClr w14:val="tx1"/>
                  </w14:solidFill>
                </w14:textFill>
              </w:rPr>
              <w:t>本项目物料输送皮带全部设置全封闭廊道，廊道内配套喷淋洒水装置，物料转运全程密闭隔绝，可大幅减少皮带转接、物料落差产生的无组织粉尘逸散；洒水抑尘可进一步抑制细小颗粒物扬起。</w:t>
            </w:r>
          </w:p>
          <w:p w14:paraId="0DAC941C">
            <w:pPr>
              <w:pStyle w:val="250"/>
              <w:spacing w:line="360" w:lineRule="auto"/>
              <w:ind w:firstLine="482"/>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治理措施及排放情况：</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整套皮带输送系统采用全密闭廊道围挡+廊道内持续喷淋组合抑尘方式，密闭结构阻断粉尘外溢通道，喷淋水雾吸附悬浮细颗粒，双重措施同步发挥抑尘作用，皮带转运过程粉尘逸散量极低，无组织颗粒物排放影响轻微，无需定量核算。</w:t>
            </w:r>
          </w:p>
          <w:p w14:paraId="189D42A1">
            <w:pPr>
              <w:pStyle w:val="250"/>
              <w:spacing w:line="360" w:lineRule="auto"/>
              <w:ind w:firstLine="482"/>
              <w:rPr>
                <w:rFonts w:hint="eastAsia" w:cs="Times New Roman"/>
                <w:b w:val="0"/>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b w:val="0"/>
                <w:color w:val="000000" w:themeColor="text1"/>
                <w:kern w:val="0"/>
                <w:sz w:val="24"/>
                <w:szCs w:val="24"/>
                <w:lang w:val="en-US" w:eastAsia="zh-CN" w:bidi="ar"/>
                <w14:textFill>
                  <w14:solidFill>
                    <w14:schemeClr w14:val="tx1"/>
                  </w14:solidFill>
                </w14:textFill>
              </w:rPr>
              <w:t>⑧</w:t>
            </w:r>
            <w:r>
              <w:rPr>
                <w:rFonts w:hint="eastAsia" w:cs="Times New Roman"/>
                <w:b w:val="0"/>
                <w:color w:val="000000" w:themeColor="text1"/>
                <w:kern w:val="0"/>
                <w:sz w:val="24"/>
                <w:szCs w:val="24"/>
                <w:lang w:val="en-US" w:eastAsia="zh-CN" w:bidi="ar"/>
                <w14:textFill>
                  <w14:solidFill>
                    <w14:schemeClr w14:val="tx1"/>
                  </w14:solidFill>
                </w14:textFill>
              </w:rPr>
              <w:t>产品堆场粉尘</w:t>
            </w:r>
          </w:p>
          <w:p w14:paraId="34245D7E">
            <w:pPr>
              <w:pStyle w:val="250"/>
              <w:spacing w:line="360" w:lineRule="auto"/>
              <w:ind w:firstLine="482"/>
              <w:rPr>
                <w:rFonts w:hint="eastAsia" w:cs="Times New Roman"/>
                <w:b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b w:val="0"/>
                <w:color w:val="000000" w:themeColor="text1"/>
                <w:kern w:val="0"/>
                <w:sz w:val="24"/>
                <w:szCs w:val="24"/>
                <w:lang w:val="en-US" w:eastAsia="zh-CN" w:bidi="ar"/>
                <w14:textFill>
                  <w14:solidFill>
                    <w14:schemeClr w14:val="tx1"/>
                  </w14:solidFill>
                </w14:textFill>
              </w:rPr>
              <w:t>本项目堆场存放经水洗后的成品砂石，物料含水率高、表层细粉少，仅装卸、大风时段产生无组织颗粒物，属于间歇性面源粉尘污染源，无其他废气污染物。本次仅开展定性分析，不做定量核算</w:t>
            </w:r>
            <w:r>
              <w:rPr>
                <w:rFonts w:hint="eastAsia" w:cs="Times New Roman"/>
                <w:b w:val="0"/>
                <w:color w:val="000000" w:themeColor="text1"/>
                <w:kern w:val="0"/>
                <w:sz w:val="24"/>
                <w:szCs w:val="24"/>
                <w:lang w:val="en-US" w:eastAsia="zh-CN" w:bidi="ar"/>
                <w14:textFill>
                  <w14:solidFill>
                    <w14:schemeClr w14:val="tx1"/>
                  </w14:solidFill>
                </w14:textFill>
              </w:rPr>
              <w:t>。</w:t>
            </w:r>
          </w:p>
          <w:p w14:paraId="117008D0">
            <w:pPr>
              <w:pStyle w:val="250"/>
              <w:spacing w:line="360" w:lineRule="auto"/>
              <w:ind w:firstLine="482"/>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治理措施及排放情况：</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成品碎石、砂子堆场四周搭设高度不低于2.5m的封闭式防风抑尘网，围挡高度高出物料堆垛1.1倍，有效阻隔区域大风直接冲刷堆体，大幅降低风蚀起尘风险；堆场全域布设</w:t>
            </w:r>
            <w:r>
              <w:rPr>
                <w:rFonts w:hint="eastAsia" w:eastAsia="宋体" w:cs="Times New Roman"/>
                <w:b w:val="0"/>
                <w:bCs w:val="0"/>
                <w:color w:val="000000" w:themeColor="text1"/>
                <w:kern w:val="2"/>
                <w:sz w:val="24"/>
                <w:szCs w:val="24"/>
                <w:lang w:val="en-US" w:eastAsia="zh-CN" w:bidi="ar-SA"/>
                <w14:textFill>
                  <w14:solidFill>
                    <w14:schemeClr w14:val="tx1"/>
                  </w14:solidFill>
                </w14:textFill>
              </w:rPr>
              <w:t>洒水装置并</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全覆盖所有堆料区域，日常定时洒水保湿，干旱、大风天气自动延长</w:t>
            </w:r>
            <w:r>
              <w:rPr>
                <w:rFonts w:hint="eastAsia" w:eastAsia="宋体" w:cs="Times New Roman"/>
                <w:b w:val="0"/>
                <w:bCs w:val="0"/>
                <w:color w:val="000000" w:themeColor="text1"/>
                <w:kern w:val="2"/>
                <w:sz w:val="24"/>
                <w:szCs w:val="24"/>
                <w:lang w:val="en-US" w:eastAsia="zh-CN" w:bidi="ar-SA"/>
                <w14:textFill>
                  <w14:solidFill>
                    <w14:schemeClr w14:val="tx1"/>
                  </w14:solidFill>
                </w14:textFill>
              </w:rPr>
              <w:t>洒水</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时长、增加喷洒频次，持续保持物料表层湿润，抑制细颗粒物扬起；堆料分区规整堆放，控制堆垛高度不超过防风抑尘网围挡高度，减少裸露坡面面积；五级及以上大风天气暂停堆场一切铲车装卸作业，从源头减少装卸扬尘。通过防风围挡隔离、持续喷淋增湿、规范堆存管理、大风停工多重措施协同控尘，堆场整体产尘潜力低，对区域环境空气质量影响较小</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w:t>
            </w:r>
          </w:p>
          <w:p w14:paraId="221F5BDC">
            <w:pPr>
              <w:pStyle w:val="217"/>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left"/>
              <w:textAlignment w:val="auto"/>
              <w:rPr>
                <w:rFonts w:hint="default" w:ascii="Times New Roman" w:hAnsi="Times New Roman" w:eastAsia="宋体" w:cs="Times New Roman"/>
                <w:b/>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0"/>
                <w:sz w:val="24"/>
                <w:szCs w:val="24"/>
                <w:lang w:val="en-US" w:eastAsia="zh-CN" w:bidi="ar-SA"/>
                <w14:textFill>
                  <w14:solidFill>
                    <w14:schemeClr w14:val="tx1"/>
                  </w14:solidFill>
                </w14:textFill>
              </w:rPr>
              <w:t>（2）废气污染物排放表</w:t>
            </w:r>
          </w:p>
          <w:p w14:paraId="457011E7">
            <w:pPr>
              <w:pStyle w:val="195"/>
              <w:spacing w:line="240" w:lineRule="auto"/>
              <w:rPr>
                <w:rFonts w:hint="eastAsia" w:ascii="Times New Roman" w:hAnsi="Times New Roman" w:eastAsia="宋体" w:cs="Times New Roman"/>
                <w:color w:val="000000" w:themeColor="text1"/>
                <w:kern w:val="2"/>
                <w:sz w:val="21"/>
                <w:szCs w:val="21"/>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14:textFill>
                  <w14:solidFill>
                    <w14:schemeClr w14:val="tx1"/>
                  </w14:solidFill>
                </w14:textFill>
              </w:rPr>
              <w:t>表4-1     本项目废气产生及排放情况表</w:t>
            </w:r>
          </w:p>
          <w:tbl>
            <w:tblPr>
              <w:tblStyle w:val="42"/>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961"/>
              <w:gridCol w:w="869"/>
              <w:gridCol w:w="913"/>
              <w:gridCol w:w="1360"/>
              <w:gridCol w:w="616"/>
              <w:gridCol w:w="752"/>
              <w:gridCol w:w="913"/>
              <w:gridCol w:w="721"/>
              <w:gridCol w:w="913"/>
              <w:gridCol w:w="693"/>
            </w:tblGrid>
            <w:tr w14:paraId="697D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441" w:type="pct"/>
                  <w:tcBorders>
                    <w:top w:val="single" w:color="000000" w:sz="12" w:space="0"/>
                    <w:left w:val="nil"/>
                    <w:tl2br w:val="nil"/>
                  </w:tcBorders>
                  <w:shd w:val="clear" w:color="auto" w:fill="FFFFFF"/>
                  <w:noWrap w:val="0"/>
                  <w:vAlign w:val="center"/>
                </w:tcPr>
                <w:p w14:paraId="35BF18BF">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废气类别</w:t>
                  </w:r>
                </w:p>
              </w:tc>
              <w:tc>
                <w:tcPr>
                  <w:tcW w:w="503" w:type="pct"/>
                  <w:tcBorders>
                    <w:top w:val="single" w:color="000000" w:sz="12" w:space="0"/>
                  </w:tcBorders>
                  <w:shd w:val="clear" w:color="auto" w:fill="FFFFFF"/>
                  <w:noWrap w:val="0"/>
                  <w:vAlign w:val="center"/>
                </w:tcPr>
                <w:p w14:paraId="765162A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污染物</w:t>
                  </w:r>
                </w:p>
              </w:tc>
              <w:tc>
                <w:tcPr>
                  <w:tcW w:w="454" w:type="pct"/>
                  <w:tcBorders>
                    <w:top w:val="single" w:color="000000" w:sz="12" w:space="0"/>
                  </w:tcBorders>
                  <w:shd w:val="clear" w:color="auto" w:fill="FFFFFF"/>
                  <w:noWrap w:val="0"/>
                  <w:vAlign w:val="center"/>
                </w:tcPr>
                <w:p w14:paraId="783E1DF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产生量</w:t>
                  </w:r>
                </w:p>
                <w:p w14:paraId="2CD4891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t/a</w:t>
                  </w:r>
                </w:p>
              </w:tc>
              <w:tc>
                <w:tcPr>
                  <w:tcW w:w="477" w:type="pct"/>
                  <w:tcBorders>
                    <w:top w:val="single" w:color="000000" w:sz="12" w:space="0"/>
                  </w:tcBorders>
                  <w:shd w:val="clear" w:color="auto" w:fill="FFFFFF"/>
                  <w:noWrap w:val="0"/>
                  <w:vAlign w:val="center"/>
                </w:tcPr>
                <w:p w14:paraId="3460FBDD">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产生浓度</w:t>
                  </w:r>
                </w:p>
                <w:p w14:paraId="3D4BC93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mg/m</w:t>
                  </w:r>
                  <w:r>
                    <w:rPr>
                      <w:rFonts w:hint="eastAsia" w:ascii="Times New Roman" w:hAnsi="Times New Roman" w:eastAsia="宋体" w:cs="Times New Roman"/>
                      <w:b/>
                      <w:bCs w:val="0"/>
                      <w:color w:val="000000" w:themeColor="text1"/>
                      <w:vertAlign w:val="superscript"/>
                      <w14:textFill>
                        <w14:solidFill>
                          <w14:schemeClr w14:val="tx1"/>
                        </w14:solidFill>
                      </w14:textFill>
                    </w:rPr>
                    <w:t>3</w:t>
                  </w:r>
                </w:p>
              </w:tc>
              <w:tc>
                <w:tcPr>
                  <w:tcW w:w="711" w:type="pct"/>
                  <w:tcBorders>
                    <w:top w:val="single" w:color="000000" w:sz="12" w:space="0"/>
                  </w:tcBorders>
                  <w:shd w:val="clear" w:color="auto" w:fill="FFFFFF"/>
                  <w:noWrap w:val="0"/>
                  <w:vAlign w:val="center"/>
                </w:tcPr>
                <w:p w14:paraId="7DC3B34F">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处理措施</w:t>
                  </w:r>
                </w:p>
              </w:tc>
              <w:tc>
                <w:tcPr>
                  <w:tcW w:w="322" w:type="pct"/>
                  <w:tcBorders>
                    <w:top w:val="single" w:color="000000" w:sz="12" w:space="0"/>
                  </w:tcBorders>
                  <w:shd w:val="clear" w:color="auto" w:fill="FFFFFF"/>
                  <w:noWrap w:val="0"/>
                  <w:vAlign w:val="center"/>
                </w:tcPr>
                <w:p w14:paraId="1225A69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lang w:eastAsia="zh-CN"/>
                      <w14:textFill>
                        <w14:solidFill>
                          <w14:schemeClr w14:val="tx1"/>
                        </w14:solidFill>
                      </w14:textFill>
                    </w:rPr>
                  </w:pPr>
                  <w:r>
                    <w:rPr>
                      <w:rFonts w:hint="eastAsia" w:ascii="Times New Roman" w:hAnsi="Times New Roman" w:eastAsia="宋体" w:cs="Times New Roman"/>
                      <w:b/>
                      <w:bCs w:val="0"/>
                      <w:color w:val="000000" w:themeColor="text1"/>
                      <w:lang w:eastAsia="zh-CN"/>
                      <w14:textFill>
                        <w14:solidFill>
                          <w14:schemeClr w14:val="tx1"/>
                        </w14:solidFill>
                      </w14:textFill>
                    </w:rPr>
                    <w:t>排放形式</w:t>
                  </w:r>
                </w:p>
              </w:tc>
              <w:tc>
                <w:tcPr>
                  <w:tcW w:w="393" w:type="pct"/>
                  <w:tcBorders>
                    <w:top w:val="single" w:color="000000" w:sz="12" w:space="0"/>
                  </w:tcBorders>
                  <w:shd w:val="clear" w:color="auto" w:fill="FFFFFF"/>
                  <w:noWrap w:val="0"/>
                  <w:vAlign w:val="center"/>
                </w:tcPr>
                <w:p w14:paraId="05120094">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排放量</w:t>
                  </w:r>
                </w:p>
                <w:p w14:paraId="0B176D19">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t/a</w:t>
                  </w:r>
                </w:p>
              </w:tc>
              <w:tc>
                <w:tcPr>
                  <w:tcW w:w="477" w:type="pct"/>
                  <w:tcBorders>
                    <w:top w:val="single" w:color="000000" w:sz="12" w:space="0"/>
                  </w:tcBorders>
                  <w:shd w:val="clear" w:color="auto" w:fill="FFFFFF"/>
                  <w:noWrap w:val="0"/>
                  <w:vAlign w:val="center"/>
                </w:tcPr>
                <w:p w14:paraId="71359E7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排放浓度</w:t>
                  </w:r>
                </w:p>
                <w:p w14:paraId="788D8A8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mg/m</w:t>
                  </w:r>
                  <w:r>
                    <w:rPr>
                      <w:rFonts w:hint="eastAsia" w:ascii="Times New Roman" w:hAnsi="Times New Roman" w:eastAsia="宋体" w:cs="Times New Roman"/>
                      <w:b/>
                      <w:bCs w:val="0"/>
                      <w:color w:val="000000" w:themeColor="text1"/>
                      <w:vertAlign w:val="superscript"/>
                      <w14:textFill>
                        <w14:solidFill>
                          <w14:schemeClr w14:val="tx1"/>
                        </w14:solidFill>
                      </w14:textFill>
                    </w:rPr>
                    <w:t>3</w:t>
                  </w:r>
                </w:p>
              </w:tc>
              <w:tc>
                <w:tcPr>
                  <w:tcW w:w="377" w:type="pct"/>
                  <w:tcBorders>
                    <w:top w:val="single" w:color="000000" w:sz="12" w:space="0"/>
                  </w:tcBorders>
                  <w:shd w:val="clear" w:color="auto" w:fill="FFFFFF"/>
                  <w:noWrap w:val="0"/>
                  <w:vAlign w:val="center"/>
                </w:tcPr>
                <w:p w14:paraId="3B1F0B80">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排放速率</w:t>
                  </w:r>
                </w:p>
                <w:p w14:paraId="32891499">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eastAsia" w:cs="Times New Roman"/>
                      <w:b/>
                      <w:bCs w:val="0"/>
                      <w:color w:val="000000" w:themeColor="text1"/>
                      <w:lang w:eastAsia="zh-CN"/>
                      <w14:textFill>
                        <w14:solidFill>
                          <w14:schemeClr w14:val="tx1"/>
                        </w14:solidFill>
                      </w14:textFill>
                    </w:rPr>
                    <w:t>kg</w:t>
                  </w:r>
                  <w:r>
                    <w:rPr>
                      <w:rFonts w:hint="eastAsia" w:ascii="Times New Roman" w:hAnsi="Times New Roman" w:eastAsia="宋体" w:cs="Times New Roman"/>
                      <w:b/>
                      <w:bCs w:val="0"/>
                      <w:color w:val="000000" w:themeColor="text1"/>
                      <w14:textFill>
                        <w14:solidFill>
                          <w14:schemeClr w14:val="tx1"/>
                        </w14:solidFill>
                      </w14:textFill>
                    </w:rPr>
                    <w:t>/h</w:t>
                  </w:r>
                </w:p>
              </w:tc>
              <w:tc>
                <w:tcPr>
                  <w:tcW w:w="477" w:type="pct"/>
                  <w:tcBorders>
                    <w:top w:val="single" w:color="000000" w:sz="12" w:space="0"/>
                  </w:tcBorders>
                  <w:shd w:val="clear" w:color="auto" w:fill="FFFFFF"/>
                  <w:noWrap w:val="0"/>
                  <w:vAlign w:val="center"/>
                </w:tcPr>
                <w:p w14:paraId="714618D4">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标准限值</w:t>
                  </w:r>
                </w:p>
                <w:p w14:paraId="55216BA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mg/m</w:t>
                  </w:r>
                  <w:r>
                    <w:rPr>
                      <w:rFonts w:hint="eastAsia" w:ascii="Times New Roman" w:hAnsi="Times New Roman" w:eastAsia="宋体" w:cs="Times New Roman"/>
                      <w:b/>
                      <w:bCs w:val="0"/>
                      <w:color w:val="000000" w:themeColor="text1"/>
                      <w:vertAlign w:val="superscript"/>
                      <w14:textFill>
                        <w14:solidFill>
                          <w14:schemeClr w14:val="tx1"/>
                        </w14:solidFill>
                      </w14:textFill>
                    </w:rPr>
                    <w:t>3</w:t>
                  </w:r>
                </w:p>
              </w:tc>
              <w:tc>
                <w:tcPr>
                  <w:tcW w:w="362" w:type="pct"/>
                  <w:tcBorders>
                    <w:top w:val="single" w:color="000000" w:sz="12" w:space="0"/>
                    <w:right w:val="nil"/>
                  </w:tcBorders>
                  <w:shd w:val="clear" w:color="auto" w:fill="FFFFFF"/>
                  <w:noWrap w:val="0"/>
                  <w:vAlign w:val="center"/>
                </w:tcPr>
                <w:p w14:paraId="4A3FAEF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val="0"/>
                      <w:color w:val="000000" w:themeColor="text1"/>
                      <w:lang w:val="en-US" w:eastAsia="zh-CN"/>
                      <w14:textFill>
                        <w14:solidFill>
                          <w14:schemeClr w14:val="tx1"/>
                        </w14:solidFill>
                      </w14:textFill>
                    </w:rPr>
                  </w:pPr>
                  <w:r>
                    <w:rPr>
                      <w:rFonts w:hint="eastAsia" w:ascii="Times New Roman" w:hAnsi="Times New Roman" w:eastAsia="宋体" w:cs="Times New Roman"/>
                      <w:b/>
                      <w:bCs w:val="0"/>
                      <w:color w:val="000000" w:themeColor="text1"/>
                      <w14:textFill>
                        <w14:solidFill>
                          <w14:schemeClr w14:val="tx1"/>
                        </w14:solidFill>
                      </w14:textFill>
                    </w:rPr>
                    <w:t>核算方法</w:t>
                  </w:r>
                </w:p>
              </w:tc>
            </w:tr>
            <w:tr w14:paraId="669B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441" w:type="pct"/>
                  <w:tcBorders>
                    <w:left w:val="nil"/>
                  </w:tcBorders>
                  <w:shd w:val="clear" w:color="auto" w:fill="FFFFFF"/>
                  <w:noWrap w:val="0"/>
                  <w:vAlign w:val="center"/>
                </w:tcPr>
                <w:p w14:paraId="1C39F3C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原料堆场</w:t>
                  </w:r>
                  <w:r>
                    <w:rPr>
                      <w:rFonts w:hint="default" w:ascii="Times New Roman" w:hAnsi="Times New Roman" w:eastAsia="宋体" w:cs="Times New Roman"/>
                      <w:b w:val="0"/>
                      <w:color w:val="000000" w:themeColor="text1"/>
                      <w:lang w:eastAsia="zh-CN"/>
                      <w14:textFill>
                        <w14:solidFill>
                          <w14:schemeClr w14:val="tx1"/>
                        </w14:solidFill>
                      </w14:textFill>
                    </w:rPr>
                    <w:t>粉尘</w:t>
                  </w:r>
                </w:p>
              </w:tc>
              <w:tc>
                <w:tcPr>
                  <w:tcW w:w="503" w:type="pct"/>
                  <w:shd w:val="clear" w:color="auto" w:fill="FFFFFF"/>
                  <w:noWrap w:val="0"/>
                  <w:vAlign w:val="center"/>
                </w:tcPr>
                <w:p w14:paraId="665F6CD4">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eastAsia" w:ascii="Times New Roman" w:hAnsi="Times New Roman" w:eastAsia="宋体" w:cs="Times New Roman"/>
                      <w:b w:val="0"/>
                      <w:color w:val="000000" w:themeColor="text1"/>
                      <w14:textFill>
                        <w14:solidFill>
                          <w14:schemeClr w14:val="tx1"/>
                        </w14:solidFill>
                      </w14:textFill>
                    </w:rPr>
                    <w:t>颗粒物</w:t>
                  </w:r>
                </w:p>
              </w:tc>
              <w:tc>
                <w:tcPr>
                  <w:tcW w:w="454" w:type="pct"/>
                  <w:shd w:val="clear" w:color="auto" w:fill="FFFFFF"/>
                  <w:noWrap w:val="0"/>
                  <w:vAlign w:val="center"/>
                </w:tcPr>
                <w:p w14:paraId="209D933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114.42</w:t>
                  </w:r>
                </w:p>
              </w:tc>
              <w:tc>
                <w:tcPr>
                  <w:tcW w:w="477" w:type="pct"/>
                  <w:shd w:val="clear" w:color="auto" w:fill="FFFFFF"/>
                  <w:noWrap w:val="0"/>
                  <w:vAlign w:val="center"/>
                </w:tcPr>
                <w:p w14:paraId="4337C050">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711" w:type="pct"/>
                  <w:shd w:val="clear" w:color="auto" w:fill="FFFFFF"/>
                  <w:noWrap w:val="0"/>
                  <w:vAlign w:val="center"/>
                </w:tcPr>
                <w:p w14:paraId="21262F93">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防风抑尘+</w:t>
                  </w:r>
                  <w:r>
                    <w:rPr>
                      <w:rFonts w:hint="eastAsia" w:ascii="Times New Roman" w:hAnsi="Times New Roman" w:eastAsia="宋体" w:cs="Times New Roman"/>
                      <w:b w:val="0"/>
                      <w:color w:val="000000" w:themeColor="text1"/>
                      <w14:textFill>
                        <w14:solidFill>
                          <w14:schemeClr w14:val="tx1"/>
                        </w14:solidFill>
                      </w14:textFill>
                    </w:rPr>
                    <w:t>洒水降尘</w:t>
                  </w:r>
                </w:p>
              </w:tc>
              <w:tc>
                <w:tcPr>
                  <w:tcW w:w="322" w:type="pct"/>
                  <w:shd w:val="clear" w:color="auto" w:fill="FFFFFF"/>
                  <w:noWrap w:val="0"/>
                  <w:vAlign w:val="center"/>
                </w:tcPr>
                <w:p w14:paraId="5C1609B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eastAsia="zh-CN"/>
                      <w14:textFill>
                        <w14:solidFill>
                          <w14:schemeClr w14:val="tx1"/>
                        </w14:solidFill>
                      </w14:textFill>
                    </w:rPr>
                  </w:pPr>
                  <w:r>
                    <w:rPr>
                      <w:rFonts w:hint="eastAsia" w:ascii="Times New Roman" w:hAnsi="Times New Roman" w:eastAsia="宋体" w:cs="Times New Roman"/>
                      <w:b w:val="0"/>
                      <w:color w:val="000000" w:themeColor="text1"/>
                      <w:lang w:eastAsia="zh-CN"/>
                      <w14:textFill>
                        <w14:solidFill>
                          <w14:schemeClr w14:val="tx1"/>
                        </w14:solidFill>
                      </w14:textFill>
                    </w:rPr>
                    <w:t>无组织</w:t>
                  </w:r>
                </w:p>
              </w:tc>
              <w:tc>
                <w:tcPr>
                  <w:tcW w:w="393" w:type="pct"/>
                  <w:shd w:val="clear" w:color="auto" w:fill="FFFFFF"/>
                  <w:noWrap w:val="0"/>
                  <w:vAlign w:val="center"/>
                </w:tcPr>
                <w:p w14:paraId="2B4123C4">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11.90</w:t>
                  </w:r>
                </w:p>
              </w:tc>
              <w:tc>
                <w:tcPr>
                  <w:tcW w:w="477" w:type="pct"/>
                  <w:shd w:val="clear" w:color="auto" w:fill="FFFFFF"/>
                  <w:noWrap w:val="0"/>
                  <w:vAlign w:val="center"/>
                </w:tcPr>
                <w:p w14:paraId="63C1993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377" w:type="pct"/>
                  <w:shd w:val="clear" w:color="auto" w:fill="FFFFFF"/>
                  <w:noWrap w:val="0"/>
                  <w:vAlign w:val="center"/>
                </w:tcPr>
                <w:p w14:paraId="4B9CFBE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5CF6384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1.0</w:t>
                  </w:r>
                </w:p>
              </w:tc>
              <w:tc>
                <w:tcPr>
                  <w:tcW w:w="362" w:type="pct"/>
                  <w:tcBorders>
                    <w:right w:val="nil"/>
                  </w:tcBorders>
                  <w:shd w:val="clear" w:color="auto" w:fill="FFFFFF"/>
                  <w:noWrap w:val="0"/>
                  <w:vAlign w:val="center"/>
                </w:tcPr>
                <w:p w14:paraId="73E8E1CD">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14:textFill>
                        <w14:solidFill>
                          <w14:schemeClr w14:val="tx1"/>
                        </w14:solidFill>
                      </w14:textFill>
                    </w:rPr>
                    <w:t>系数法</w:t>
                  </w:r>
                </w:p>
              </w:tc>
            </w:tr>
            <w:tr w14:paraId="09FEE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441" w:type="pct"/>
                  <w:tcBorders>
                    <w:left w:val="nil"/>
                  </w:tcBorders>
                  <w:shd w:val="clear" w:color="auto" w:fill="FFFFFF"/>
                  <w:noWrap w:val="0"/>
                  <w:vAlign w:val="center"/>
                </w:tcPr>
                <w:p w14:paraId="0CE5856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上料粉尘</w:t>
                  </w:r>
                </w:p>
              </w:tc>
              <w:tc>
                <w:tcPr>
                  <w:tcW w:w="503" w:type="pct"/>
                  <w:vMerge w:val="restart"/>
                  <w:shd w:val="clear" w:color="auto" w:fill="FFFFFF"/>
                  <w:noWrap w:val="0"/>
                  <w:vAlign w:val="center"/>
                </w:tcPr>
                <w:p w14:paraId="5EE7F2F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eastAsia" w:ascii="Times New Roman" w:hAnsi="Times New Roman" w:eastAsia="宋体" w:cs="Times New Roman"/>
                      <w:b w:val="0"/>
                      <w:color w:val="000000" w:themeColor="text1"/>
                      <w14:textFill>
                        <w14:solidFill>
                          <w14:schemeClr w14:val="tx1"/>
                        </w14:solidFill>
                      </w14:textFill>
                    </w:rPr>
                    <w:t>颗粒物</w:t>
                  </w:r>
                </w:p>
              </w:tc>
              <w:tc>
                <w:tcPr>
                  <w:tcW w:w="454" w:type="pct"/>
                  <w:vMerge w:val="restart"/>
                  <w:shd w:val="clear" w:color="auto" w:fill="FFFFFF"/>
                  <w:noWrap w:val="0"/>
                  <w:vAlign w:val="center"/>
                </w:tcPr>
                <w:p w14:paraId="0FF87E7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27.36</w:t>
                  </w:r>
                </w:p>
              </w:tc>
              <w:tc>
                <w:tcPr>
                  <w:tcW w:w="477" w:type="pct"/>
                  <w:vMerge w:val="restart"/>
                  <w:shd w:val="clear" w:color="auto" w:fill="FFFFFF"/>
                  <w:noWrap w:val="0"/>
                  <w:vAlign w:val="center"/>
                </w:tcPr>
                <w:p w14:paraId="0FF2B4F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p w14:paraId="0424676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p>
              </w:tc>
              <w:tc>
                <w:tcPr>
                  <w:tcW w:w="711" w:type="pct"/>
                  <w:vMerge w:val="restart"/>
                  <w:shd w:val="clear" w:color="auto" w:fill="FFFFFF"/>
                  <w:noWrap w:val="0"/>
                  <w:vAlign w:val="center"/>
                </w:tcPr>
                <w:p w14:paraId="76E4A1AD">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eastAsia" w:ascii="Times New Roman" w:hAnsi="Times New Roman" w:eastAsia="宋体" w:cs="Times New Roman"/>
                      <w:b w:val="0"/>
                      <w:color w:val="000000" w:themeColor="text1"/>
                      <w14:textFill>
                        <w14:solidFill>
                          <w14:schemeClr w14:val="tx1"/>
                        </w14:solidFill>
                      </w14:textFill>
                    </w:rPr>
                    <w:t>布袋除尘器+洒水降尘+</w:t>
                  </w:r>
                  <w:r>
                    <w:rPr>
                      <w:rFonts w:hint="eastAsia" w:ascii="Times New Roman" w:hAnsi="Times New Roman" w:eastAsia="宋体" w:cs="Times New Roman"/>
                      <w:b w:val="0"/>
                      <w:color w:val="000000" w:themeColor="text1"/>
                      <w:lang w:val="en-US" w:eastAsia="zh-CN"/>
                      <w14:textFill>
                        <w14:solidFill>
                          <w14:schemeClr w14:val="tx1"/>
                        </w14:solidFill>
                      </w14:textFill>
                    </w:rPr>
                    <w:t>局部密闭/</w:t>
                  </w:r>
                  <w:r>
                    <w:rPr>
                      <w:rFonts w:hint="eastAsia" w:ascii="Times New Roman" w:hAnsi="Times New Roman" w:eastAsia="宋体" w:cs="Times New Roman"/>
                      <w:b w:val="0"/>
                      <w:color w:val="000000" w:themeColor="text1"/>
                      <w:lang w:eastAsia="zh-CN"/>
                      <w14:textFill>
                        <w14:solidFill>
                          <w14:schemeClr w14:val="tx1"/>
                        </w14:solidFill>
                      </w14:textFill>
                    </w:rPr>
                    <w:t>密闭</w:t>
                  </w:r>
                </w:p>
              </w:tc>
              <w:tc>
                <w:tcPr>
                  <w:tcW w:w="322" w:type="pct"/>
                  <w:shd w:val="clear" w:color="auto" w:fill="FFFFFF"/>
                  <w:noWrap w:val="0"/>
                  <w:vAlign w:val="center"/>
                </w:tcPr>
                <w:p w14:paraId="5DBF1F0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eastAsia" w:ascii="Times New Roman" w:hAnsi="Times New Roman" w:eastAsia="宋体" w:cs="Times New Roman"/>
                      <w:b w:val="0"/>
                      <w:color w:val="000000" w:themeColor="text1"/>
                      <w:lang w:eastAsia="zh-CN"/>
                      <w14:textFill>
                        <w14:solidFill>
                          <w14:schemeClr w14:val="tx1"/>
                        </w14:solidFill>
                      </w14:textFill>
                    </w:rPr>
                    <w:t>有组织</w:t>
                  </w:r>
                </w:p>
              </w:tc>
              <w:tc>
                <w:tcPr>
                  <w:tcW w:w="393" w:type="pct"/>
                  <w:shd w:val="clear" w:color="auto" w:fill="FFFFFF"/>
                  <w:noWrap w:val="0"/>
                  <w:vAlign w:val="center"/>
                </w:tcPr>
                <w:p w14:paraId="3E125A8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0.22</w:t>
                  </w:r>
                </w:p>
              </w:tc>
              <w:tc>
                <w:tcPr>
                  <w:tcW w:w="477" w:type="pct"/>
                  <w:shd w:val="clear" w:color="auto" w:fill="FFFFFF"/>
                  <w:noWrap w:val="0"/>
                  <w:vAlign w:val="center"/>
                </w:tcPr>
                <w:p w14:paraId="2E1BF84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14</w:t>
                  </w:r>
                </w:p>
              </w:tc>
              <w:tc>
                <w:tcPr>
                  <w:tcW w:w="377" w:type="pct"/>
                  <w:shd w:val="clear" w:color="auto" w:fill="FFFFFF"/>
                  <w:noWrap w:val="0"/>
                  <w:vAlign w:val="center"/>
                </w:tcPr>
                <w:p w14:paraId="54FEF21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0.07</w:t>
                  </w:r>
                </w:p>
              </w:tc>
              <w:tc>
                <w:tcPr>
                  <w:tcW w:w="477" w:type="pct"/>
                  <w:shd w:val="clear" w:color="auto" w:fill="FFFFFF"/>
                  <w:noWrap w:val="0"/>
                  <w:vAlign w:val="center"/>
                </w:tcPr>
                <w:p w14:paraId="1E786C8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120</w:t>
                  </w:r>
                </w:p>
              </w:tc>
              <w:tc>
                <w:tcPr>
                  <w:tcW w:w="362" w:type="pct"/>
                  <w:vMerge w:val="restart"/>
                  <w:tcBorders>
                    <w:right w:val="nil"/>
                  </w:tcBorders>
                  <w:shd w:val="clear" w:color="auto" w:fill="FFFFFF"/>
                  <w:noWrap w:val="0"/>
                  <w:vAlign w:val="center"/>
                </w:tcPr>
                <w:p w14:paraId="445889F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14:textFill>
                        <w14:solidFill>
                          <w14:schemeClr w14:val="tx1"/>
                        </w14:solidFill>
                      </w14:textFill>
                    </w:rPr>
                    <w:t>系数法</w:t>
                  </w:r>
                </w:p>
              </w:tc>
            </w:tr>
            <w:tr w14:paraId="752F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441" w:type="pct"/>
                  <w:tcBorders>
                    <w:left w:val="nil"/>
                  </w:tcBorders>
                  <w:shd w:val="clear" w:color="auto" w:fill="FFFFFF"/>
                  <w:noWrap w:val="0"/>
                  <w:vAlign w:val="center"/>
                </w:tcPr>
                <w:p w14:paraId="21F64FC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振动筛分粉尘</w:t>
                  </w:r>
                </w:p>
              </w:tc>
              <w:tc>
                <w:tcPr>
                  <w:tcW w:w="503" w:type="pct"/>
                  <w:vMerge w:val="continue"/>
                  <w:shd w:val="clear" w:color="auto" w:fill="FFFFFF"/>
                  <w:noWrap w:val="0"/>
                  <w:vAlign w:val="center"/>
                </w:tcPr>
                <w:p w14:paraId="4C55C48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p>
              </w:tc>
              <w:tc>
                <w:tcPr>
                  <w:tcW w:w="454" w:type="pct"/>
                  <w:vMerge w:val="continue"/>
                  <w:shd w:val="clear" w:color="auto" w:fill="FFFFFF"/>
                  <w:noWrap w:val="0"/>
                  <w:vAlign w:val="center"/>
                </w:tcPr>
                <w:p w14:paraId="180FB45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p>
              </w:tc>
              <w:tc>
                <w:tcPr>
                  <w:tcW w:w="477" w:type="pct"/>
                  <w:vMerge w:val="continue"/>
                  <w:shd w:val="clear" w:color="auto" w:fill="FFFFFF"/>
                  <w:noWrap w:val="0"/>
                  <w:vAlign w:val="center"/>
                </w:tcPr>
                <w:p w14:paraId="40707469">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p>
              </w:tc>
              <w:tc>
                <w:tcPr>
                  <w:tcW w:w="711" w:type="pct"/>
                  <w:vMerge w:val="continue"/>
                  <w:shd w:val="clear" w:color="auto" w:fill="FFFFFF"/>
                  <w:noWrap w:val="0"/>
                  <w:vAlign w:val="center"/>
                </w:tcPr>
                <w:p w14:paraId="4DD3914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p>
              </w:tc>
              <w:tc>
                <w:tcPr>
                  <w:tcW w:w="322" w:type="pct"/>
                  <w:shd w:val="clear" w:color="auto" w:fill="FFFFFF"/>
                  <w:noWrap w:val="0"/>
                  <w:vAlign w:val="center"/>
                </w:tcPr>
                <w:p w14:paraId="3AE2D3B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eastAsia="zh-CN"/>
                      <w14:textFill>
                        <w14:solidFill>
                          <w14:schemeClr w14:val="tx1"/>
                        </w14:solidFill>
                      </w14:textFill>
                    </w:rPr>
                  </w:pPr>
                  <w:r>
                    <w:rPr>
                      <w:rFonts w:hint="eastAsia" w:ascii="Times New Roman" w:hAnsi="Times New Roman" w:eastAsia="宋体" w:cs="Times New Roman"/>
                      <w:b w:val="0"/>
                      <w:color w:val="000000" w:themeColor="text1"/>
                      <w:lang w:eastAsia="zh-CN"/>
                      <w14:textFill>
                        <w14:solidFill>
                          <w14:schemeClr w14:val="tx1"/>
                        </w14:solidFill>
                      </w14:textFill>
                    </w:rPr>
                    <w:t>无组织</w:t>
                  </w:r>
                </w:p>
              </w:tc>
              <w:tc>
                <w:tcPr>
                  <w:tcW w:w="393" w:type="pct"/>
                  <w:shd w:val="clear" w:color="auto" w:fill="FFFFFF"/>
                  <w:noWrap w:val="0"/>
                  <w:vAlign w:val="center"/>
                </w:tcPr>
                <w:p w14:paraId="796F621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5.67</w:t>
                  </w:r>
                </w:p>
              </w:tc>
              <w:tc>
                <w:tcPr>
                  <w:tcW w:w="477" w:type="pct"/>
                  <w:shd w:val="clear" w:color="auto" w:fill="FFFFFF"/>
                  <w:noWrap w:val="0"/>
                  <w:vAlign w:val="center"/>
                </w:tcPr>
                <w:p w14:paraId="00B245E9">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377" w:type="pct"/>
                  <w:shd w:val="clear" w:color="auto" w:fill="FFFFFF"/>
                  <w:noWrap w:val="0"/>
                  <w:vAlign w:val="center"/>
                </w:tcPr>
                <w:p w14:paraId="28B841B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63B0BCE4">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1.0</w:t>
                  </w:r>
                </w:p>
              </w:tc>
              <w:tc>
                <w:tcPr>
                  <w:tcW w:w="362" w:type="pct"/>
                  <w:vMerge w:val="continue"/>
                  <w:tcBorders>
                    <w:right w:val="nil"/>
                  </w:tcBorders>
                  <w:shd w:val="clear" w:color="auto" w:fill="FFFFFF"/>
                  <w:noWrap w:val="0"/>
                  <w:vAlign w:val="center"/>
                </w:tcPr>
                <w:p w14:paraId="1107E4C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p>
              </w:tc>
            </w:tr>
            <w:tr w14:paraId="2CFD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441" w:type="pct"/>
                  <w:tcBorders>
                    <w:left w:val="nil"/>
                  </w:tcBorders>
                  <w:shd w:val="clear" w:color="auto" w:fill="FFFFFF"/>
                  <w:noWrap w:val="0"/>
                  <w:vAlign w:val="center"/>
                </w:tcPr>
                <w:p w14:paraId="57868071">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成品装料粉尘</w:t>
                  </w:r>
                </w:p>
              </w:tc>
              <w:tc>
                <w:tcPr>
                  <w:tcW w:w="503" w:type="pct"/>
                  <w:shd w:val="clear" w:color="auto" w:fill="FFFFFF"/>
                  <w:noWrap w:val="0"/>
                  <w:vAlign w:val="center"/>
                </w:tcPr>
                <w:p w14:paraId="4D5D74C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eastAsia" w:ascii="Times New Roman" w:hAnsi="Times New Roman" w:eastAsia="宋体" w:cs="Times New Roman"/>
                      <w:b w:val="0"/>
                      <w:color w:val="000000" w:themeColor="text1"/>
                      <w14:textFill>
                        <w14:solidFill>
                          <w14:schemeClr w14:val="tx1"/>
                        </w14:solidFill>
                      </w14:textFill>
                    </w:rPr>
                    <w:t>颗粒物</w:t>
                  </w:r>
                </w:p>
              </w:tc>
              <w:tc>
                <w:tcPr>
                  <w:tcW w:w="454" w:type="pct"/>
                  <w:shd w:val="clear" w:color="auto" w:fill="FFFFFF"/>
                  <w:noWrap w:val="0"/>
                  <w:vAlign w:val="center"/>
                </w:tcPr>
                <w:p w14:paraId="31C08C8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0.8</w:t>
                  </w:r>
                </w:p>
              </w:tc>
              <w:tc>
                <w:tcPr>
                  <w:tcW w:w="477" w:type="pct"/>
                  <w:shd w:val="clear" w:color="auto" w:fill="FFFFFF"/>
                  <w:noWrap w:val="0"/>
                  <w:vAlign w:val="center"/>
                </w:tcPr>
                <w:p w14:paraId="6E76BEE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711" w:type="pct"/>
                  <w:shd w:val="clear" w:color="auto" w:fill="FFFFFF"/>
                  <w:noWrap w:val="0"/>
                  <w:vAlign w:val="center"/>
                </w:tcPr>
                <w:p w14:paraId="4309905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14:textFill>
                        <w14:solidFill>
                          <w14:schemeClr w14:val="tx1"/>
                        </w14:solidFill>
                      </w14:textFill>
                    </w:rPr>
                    <w:t>洒水降尘</w:t>
                  </w:r>
                </w:p>
              </w:tc>
              <w:tc>
                <w:tcPr>
                  <w:tcW w:w="322" w:type="pct"/>
                  <w:shd w:val="clear" w:color="auto" w:fill="FFFFFF"/>
                  <w:noWrap w:val="0"/>
                  <w:vAlign w:val="center"/>
                </w:tcPr>
                <w:p w14:paraId="014ABA7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eastAsia="zh-CN"/>
                      <w14:textFill>
                        <w14:solidFill>
                          <w14:schemeClr w14:val="tx1"/>
                        </w14:solidFill>
                      </w14:textFill>
                    </w:rPr>
                    <w:t>无组织</w:t>
                  </w:r>
                </w:p>
              </w:tc>
              <w:tc>
                <w:tcPr>
                  <w:tcW w:w="393" w:type="pct"/>
                  <w:shd w:val="clear" w:color="auto" w:fill="FFFFFF"/>
                  <w:noWrap w:val="0"/>
                  <w:vAlign w:val="center"/>
                </w:tcPr>
                <w:p w14:paraId="5EE4018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0.21</w:t>
                  </w:r>
                </w:p>
              </w:tc>
              <w:tc>
                <w:tcPr>
                  <w:tcW w:w="477" w:type="pct"/>
                  <w:shd w:val="clear" w:color="auto" w:fill="FFFFFF"/>
                  <w:noWrap w:val="0"/>
                  <w:vAlign w:val="center"/>
                </w:tcPr>
                <w:p w14:paraId="66239B7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377" w:type="pct"/>
                  <w:shd w:val="clear" w:color="auto" w:fill="FFFFFF"/>
                  <w:noWrap w:val="0"/>
                  <w:vAlign w:val="center"/>
                </w:tcPr>
                <w:p w14:paraId="69E4029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648B52C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1.0</w:t>
                  </w:r>
                </w:p>
              </w:tc>
              <w:tc>
                <w:tcPr>
                  <w:tcW w:w="362" w:type="pct"/>
                  <w:tcBorders>
                    <w:right w:val="nil"/>
                  </w:tcBorders>
                  <w:shd w:val="clear" w:color="auto" w:fill="FFFFFF"/>
                  <w:noWrap w:val="0"/>
                  <w:vAlign w:val="center"/>
                </w:tcPr>
                <w:p w14:paraId="2BBC3F3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14:textFill>
                        <w14:solidFill>
                          <w14:schemeClr w14:val="tx1"/>
                        </w14:solidFill>
                      </w14:textFill>
                    </w:rPr>
                    <w:t>系数法</w:t>
                  </w:r>
                </w:p>
              </w:tc>
            </w:tr>
            <w:tr w14:paraId="794D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441" w:type="pct"/>
                  <w:tcBorders>
                    <w:left w:val="nil"/>
                  </w:tcBorders>
                  <w:shd w:val="clear" w:color="auto" w:fill="FFFFFF"/>
                  <w:noWrap w:val="0"/>
                  <w:vAlign w:val="center"/>
                </w:tcPr>
                <w:p w14:paraId="1E04C8D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运输扬尘</w:t>
                  </w:r>
                </w:p>
              </w:tc>
              <w:tc>
                <w:tcPr>
                  <w:tcW w:w="503" w:type="pct"/>
                  <w:shd w:val="clear" w:color="auto" w:fill="FFFFFF"/>
                  <w:noWrap w:val="0"/>
                  <w:vAlign w:val="center"/>
                </w:tcPr>
                <w:p w14:paraId="794E394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eastAsia" w:ascii="Times New Roman" w:hAnsi="Times New Roman" w:eastAsia="宋体" w:cs="Times New Roman"/>
                      <w:b w:val="0"/>
                      <w:color w:val="000000" w:themeColor="text1"/>
                      <w14:textFill>
                        <w14:solidFill>
                          <w14:schemeClr w14:val="tx1"/>
                        </w14:solidFill>
                      </w14:textFill>
                    </w:rPr>
                    <w:t>颗粒物</w:t>
                  </w:r>
                </w:p>
              </w:tc>
              <w:tc>
                <w:tcPr>
                  <w:tcW w:w="454" w:type="pct"/>
                  <w:shd w:val="clear" w:color="auto" w:fill="FFFFFF"/>
                  <w:noWrap w:val="0"/>
                  <w:vAlign w:val="center"/>
                </w:tcPr>
                <w:p w14:paraId="6F12CDB0">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0.</w:t>
                  </w:r>
                  <w:r>
                    <w:rPr>
                      <w:rFonts w:hint="eastAsia" w:cs="Times New Roman"/>
                      <w:b w:val="0"/>
                      <w:color w:val="000000" w:themeColor="text1"/>
                      <w:lang w:val="en-US" w:eastAsia="zh-CN"/>
                      <w14:textFill>
                        <w14:solidFill>
                          <w14:schemeClr w14:val="tx1"/>
                        </w14:solidFill>
                      </w14:textFill>
                    </w:rPr>
                    <w:t>012</w:t>
                  </w:r>
                </w:p>
              </w:tc>
              <w:tc>
                <w:tcPr>
                  <w:tcW w:w="477" w:type="pct"/>
                  <w:shd w:val="clear" w:color="auto" w:fill="FFFFFF"/>
                  <w:noWrap w:val="0"/>
                  <w:vAlign w:val="center"/>
                </w:tcPr>
                <w:p w14:paraId="179819B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711" w:type="pct"/>
                  <w:shd w:val="clear" w:color="auto" w:fill="FFFFFF"/>
                  <w:noWrap w:val="0"/>
                  <w:vAlign w:val="center"/>
                </w:tcPr>
                <w:p w14:paraId="32FE6FA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地面硬化</w:t>
                  </w:r>
                  <w:r>
                    <w:rPr>
                      <w:rFonts w:hint="eastAsia" w:ascii="Times New Roman" w:hAnsi="Times New Roman" w:eastAsia="宋体" w:cs="Times New Roman"/>
                      <w:b w:val="0"/>
                      <w:color w:val="000000" w:themeColor="text1"/>
                      <w14:textFill>
                        <w14:solidFill>
                          <w14:schemeClr w14:val="tx1"/>
                        </w14:solidFill>
                      </w14:textFill>
                    </w:rPr>
                    <w:t>+洒水降尘</w:t>
                  </w:r>
                </w:p>
              </w:tc>
              <w:tc>
                <w:tcPr>
                  <w:tcW w:w="322" w:type="pct"/>
                  <w:shd w:val="clear" w:color="auto" w:fill="FFFFFF"/>
                  <w:noWrap w:val="0"/>
                  <w:vAlign w:val="center"/>
                </w:tcPr>
                <w:p w14:paraId="2A79F88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eastAsia="zh-CN"/>
                      <w14:textFill>
                        <w14:solidFill>
                          <w14:schemeClr w14:val="tx1"/>
                        </w14:solidFill>
                      </w14:textFill>
                    </w:rPr>
                    <w:t>无组织</w:t>
                  </w:r>
                </w:p>
              </w:tc>
              <w:tc>
                <w:tcPr>
                  <w:tcW w:w="393" w:type="pct"/>
                  <w:shd w:val="clear" w:color="auto" w:fill="FFFFFF"/>
                  <w:noWrap w:val="0"/>
                  <w:vAlign w:val="center"/>
                </w:tcPr>
                <w:p w14:paraId="4364E56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0.0</w:t>
                  </w:r>
                  <w:r>
                    <w:rPr>
                      <w:rFonts w:hint="eastAsia" w:cs="Times New Roman"/>
                      <w:b w:val="0"/>
                      <w:color w:val="000000" w:themeColor="text1"/>
                      <w:lang w:val="en-US" w:eastAsia="zh-CN"/>
                      <w14:textFill>
                        <w14:solidFill>
                          <w14:schemeClr w14:val="tx1"/>
                        </w14:solidFill>
                      </w14:textFill>
                    </w:rPr>
                    <w:t>03</w:t>
                  </w:r>
                </w:p>
              </w:tc>
              <w:tc>
                <w:tcPr>
                  <w:tcW w:w="477" w:type="pct"/>
                  <w:shd w:val="clear" w:color="auto" w:fill="FFFFFF"/>
                  <w:noWrap w:val="0"/>
                  <w:vAlign w:val="center"/>
                </w:tcPr>
                <w:p w14:paraId="36B1116F">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377" w:type="pct"/>
                  <w:shd w:val="clear" w:color="auto" w:fill="FFFFFF"/>
                  <w:noWrap w:val="0"/>
                  <w:vAlign w:val="center"/>
                </w:tcPr>
                <w:p w14:paraId="67D05B6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4F8388D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1.0</w:t>
                  </w:r>
                </w:p>
              </w:tc>
              <w:tc>
                <w:tcPr>
                  <w:tcW w:w="362" w:type="pct"/>
                  <w:tcBorders>
                    <w:right w:val="nil"/>
                  </w:tcBorders>
                  <w:shd w:val="clear" w:color="auto" w:fill="FFFFFF"/>
                  <w:noWrap w:val="0"/>
                  <w:vAlign w:val="center"/>
                </w:tcPr>
                <w:p w14:paraId="51AE706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经验公式</w:t>
                  </w:r>
                </w:p>
              </w:tc>
            </w:tr>
            <w:tr w14:paraId="32CE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41" w:type="pct"/>
                  <w:tcBorders>
                    <w:left w:val="nil"/>
                  </w:tcBorders>
                  <w:shd w:val="clear" w:color="auto" w:fill="FFFFFF"/>
                  <w:noWrap w:val="0"/>
                  <w:vAlign w:val="center"/>
                </w:tcPr>
                <w:p w14:paraId="29514FF1">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汽车尾气</w:t>
                  </w:r>
                </w:p>
              </w:tc>
              <w:tc>
                <w:tcPr>
                  <w:tcW w:w="503" w:type="pct"/>
                  <w:shd w:val="clear" w:color="auto" w:fill="FFFFFF"/>
                  <w:noWrap w:val="0"/>
                  <w:vAlign w:val="center"/>
                </w:tcPr>
                <w:p w14:paraId="26C8463F">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CO、NOX</w:t>
                  </w:r>
                  <w:r>
                    <w:rPr>
                      <w:rFonts w:hint="eastAsia" w:ascii="Times New Roman" w:hAnsi="Times New Roman" w:eastAsia="宋体" w:cs="Times New Roman"/>
                      <w:b w:val="0"/>
                      <w:color w:val="000000" w:themeColor="text1"/>
                      <w:lang w:val="en-US" w:eastAsia="zh-CN"/>
                      <w14:textFill>
                        <w14:solidFill>
                          <w14:schemeClr w14:val="tx1"/>
                        </w14:solidFill>
                      </w14:textFill>
                    </w:rPr>
                    <w:t>、</w:t>
                  </w:r>
                  <w:r>
                    <w:rPr>
                      <w:rFonts w:hint="default" w:ascii="Times New Roman" w:hAnsi="Times New Roman" w:eastAsia="宋体" w:cs="Times New Roman"/>
                      <w:b w:val="0"/>
                      <w:color w:val="000000" w:themeColor="text1"/>
                      <w:lang w:val="en-US" w:eastAsia="zh-CN"/>
                      <w14:textFill>
                        <w14:solidFill>
                          <w14:schemeClr w14:val="tx1"/>
                        </w14:solidFill>
                      </w14:textFill>
                    </w:rPr>
                    <w:t>THC</w:t>
                  </w:r>
                </w:p>
              </w:tc>
              <w:tc>
                <w:tcPr>
                  <w:tcW w:w="454" w:type="pct"/>
                  <w:shd w:val="clear" w:color="auto" w:fill="FFFFFF"/>
                  <w:noWrap w:val="0"/>
                  <w:vAlign w:val="center"/>
                </w:tcPr>
                <w:p w14:paraId="3C3A053F">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0AE554B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711" w:type="pct"/>
                  <w:shd w:val="clear" w:color="auto" w:fill="FFFFFF"/>
                  <w:noWrap w:val="0"/>
                  <w:vAlign w:val="center"/>
                </w:tcPr>
                <w:p w14:paraId="0EF16EC1">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322" w:type="pct"/>
                  <w:shd w:val="clear" w:color="auto" w:fill="FFFFFF"/>
                  <w:noWrap w:val="0"/>
                  <w:vAlign w:val="center"/>
                </w:tcPr>
                <w:p w14:paraId="5540A04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eastAsia="zh-CN"/>
                      <w14:textFill>
                        <w14:solidFill>
                          <w14:schemeClr w14:val="tx1"/>
                        </w14:solidFill>
                      </w14:textFill>
                    </w:rPr>
                    <w:t>无组织</w:t>
                  </w:r>
                </w:p>
              </w:tc>
              <w:tc>
                <w:tcPr>
                  <w:tcW w:w="393" w:type="pct"/>
                  <w:shd w:val="clear" w:color="auto" w:fill="FFFFFF"/>
                  <w:noWrap w:val="0"/>
                  <w:vAlign w:val="center"/>
                </w:tcPr>
                <w:p w14:paraId="4537BDC1">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6D8530A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377" w:type="pct"/>
                  <w:shd w:val="clear" w:color="auto" w:fill="FFFFFF"/>
                  <w:noWrap w:val="0"/>
                  <w:vAlign w:val="center"/>
                </w:tcPr>
                <w:p w14:paraId="5FBF62A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5C1ECF03">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362" w:type="pct"/>
                  <w:tcBorders>
                    <w:right w:val="nil"/>
                  </w:tcBorders>
                  <w:shd w:val="clear" w:color="auto" w:fill="FFFFFF"/>
                  <w:noWrap w:val="0"/>
                  <w:vAlign w:val="center"/>
                </w:tcPr>
                <w:p w14:paraId="2BCCF7B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r>
            <w:tr w14:paraId="3958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441" w:type="pct"/>
                  <w:tcBorders>
                    <w:left w:val="nil"/>
                  </w:tcBorders>
                  <w:shd w:val="clear" w:color="auto" w:fill="FFFFFF"/>
                  <w:noWrap w:val="0"/>
                  <w:vAlign w:val="center"/>
                </w:tcPr>
                <w:p w14:paraId="35D49C1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皮带运输粉尘</w:t>
                  </w:r>
                </w:p>
              </w:tc>
              <w:tc>
                <w:tcPr>
                  <w:tcW w:w="503" w:type="pct"/>
                  <w:shd w:val="clear" w:color="auto" w:fill="FFFFFF"/>
                  <w:noWrap w:val="0"/>
                  <w:vAlign w:val="center"/>
                </w:tcPr>
                <w:p w14:paraId="68EEF2E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颗粒物</w:t>
                  </w:r>
                </w:p>
              </w:tc>
              <w:tc>
                <w:tcPr>
                  <w:tcW w:w="454" w:type="pct"/>
                  <w:shd w:val="clear" w:color="auto" w:fill="FFFFFF"/>
                  <w:noWrap w:val="0"/>
                  <w:vAlign w:val="center"/>
                </w:tcPr>
                <w:p w14:paraId="2855E23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1F57444F">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711" w:type="pct"/>
                  <w:shd w:val="clear" w:color="auto" w:fill="FFFFFF"/>
                  <w:noWrap w:val="0"/>
                  <w:vAlign w:val="center"/>
                </w:tcPr>
                <w:p w14:paraId="7E0AFC2F">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皮带密闭+洒水</w:t>
                  </w:r>
                </w:p>
              </w:tc>
              <w:tc>
                <w:tcPr>
                  <w:tcW w:w="322" w:type="pct"/>
                  <w:shd w:val="clear" w:color="auto" w:fill="FFFFFF"/>
                  <w:noWrap w:val="0"/>
                  <w:vAlign w:val="center"/>
                </w:tcPr>
                <w:p w14:paraId="061C997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eastAsia="zh-CN"/>
                      <w14:textFill>
                        <w14:solidFill>
                          <w14:schemeClr w14:val="tx1"/>
                        </w14:solidFill>
                      </w14:textFill>
                    </w:rPr>
                  </w:pPr>
                  <w:r>
                    <w:rPr>
                      <w:rFonts w:hint="eastAsia" w:ascii="Times New Roman" w:hAnsi="Times New Roman" w:eastAsia="宋体" w:cs="Times New Roman"/>
                      <w:b w:val="0"/>
                      <w:color w:val="000000" w:themeColor="text1"/>
                      <w:lang w:eastAsia="zh-CN"/>
                      <w14:textFill>
                        <w14:solidFill>
                          <w14:schemeClr w14:val="tx1"/>
                        </w14:solidFill>
                      </w14:textFill>
                    </w:rPr>
                    <w:t>无组织</w:t>
                  </w:r>
                </w:p>
              </w:tc>
              <w:tc>
                <w:tcPr>
                  <w:tcW w:w="393" w:type="pct"/>
                  <w:shd w:val="clear" w:color="auto" w:fill="FFFFFF"/>
                  <w:noWrap w:val="0"/>
                  <w:vAlign w:val="center"/>
                </w:tcPr>
                <w:p w14:paraId="50EDED4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7737495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377" w:type="pct"/>
                  <w:shd w:val="clear" w:color="auto" w:fill="FFFFFF"/>
                  <w:noWrap w:val="0"/>
                  <w:vAlign w:val="center"/>
                </w:tcPr>
                <w:p w14:paraId="0FCFA577">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477" w:type="pct"/>
                  <w:shd w:val="clear" w:color="auto" w:fill="FFFFFF"/>
                  <w:noWrap w:val="0"/>
                  <w:vAlign w:val="center"/>
                </w:tcPr>
                <w:p w14:paraId="1AEB86F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c>
                <w:tcPr>
                  <w:tcW w:w="362" w:type="pct"/>
                  <w:tcBorders>
                    <w:right w:val="nil"/>
                  </w:tcBorders>
                  <w:shd w:val="clear" w:color="auto" w:fill="FFFFFF"/>
                  <w:noWrap w:val="0"/>
                  <w:vAlign w:val="center"/>
                </w:tcPr>
                <w:p w14:paraId="4CF8516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w:t>
                  </w:r>
                </w:p>
              </w:tc>
            </w:tr>
            <w:tr w14:paraId="472A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41" w:type="pct"/>
                  <w:tcBorders>
                    <w:left w:val="nil"/>
                    <w:bottom w:val="single" w:color="000000" w:sz="12" w:space="0"/>
                  </w:tcBorders>
                  <w:shd w:val="clear" w:color="auto" w:fill="FFFFFF"/>
                  <w:noWrap w:val="0"/>
                  <w:vAlign w:val="center"/>
                </w:tcPr>
                <w:p w14:paraId="07227C2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产品堆场粉尘</w:t>
                  </w:r>
                </w:p>
              </w:tc>
              <w:tc>
                <w:tcPr>
                  <w:tcW w:w="503" w:type="pct"/>
                  <w:tcBorders>
                    <w:bottom w:val="single" w:color="000000" w:sz="12" w:space="0"/>
                  </w:tcBorders>
                  <w:shd w:val="clear" w:color="auto" w:fill="FFFFFF"/>
                  <w:noWrap w:val="0"/>
                  <w:vAlign w:val="center"/>
                </w:tcPr>
                <w:p w14:paraId="057211E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颗粒物</w:t>
                  </w:r>
                </w:p>
              </w:tc>
              <w:tc>
                <w:tcPr>
                  <w:tcW w:w="454" w:type="pct"/>
                  <w:tcBorders>
                    <w:bottom w:val="single" w:color="000000" w:sz="12" w:space="0"/>
                  </w:tcBorders>
                  <w:shd w:val="clear" w:color="auto" w:fill="FFFFFF"/>
                  <w:noWrap w:val="0"/>
                  <w:vAlign w:val="center"/>
                </w:tcPr>
                <w:p w14:paraId="5B54F32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w:t>
                  </w:r>
                </w:p>
              </w:tc>
              <w:tc>
                <w:tcPr>
                  <w:tcW w:w="477" w:type="pct"/>
                  <w:tcBorders>
                    <w:bottom w:val="single" w:color="000000" w:sz="12" w:space="0"/>
                  </w:tcBorders>
                  <w:shd w:val="clear" w:color="auto" w:fill="FFFFFF"/>
                  <w:noWrap w:val="0"/>
                  <w:vAlign w:val="center"/>
                </w:tcPr>
                <w:p w14:paraId="74BB4F8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w:t>
                  </w:r>
                </w:p>
              </w:tc>
              <w:tc>
                <w:tcPr>
                  <w:tcW w:w="711" w:type="pct"/>
                  <w:tcBorders>
                    <w:bottom w:val="single" w:color="000000" w:sz="12" w:space="0"/>
                  </w:tcBorders>
                  <w:shd w:val="clear" w:color="auto" w:fill="FFFFFF"/>
                  <w:noWrap w:val="0"/>
                  <w:vAlign w:val="center"/>
                </w:tcPr>
                <w:p w14:paraId="0E21596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防风抑尘网</w:t>
                  </w:r>
                  <w:r>
                    <w:rPr>
                      <w:rFonts w:hint="eastAsia" w:ascii="Times New Roman" w:hAnsi="Times New Roman" w:eastAsia="宋体" w:cs="Times New Roman"/>
                      <w:b w:val="0"/>
                      <w:color w:val="000000" w:themeColor="text1"/>
                      <w:lang w:val="en-US" w:eastAsia="zh-CN"/>
                      <w14:textFill>
                        <w14:solidFill>
                          <w14:schemeClr w14:val="tx1"/>
                        </w14:solidFill>
                      </w14:textFill>
                    </w:rPr>
                    <w:t>+</w:t>
                  </w:r>
                  <w:r>
                    <w:rPr>
                      <w:rFonts w:hint="default" w:ascii="Times New Roman" w:hAnsi="Times New Roman" w:eastAsia="宋体" w:cs="Times New Roman"/>
                      <w:b w:val="0"/>
                      <w:color w:val="000000" w:themeColor="text1"/>
                      <w:lang w:val="en-US" w:eastAsia="zh-CN"/>
                      <w14:textFill>
                        <w14:solidFill>
                          <w14:schemeClr w14:val="tx1"/>
                        </w14:solidFill>
                      </w14:textFill>
                    </w:rPr>
                    <w:t>持续喷淋</w:t>
                  </w:r>
                </w:p>
              </w:tc>
              <w:tc>
                <w:tcPr>
                  <w:tcW w:w="322" w:type="pct"/>
                  <w:tcBorders>
                    <w:bottom w:val="single" w:color="000000" w:sz="12" w:space="0"/>
                  </w:tcBorders>
                  <w:shd w:val="clear" w:color="auto" w:fill="FFFFFF"/>
                  <w:noWrap w:val="0"/>
                  <w:vAlign w:val="center"/>
                </w:tcPr>
                <w:p w14:paraId="57AAEBA3">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eastAsia="zh-CN"/>
                      <w14:textFill>
                        <w14:solidFill>
                          <w14:schemeClr w14:val="tx1"/>
                        </w14:solidFill>
                      </w14:textFill>
                    </w:rPr>
                  </w:pPr>
                  <w:r>
                    <w:rPr>
                      <w:rFonts w:hint="eastAsia" w:ascii="Times New Roman" w:hAnsi="Times New Roman" w:eastAsia="宋体" w:cs="Times New Roman"/>
                      <w:b w:val="0"/>
                      <w:color w:val="000000" w:themeColor="text1"/>
                      <w:lang w:eastAsia="zh-CN"/>
                      <w14:textFill>
                        <w14:solidFill>
                          <w14:schemeClr w14:val="tx1"/>
                        </w14:solidFill>
                      </w14:textFill>
                    </w:rPr>
                    <w:t>无组织</w:t>
                  </w:r>
                </w:p>
              </w:tc>
              <w:tc>
                <w:tcPr>
                  <w:tcW w:w="393" w:type="pct"/>
                  <w:tcBorders>
                    <w:bottom w:val="single" w:color="000000" w:sz="12" w:space="0"/>
                  </w:tcBorders>
                  <w:shd w:val="clear" w:color="auto" w:fill="FFFFFF"/>
                  <w:noWrap w:val="0"/>
                  <w:vAlign w:val="center"/>
                </w:tcPr>
                <w:p w14:paraId="6B333BF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w:t>
                  </w:r>
                </w:p>
              </w:tc>
              <w:tc>
                <w:tcPr>
                  <w:tcW w:w="477" w:type="pct"/>
                  <w:tcBorders>
                    <w:bottom w:val="single" w:color="000000" w:sz="12" w:space="0"/>
                  </w:tcBorders>
                  <w:shd w:val="clear" w:color="auto" w:fill="FFFFFF"/>
                  <w:noWrap w:val="0"/>
                  <w:vAlign w:val="center"/>
                </w:tcPr>
                <w:p w14:paraId="00DAB333">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w:t>
                  </w:r>
                </w:p>
              </w:tc>
              <w:tc>
                <w:tcPr>
                  <w:tcW w:w="377" w:type="pct"/>
                  <w:tcBorders>
                    <w:bottom w:val="single" w:color="000000" w:sz="12" w:space="0"/>
                  </w:tcBorders>
                  <w:shd w:val="clear" w:color="auto" w:fill="FFFFFF"/>
                  <w:noWrap w:val="0"/>
                  <w:vAlign w:val="center"/>
                </w:tcPr>
                <w:p w14:paraId="22BA34F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w:t>
                  </w:r>
                </w:p>
              </w:tc>
              <w:tc>
                <w:tcPr>
                  <w:tcW w:w="477" w:type="pct"/>
                  <w:tcBorders>
                    <w:bottom w:val="single" w:color="000000" w:sz="12" w:space="0"/>
                  </w:tcBorders>
                  <w:shd w:val="clear" w:color="auto" w:fill="FFFFFF"/>
                  <w:noWrap w:val="0"/>
                  <w:vAlign w:val="center"/>
                </w:tcPr>
                <w:p w14:paraId="73C35BE1">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w:t>
                  </w:r>
                </w:p>
              </w:tc>
              <w:tc>
                <w:tcPr>
                  <w:tcW w:w="362" w:type="pct"/>
                  <w:tcBorders>
                    <w:bottom w:val="single" w:color="000000" w:sz="12" w:space="0"/>
                    <w:right w:val="nil"/>
                  </w:tcBorders>
                  <w:shd w:val="clear" w:color="auto" w:fill="FFFFFF"/>
                  <w:noWrap w:val="0"/>
                  <w:vAlign w:val="center"/>
                </w:tcPr>
                <w:p w14:paraId="6A79082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cs="Times New Roman"/>
                      <w:b w:val="0"/>
                      <w:color w:val="000000" w:themeColor="text1"/>
                      <w:lang w:val="en-US" w:eastAsia="zh-CN"/>
                      <w14:textFill>
                        <w14:solidFill>
                          <w14:schemeClr w14:val="tx1"/>
                        </w14:solidFill>
                      </w14:textFill>
                    </w:rPr>
                    <w:t>-</w:t>
                  </w:r>
                </w:p>
              </w:tc>
            </w:tr>
          </w:tbl>
          <w:p w14:paraId="263D4B83">
            <w:pPr>
              <w:pStyle w:val="195"/>
              <w:spacing w:line="240" w:lineRule="auto"/>
              <w:jc w:val="both"/>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p>
          <w:p w14:paraId="1A5FDE4D">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表4-</w:t>
            </w:r>
            <w:r>
              <w:rPr>
                <w:rFonts w:hint="eastAsia" w:ascii="Times New Roman" w:hAnsi="Times New Roman" w:eastAsia="宋体" w:cs="Times New Roman"/>
                <w:color w:val="000000" w:themeColor="text1"/>
                <w:kern w:val="2"/>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本项目有组织废气排放口参数一览表</w:t>
            </w:r>
          </w:p>
          <w:tbl>
            <w:tblPr>
              <w:tblStyle w:val="4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9"/>
              <w:gridCol w:w="867"/>
              <w:gridCol w:w="1819"/>
              <w:gridCol w:w="740"/>
              <w:gridCol w:w="672"/>
              <w:gridCol w:w="671"/>
              <w:gridCol w:w="961"/>
              <w:gridCol w:w="661"/>
              <w:gridCol w:w="763"/>
              <w:gridCol w:w="534"/>
              <w:gridCol w:w="917"/>
            </w:tblGrid>
            <w:tr w14:paraId="61ACE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891" w:hRule="atLeast"/>
                <w:tblHeader/>
                <w:jc w:val="center"/>
              </w:trPr>
              <w:tc>
                <w:tcPr>
                  <w:tcW w:w="670" w:type="dxa"/>
                  <w:tcBorders>
                    <w:top w:val="single" w:color="000000" w:sz="12" w:space="0"/>
                    <w:bottom w:val="single" w:color="000000" w:sz="4" w:space="0"/>
                    <w:right w:val="nil"/>
                    <w:tl2br w:val="nil"/>
                  </w:tcBorders>
                  <w:shd w:val="clear" w:color="auto" w:fill="FFFFFF"/>
                  <w:noWrap w:val="0"/>
                  <w:vAlign w:val="center"/>
                </w:tcPr>
                <w:p w14:paraId="52593841">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编号</w:t>
                  </w:r>
                </w:p>
              </w:tc>
              <w:tc>
                <w:tcPr>
                  <w:tcW w:w="755" w:type="dxa"/>
                  <w:tcBorders>
                    <w:top w:val="single" w:color="000000" w:sz="12" w:space="0"/>
                    <w:left w:val="nil"/>
                    <w:bottom w:val="single" w:color="000000" w:sz="4" w:space="0"/>
                    <w:right w:val="nil"/>
                  </w:tcBorders>
                  <w:shd w:val="clear" w:color="auto" w:fill="FFFFFF"/>
                  <w:noWrap w:val="0"/>
                  <w:vAlign w:val="center"/>
                </w:tcPr>
                <w:p w14:paraId="7440070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名称</w:t>
                  </w:r>
                </w:p>
              </w:tc>
              <w:tc>
                <w:tcPr>
                  <w:tcW w:w="1414" w:type="dxa"/>
                  <w:tcBorders>
                    <w:top w:val="single" w:color="000000" w:sz="12" w:space="0"/>
                    <w:left w:val="nil"/>
                    <w:bottom w:val="single" w:color="000000" w:sz="4" w:space="0"/>
                    <w:right w:val="nil"/>
                  </w:tcBorders>
                  <w:shd w:val="clear" w:color="auto" w:fill="FFFFFF"/>
                  <w:noWrap w:val="0"/>
                  <w:vAlign w:val="center"/>
                </w:tcPr>
                <w:p w14:paraId="3851457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排气筒底部</w:t>
                  </w:r>
                </w:p>
                <w:p w14:paraId="6E27CA6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中心坐标</w:t>
                  </w:r>
                </w:p>
              </w:tc>
              <w:tc>
                <w:tcPr>
                  <w:tcW w:w="644" w:type="dxa"/>
                  <w:tcBorders>
                    <w:top w:val="single" w:color="000000" w:sz="12" w:space="0"/>
                    <w:left w:val="nil"/>
                    <w:bottom w:val="single" w:color="000000" w:sz="4" w:space="0"/>
                    <w:right w:val="nil"/>
                  </w:tcBorders>
                  <w:shd w:val="clear" w:color="auto" w:fill="FFFFFF"/>
                  <w:noWrap w:val="0"/>
                  <w:vAlign w:val="center"/>
                </w:tcPr>
                <w:p w14:paraId="50AC21E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排气筒底部海拔高度/</w:t>
                  </w:r>
                  <w:r>
                    <w:rPr>
                      <w:rFonts w:hint="eastAsia" w:ascii="Times New Roman" w:hAnsi="Times New Roman" w:eastAsia="宋体" w:cs="Times New Roman"/>
                      <w:b/>
                      <w:bCs/>
                      <w:color w:val="000000" w:themeColor="text1"/>
                      <w:lang w:val="en-US" w:eastAsia="zh-CN"/>
                      <w14:textFill>
                        <w14:solidFill>
                          <w14:schemeClr w14:val="tx1"/>
                        </w14:solidFill>
                      </w14:textFill>
                    </w:rPr>
                    <w:t>米</w:t>
                  </w:r>
                </w:p>
              </w:tc>
              <w:tc>
                <w:tcPr>
                  <w:tcW w:w="585" w:type="dxa"/>
                  <w:tcBorders>
                    <w:top w:val="single" w:color="000000" w:sz="12" w:space="0"/>
                    <w:left w:val="nil"/>
                    <w:bottom w:val="single" w:color="000000" w:sz="4" w:space="0"/>
                    <w:right w:val="nil"/>
                  </w:tcBorders>
                  <w:shd w:val="clear" w:color="auto" w:fill="FFFFFF"/>
                  <w:noWrap w:val="0"/>
                  <w:vAlign w:val="center"/>
                </w:tcPr>
                <w:p w14:paraId="3973CBB3">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排气筒高度/</w:t>
                  </w:r>
                  <w:r>
                    <w:rPr>
                      <w:rFonts w:hint="eastAsia" w:ascii="Times New Roman" w:hAnsi="Times New Roman" w:eastAsia="宋体" w:cs="Times New Roman"/>
                      <w:b/>
                      <w:bCs/>
                      <w:color w:val="000000" w:themeColor="text1"/>
                      <w:lang w:val="en-US" w:eastAsia="zh-CN"/>
                      <w14:textFill>
                        <w14:solidFill>
                          <w14:schemeClr w14:val="tx1"/>
                        </w14:solidFill>
                      </w14:textFill>
                    </w:rPr>
                    <w:t>米</w:t>
                  </w:r>
                </w:p>
              </w:tc>
              <w:tc>
                <w:tcPr>
                  <w:tcW w:w="584" w:type="dxa"/>
                  <w:tcBorders>
                    <w:top w:val="single" w:color="000000" w:sz="12" w:space="0"/>
                    <w:left w:val="nil"/>
                    <w:bottom w:val="single" w:color="000000" w:sz="4" w:space="0"/>
                    <w:right w:val="nil"/>
                  </w:tcBorders>
                  <w:shd w:val="clear" w:color="auto" w:fill="FFFFFF"/>
                  <w:noWrap w:val="0"/>
                  <w:vAlign w:val="center"/>
                </w:tcPr>
                <w:p w14:paraId="65A8845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排气筒出口</w:t>
                  </w:r>
                </w:p>
                <w:p w14:paraId="31C8D3DF">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内径/</w:t>
                  </w:r>
                  <w:r>
                    <w:rPr>
                      <w:rFonts w:hint="eastAsia" w:ascii="Times New Roman" w:hAnsi="Times New Roman" w:eastAsia="宋体" w:cs="Times New Roman"/>
                      <w:b/>
                      <w:bCs/>
                      <w:color w:val="000000" w:themeColor="text1"/>
                      <w:lang w:val="en-US" w:eastAsia="zh-CN"/>
                      <w14:textFill>
                        <w14:solidFill>
                          <w14:schemeClr w14:val="tx1"/>
                        </w14:solidFill>
                      </w14:textFill>
                    </w:rPr>
                    <w:t>米</w:t>
                  </w:r>
                </w:p>
              </w:tc>
              <w:tc>
                <w:tcPr>
                  <w:tcW w:w="836" w:type="dxa"/>
                  <w:tcBorders>
                    <w:top w:val="single" w:color="000000" w:sz="12" w:space="0"/>
                    <w:left w:val="nil"/>
                    <w:bottom w:val="single" w:color="000000" w:sz="4" w:space="0"/>
                    <w:right w:val="nil"/>
                  </w:tcBorders>
                  <w:shd w:val="clear" w:color="auto" w:fill="FFFFFF"/>
                  <w:noWrap w:val="0"/>
                  <w:vAlign w:val="center"/>
                </w:tcPr>
                <w:p w14:paraId="24CB70BC">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烟气量</w:t>
                  </w:r>
                </w:p>
                <w:p w14:paraId="3919852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w:t>
                  </w:r>
                  <w:r>
                    <w:rPr>
                      <w:rFonts w:hint="eastAsia" w:ascii="Times New Roman" w:hAnsi="Times New Roman" w:eastAsia="宋体" w:cs="Times New Roman"/>
                      <w:b/>
                      <w:bCs/>
                      <w:color w:val="000000" w:themeColor="text1"/>
                      <w:lang w:val="en-US" w:eastAsia="zh-CN"/>
                      <w14:textFill>
                        <w14:solidFill>
                          <w14:schemeClr w14:val="tx1"/>
                        </w14:solidFill>
                      </w14:textFill>
                    </w:rPr>
                    <w:t>立方米/小时）</w:t>
                  </w:r>
                </w:p>
              </w:tc>
              <w:tc>
                <w:tcPr>
                  <w:tcW w:w="575" w:type="dxa"/>
                  <w:tcBorders>
                    <w:top w:val="single" w:color="000000" w:sz="12" w:space="0"/>
                    <w:left w:val="nil"/>
                    <w:bottom w:val="single" w:color="000000" w:sz="4" w:space="0"/>
                    <w:right w:val="nil"/>
                  </w:tcBorders>
                  <w:shd w:val="clear" w:color="auto" w:fill="FFFFFF"/>
                  <w:noWrap w:val="0"/>
                  <w:vAlign w:val="center"/>
                </w:tcPr>
                <w:p w14:paraId="06D061F0">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烟气温度/</w:t>
                  </w:r>
                  <w:r>
                    <w:rPr>
                      <w:rFonts w:hint="eastAsia" w:ascii="Times New Roman" w:hAnsi="Times New Roman" w:eastAsia="宋体" w:cs="Times New Roman"/>
                      <w:b/>
                      <w:bCs/>
                      <w:color w:val="000000" w:themeColor="text1"/>
                      <w:lang w:val="en-US" w:eastAsia="zh-CN"/>
                      <w14:textFill>
                        <w14:solidFill>
                          <w14:schemeClr w14:val="tx1"/>
                        </w14:solidFill>
                      </w14:textFill>
                    </w:rPr>
                    <w:t>摄氏度</w:t>
                  </w:r>
                </w:p>
              </w:tc>
              <w:tc>
                <w:tcPr>
                  <w:tcW w:w="664" w:type="dxa"/>
                  <w:tcBorders>
                    <w:top w:val="single" w:color="000000" w:sz="12" w:space="0"/>
                    <w:left w:val="nil"/>
                    <w:bottom w:val="single" w:color="000000" w:sz="4" w:space="0"/>
                    <w:right w:val="nil"/>
                  </w:tcBorders>
                  <w:shd w:val="clear" w:color="auto" w:fill="FFFFFF"/>
                  <w:noWrap w:val="0"/>
                  <w:vAlign w:val="center"/>
                </w:tcPr>
                <w:p w14:paraId="5CF7637D">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年排放小时数/</w:t>
                  </w:r>
                  <w:r>
                    <w:rPr>
                      <w:rFonts w:hint="eastAsia" w:ascii="Times New Roman" w:hAnsi="Times New Roman" w:eastAsia="宋体" w:cs="Times New Roman"/>
                      <w:b/>
                      <w:bCs/>
                      <w:color w:val="000000" w:themeColor="text1"/>
                      <w:lang w:val="en-US" w:eastAsia="zh-CN"/>
                      <w14:textFill>
                        <w14:solidFill>
                          <w14:schemeClr w14:val="tx1"/>
                        </w14:solidFill>
                      </w14:textFill>
                    </w:rPr>
                    <w:t>小时</w:t>
                  </w:r>
                </w:p>
              </w:tc>
              <w:tc>
                <w:tcPr>
                  <w:tcW w:w="465" w:type="dxa"/>
                  <w:tcBorders>
                    <w:top w:val="single" w:color="000000" w:sz="12" w:space="0"/>
                    <w:left w:val="nil"/>
                    <w:bottom w:val="single" w:color="000000" w:sz="4" w:space="0"/>
                    <w:right w:val="nil"/>
                  </w:tcBorders>
                  <w:shd w:val="clear" w:color="auto" w:fill="FFFFFF"/>
                  <w:noWrap w:val="0"/>
                  <w:vAlign w:val="center"/>
                </w:tcPr>
                <w:p w14:paraId="34B5B58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排放</w:t>
                  </w:r>
                </w:p>
                <w:p w14:paraId="58F811C8">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工况</w:t>
                  </w:r>
                </w:p>
              </w:tc>
              <w:tc>
                <w:tcPr>
                  <w:tcW w:w="798" w:type="dxa"/>
                  <w:tcBorders>
                    <w:top w:val="single" w:color="000000" w:sz="12" w:space="0"/>
                    <w:left w:val="nil"/>
                    <w:bottom w:val="single" w:color="000000" w:sz="4" w:space="0"/>
                  </w:tcBorders>
                  <w:shd w:val="clear" w:color="auto" w:fill="FFFFFF"/>
                  <w:noWrap w:val="0"/>
                  <w:vAlign w:val="center"/>
                </w:tcPr>
                <w:p w14:paraId="6286B8F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类型</w:t>
                  </w:r>
                </w:p>
              </w:tc>
            </w:tr>
            <w:tr w14:paraId="14FCF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64" w:hRule="exact"/>
                <w:jc w:val="center"/>
              </w:trPr>
              <w:tc>
                <w:tcPr>
                  <w:tcW w:w="670" w:type="dxa"/>
                  <w:tcBorders>
                    <w:top w:val="single" w:color="000000" w:sz="4" w:space="0"/>
                    <w:bottom w:val="single" w:color="000000" w:sz="12" w:space="0"/>
                    <w:right w:val="nil"/>
                  </w:tcBorders>
                  <w:shd w:val="clear" w:color="auto" w:fill="FFFFFF"/>
                  <w:noWrap w:val="0"/>
                  <w:vAlign w:val="center"/>
                </w:tcPr>
                <w:p w14:paraId="7E170CF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DA00</w:t>
                  </w:r>
                  <w:r>
                    <w:rPr>
                      <w:rFonts w:hint="eastAsia" w:ascii="Times New Roman" w:hAnsi="Times New Roman" w:eastAsia="宋体" w:cs="Times New Roman"/>
                      <w:b w:val="0"/>
                      <w:color w:val="000000" w:themeColor="text1"/>
                      <w:lang w:val="en-US" w:eastAsia="zh-CN"/>
                      <w14:textFill>
                        <w14:solidFill>
                          <w14:schemeClr w14:val="tx1"/>
                        </w14:solidFill>
                      </w14:textFill>
                    </w:rPr>
                    <w:t>2</w:t>
                  </w:r>
                </w:p>
              </w:tc>
              <w:tc>
                <w:tcPr>
                  <w:tcW w:w="755" w:type="dxa"/>
                  <w:tcBorders>
                    <w:top w:val="single" w:color="000000" w:sz="4" w:space="0"/>
                    <w:left w:val="nil"/>
                    <w:bottom w:val="single" w:color="000000" w:sz="12" w:space="0"/>
                    <w:right w:val="nil"/>
                  </w:tcBorders>
                  <w:shd w:val="clear" w:color="auto" w:fill="FFFFFF"/>
                  <w:noWrap w:val="0"/>
                  <w:vAlign w:val="center"/>
                </w:tcPr>
                <w:p w14:paraId="53A198F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上料、振动筛分排放口</w:t>
                  </w:r>
                </w:p>
              </w:tc>
              <w:tc>
                <w:tcPr>
                  <w:tcW w:w="1414" w:type="dxa"/>
                  <w:tcBorders>
                    <w:top w:val="single" w:color="000000" w:sz="4" w:space="0"/>
                    <w:left w:val="nil"/>
                    <w:bottom w:val="single" w:color="000000" w:sz="12" w:space="0"/>
                    <w:right w:val="nil"/>
                  </w:tcBorders>
                  <w:shd w:val="clear" w:color="auto" w:fill="FFFFFF"/>
                  <w:noWrap w:val="0"/>
                  <w:vAlign w:val="center"/>
                </w:tcPr>
                <w:p w14:paraId="140FC8B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E87°</w:t>
                  </w:r>
                  <w:r>
                    <w:rPr>
                      <w:rFonts w:hint="eastAsia" w:ascii="Times New Roman" w:hAnsi="Times New Roman" w:eastAsia="宋体" w:cs="Times New Roman"/>
                      <w:b w:val="0"/>
                      <w:color w:val="000000" w:themeColor="text1"/>
                      <w:lang w:val="en-US" w:eastAsia="zh-CN"/>
                      <w14:textFill>
                        <w14:solidFill>
                          <w14:schemeClr w14:val="tx1"/>
                        </w14:solidFill>
                      </w14:textFill>
                    </w:rPr>
                    <w:t>11</w:t>
                  </w:r>
                  <w:r>
                    <w:rPr>
                      <w:rFonts w:hint="default" w:ascii="Times New Roman" w:hAnsi="Times New Roman" w:eastAsia="宋体" w:cs="Times New Roman"/>
                      <w:b w:val="0"/>
                      <w:color w:val="000000" w:themeColor="text1"/>
                      <w:lang w:val="en-US" w:eastAsia="zh-CN"/>
                      <w14:textFill>
                        <w14:solidFill>
                          <w14:schemeClr w14:val="tx1"/>
                        </w14:solidFill>
                      </w14:textFill>
                    </w:rPr>
                    <w:t>′</w:t>
                  </w:r>
                  <w:r>
                    <w:rPr>
                      <w:rFonts w:hint="eastAsia" w:ascii="Times New Roman" w:hAnsi="Times New Roman" w:eastAsia="宋体" w:cs="Times New Roman"/>
                      <w:b w:val="0"/>
                      <w:color w:val="000000" w:themeColor="text1"/>
                      <w:lang w:val="en-US" w:eastAsia="zh-CN"/>
                      <w14:textFill>
                        <w14:solidFill>
                          <w14:schemeClr w14:val="tx1"/>
                        </w14:solidFill>
                      </w14:textFill>
                    </w:rPr>
                    <w:t>50.098</w:t>
                  </w:r>
                  <w:r>
                    <w:rPr>
                      <w:rFonts w:hint="default" w:ascii="Times New Roman" w:hAnsi="Times New Roman" w:eastAsia="宋体" w:cs="Times New Roman"/>
                      <w:b w:val="0"/>
                      <w:color w:val="000000" w:themeColor="text1"/>
                      <w:lang w:val="en-US" w:eastAsia="zh-CN"/>
                      <w14:textFill>
                        <w14:solidFill>
                          <w14:schemeClr w14:val="tx1"/>
                        </w14:solidFill>
                      </w14:textFill>
                    </w:rPr>
                    <w:t>″</w:t>
                  </w:r>
                </w:p>
                <w:p w14:paraId="4131BBA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N43°59′</w:t>
                  </w:r>
                  <w:r>
                    <w:rPr>
                      <w:rFonts w:hint="eastAsia" w:ascii="Times New Roman" w:hAnsi="Times New Roman" w:eastAsia="宋体" w:cs="Times New Roman"/>
                      <w:b w:val="0"/>
                      <w:color w:val="000000" w:themeColor="text1"/>
                      <w:lang w:val="en-US" w:eastAsia="zh-CN"/>
                      <w14:textFill>
                        <w14:solidFill>
                          <w14:schemeClr w14:val="tx1"/>
                        </w14:solidFill>
                      </w14:textFill>
                    </w:rPr>
                    <w:t>18.021</w:t>
                  </w:r>
                  <w:r>
                    <w:rPr>
                      <w:rFonts w:hint="default" w:ascii="Times New Roman" w:hAnsi="Times New Roman" w:eastAsia="宋体" w:cs="Times New Roman"/>
                      <w:b w:val="0"/>
                      <w:color w:val="000000" w:themeColor="text1"/>
                      <w:lang w:val="en-US" w:eastAsia="zh-CN"/>
                      <w14:textFill>
                        <w14:solidFill>
                          <w14:schemeClr w14:val="tx1"/>
                        </w14:solidFill>
                      </w14:textFill>
                    </w:rPr>
                    <w:t>″</w:t>
                  </w:r>
                </w:p>
              </w:tc>
              <w:tc>
                <w:tcPr>
                  <w:tcW w:w="644" w:type="dxa"/>
                  <w:tcBorders>
                    <w:top w:val="single" w:color="000000" w:sz="4" w:space="0"/>
                    <w:left w:val="nil"/>
                    <w:bottom w:val="single" w:color="000000" w:sz="12" w:space="0"/>
                    <w:right w:val="nil"/>
                  </w:tcBorders>
                  <w:shd w:val="clear" w:color="auto" w:fill="FFFFFF"/>
                  <w:noWrap w:val="0"/>
                  <w:vAlign w:val="center"/>
                </w:tcPr>
                <w:p w14:paraId="5CAF3DA4">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639</w:t>
                  </w:r>
                </w:p>
              </w:tc>
              <w:tc>
                <w:tcPr>
                  <w:tcW w:w="585" w:type="dxa"/>
                  <w:tcBorders>
                    <w:top w:val="single" w:color="000000" w:sz="4" w:space="0"/>
                    <w:left w:val="nil"/>
                    <w:bottom w:val="single" w:color="000000" w:sz="12" w:space="0"/>
                    <w:right w:val="nil"/>
                  </w:tcBorders>
                  <w:shd w:val="clear" w:color="auto" w:fill="FFFFFF"/>
                  <w:noWrap w:val="0"/>
                  <w:vAlign w:val="center"/>
                </w:tcPr>
                <w:p w14:paraId="2A92E98D">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15</w:t>
                  </w:r>
                </w:p>
              </w:tc>
              <w:tc>
                <w:tcPr>
                  <w:tcW w:w="584" w:type="dxa"/>
                  <w:tcBorders>
                    <w:top w:val="single" w:color="000000" w:sz="4" w:space="0"/>
                    <w:left w:val="nil"/>
                    <w:bottom w:val="single" w:color="000000" w:sz="12" w:space="0"/>
                    <w:right w:val="nil"/>
                  </w:tcBorders>
                  <w:shd w:val="clear" w:color="auto" w:fill="FFFFFF"/>
                  <w:noWrap w:val="0"/>
                  <w:vAlign w:val="center"/>
                </w:tcPr>
                <w:p w14:paraId="39E51FC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0.4</w:t>
                  </w:r>
                </w:p>
              </w:tc>
              <w:tc>
                <w:tcPr>
                  <w:tcW w:w="836" w:type="dxa"/>
                  <w:tcBorders>
                    <w:top w:val="single" w:color="000000" w:sz="4" w:space="0"/>
                    <w:left w:val="nil"/>
                    <w:bottom w:val="single" w:color="000000" w:sz="12" w:space="0"/>
                    <w:right w:val="nil"/>
                  </w:tcBorders>
                  <w:shd w:val="clear" w:color="auto" w:fill="FFFFFF"/>
                  <w:noWrap w:val="0"/>
                  <w:vAlign w:val="center"/>
                </w:tcPr>
                <w:p w14:paraId="3B2F128F">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5000</w:t>
                  </w:r>
                </w:p>
              </w:tc>
              <w:tc>
                <w:tcPr>
                  <w:tcW w:w="575" w:type="dxa"/>
                  <w:tcBorders>
                    <w:top w:val="single" w:color="000000" w:sz="4" w:space="0"/>
                    <w:left w:val="nil"/>
                    <w:bottom w:val="single" w:color="000000" w:sz="12" w:space="0"/>
                    <w:right w:val="nil"/>
                  </w:tcBorders>
                  <w:shd w:val="clear" w:color="auto" w:fill="FFFFFF"/>
                  <w:noWrap w:val="0"/>
                  <w:vAlign w:val="center"/>
                </w:tcPr>
                <w:p w14:paraId="2D505972">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常温</w:t>
                  </w:r>
                </w:p>
              </w:tc>
              <w:tc>
                <w:tcPr>
                  <w:tcW w:w="664" w:type="dxa"/>
                  <w:tcBorders>
                    <w:top w:val="single" w:color="000000" w:sz="4" w:space="0"/>
                    <w:left w:val="nil"/>
                    <w:bottom w:val="single" w:color="000000" w:sz="12" w:space="0"/>
                    <w:right w:val="nil"/>
                  </w:tcBorders>
                  <w:shd w:val="clear" w:color="auto" w:fill="FFFFFF"/>
                  <w:noWrap w:val="0"/>
                  <w:vAlign w:val="center"/>
                </w:tcPr>
                <w:p w14:paraId="06EC4FD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3360</w:t>
                  </w:r>
                </w:p>
              </w:tc>
              <w:tc>
                <w:tcPr>
                  <w:tcW w:w="465" w:type="dxa"/>
                  <w:tcBorders>
                    <w:top w:val="single" w:color="000000" w:sz="4" w:space="0"/>
                    <w:left w:val="nil"/>
                    <w:bottom w:val="single" w:color="000000" w:sz="12" w:space="0"/>
                    <w:right w:val="nil"/>
                  </w:tcBorders>
                  <w:shd w:val="clear" w:color="auto" w:fill="FFFFFF"/>
                  <w:noWrap w:val="0"/>
                  <w:vAlign w:val="center"/>
                </w:tcPr>
                <w:p w14:paraId="3EE47ED3">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正常</w:t>
                  </w:r>
                </w:p>
              </w:tc>
              <w:tc>
                <w:tcPr>
                  <w:tcW w:w="798" w:type="dxa"/>
                  <w:tcBorders>
                    <w:top w:val="single" w:color="000000" w:sz="4" w:space="0"/>
                    <w:left w:val="nil"/>
                    <w:bottom w:val="single" w:color="000000" w:sz="12" w:space="0"/>
                  </w:tcBorders>
                  <w:shd w:val="clear" w:color="auto" w:fill="FFFFFF"/>
                  <w:noWrap w:val="0"/>
                  <w:vAlign w:val="center"/>
                </w:tcPr>
                <w:p w14:paraId="4AB2CC6E">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eastAsia"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一般</w:t>
                  </w:r>
                </w:p>
                <w:p w14:paraId="47C74B43">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排放口</w:t>
                  </w:r>
                </w:p>
              </w:tc>
            </w:tr>
          </w:tbl>
          <w:p w14:paraId="6F214C39">
            <w:pPr>
              <w:pStyle w:val="5"/>
              <w:spacing w:before="120" w:beforeLines="50" w:after="0"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通过以上计算分析，本项目</w:t>
            </w:r>
            <w:r>
              <w:rPr>
                <w:rFonts w:hint="eastAsia" w:ascii="Times New Roman" w:hAnsi="Times New Roman" w:cs="Times New Roman"/>
                <w:color w:val="000000" w:themeColor="text1"/>
                <w:sz w:val="24"/>
                <w:lang w:val="en-US" w:eastAsia="zh-CN"/>
                <w14:textFill>
                  <w14:solidFill>
                    <w14:schemeClr w14:val="tx1"/>
                  </w14:solidFill>
                </w14:textFill>
              </w:rPr>
              <w:t>产生的颗粒物污染物</w:t>
            </w:r>
            <w:r>
              <w:rPr>
                <w:rFonts w:hint="default" w:ascii="Times New Roman" w:hAnsi="Times New Roman" w:cs="Times New Roman"/>
                <w:color w:val="000000" w:themeColor="text1"/>
                <w:sz w:val="24"/>
                <w14:textFill>
                  <w14:solidFill>
                    <w14:schemeClr w14:val="tx1"/>
                  </w14:solidFill>
                </w14:textFill>
              </w:rPr>
              <w:t>的</w:t>
            </w:r>
            <w:r>
              <w:rPr>
                <w:rFonts w:hint="default" w:ascii="Times New Roman" w:hAnsi="Times New Roman" w:cs="Times New Roman"/>
                <w:color w:val="000000" w:themeColor="text1"/>
                <w:sz w:val="24"/>
                <w:shd w:val="clear" w:color="auto" w:fill="FFFFFF"/>
                <w14:textFill>
                  <w14:solidFill>
                    <w14:schemeClr w14:val="tx1"/>
                  </w14:solidFill>
                </w14:textFill>
              </w:rPr>
              <w:t>排放浓度</w:t>
            </w:r>
            <w:r>
              <w:rPr>
                <w:rFonts w:hint="eastAsia" w:ascii="Times New Roman" w:hAnsi="Times New Roman" w:cs="Times New Roman"/>
                <w:color w:val="000000" w:themeColor="text1"/>
                <w:sz w:val="24"/>
                <w:shd w:val="clear" w:color="auto" w:fill="FFFFFF"/>
                <w:lang w:val="en-US" w:eastAsia="zh-CN"/>
                <w14:textFill>
                  <w14:solidFill>
                    <w14:schemeClr w14:val="tx1"/>
                  </w14:solidFill>
                </w14:textFill>
              </w:rPr>
              <w:t>及排放速率均</w:t>
            </w:r>
            <w:r>
              <w:rPr>
                <w:rFonts w:hint="default" w:ascii="Times New Roman" w:hAnsi="Times New Roman" w:cs="Times New Roman"/>
                <w:color w:val="000000" w:themeColor="text1"/>
                <w:sz w:val="24"/>
                <w:shd w:val="clear" w:color="auto" w:fill="FFFFFF"/>
                <w14:textFill>
                  <w14:solidFill>
                    <w14:schemeClr w14:val="tx1"/>
                  </w14:solidFill>
                </w14:textFill>
              </w:rPr>
              <w:t>符合《大气污染物综合排放标准》（GB16297-1996），对周边环境影响</w:t>
            </w:r>
            <w:r>
              <w:rPr>
                <w:rFonts w:hint="eastAsia" w:ascii="Times New Roman" w:hAnsi="Times New Roman" w:cs="Times New Roman"/>
                <w:color w:val="000000" w:themeColor="text1"/>
                <w:sz w:val="24"/>
                <w:shd w:val="clear" w:color="auto" w:fill="FFFFFF"/>
                <w:lang w:val="en-US" w:eastAsia="zh-CN"/>
                <w14:textFill>
                  <w14:solidFill>
                    <w14:schemeClr w14:val="tx1"/>
                  </w14:solidFill>
                </w14:textFill>
              </w:rPr>
              <w:t>不大</w:t>
            </w:r>
            <w:r>
              <w:rPr>
                <w:rFonts w:hint="default" w:ascii="Times New Roman" w:hAnsi="Times New Roman" w:cs="Times New Roman"/>
                <w:color w:val="000000" w:themeColor="text1"/>
                <w:sz w:val="24"/>
                <w14:textFill>
                  <w14:solidFill>
                    <w14:schemeClr w14:val="tx1"/>
                  </w14:solidFill>
                </w14:textFill>
              </w:rPr>
              <w:t>。</w:t>
            </w:r>
          </w:p>
          <w:p w14:paraId="107406C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b/>
                <w:bCs/>
                <w:color w:val="000000" w:themeColor="text1"/>
                <w:sz w:val="24"/>
                <w14:textFill>
                  <w14:solidFill>
                    <w14:schemeClr w14:val="tx1"/>
                  </w14:solidFill>
                </w14:textFill>
              </w:rPr>
            </w:pPr>
            <w:r>
              <w:rPr>
                <w:rFonts w:hint="eastAsia"/>
                <w:b/>
                <w:bCs/>
                <w:color w:val="000000" w:themeColor="text1"/>
                <w:sz w:val="24"/>
                <w:lang w:val="en-US" w:eastAsia="zh-CN"/>
                <w14:textFill>
                  <w14:solidFill>
                    <w14:schemeClr w14:val="tx1"/>
                  </w14:solidFill>
                </w14:textFill>
              </w:rPr>
              <w:t>（3）</w:t>
            </w:r>
            <w:r>
              <w:rPr>
                <w:rFonts w:hint="eastAsia"/>
                <w:b/>
                <w:bCs/>
                <w:color w:val="000000" w:themeColor="text1"/>
                <w:sz w:val="24"/>
                <w14:textFill>
                  <w14:solidFill>
                    <w14:schemeClr w14:val="tx1"/>
                  </w14:solidFill>
                </w14:textFill>
              </w:rPr>
              <w:t>废气防治措施可行性</w:t>
            </w:r>
          </w:p>
          <w:p w14:paraId="4294A84A">
            <w:pPr>
              <w:pStyle w:val="5"/>
              <w:keepNext w:val="0"/>
              <w:keepLines w:val="0"/>
              <w:pageBreakBefore w:val="0"/>
              <w:widowControl w:val="0"/>
              <w:kinsoku/>
              <w:wordWrap/>
              <w:overflowPunct/>
              <w:topLinePunct w:val="0"/>
              <w:autoSpaceDE/>
              <w:autoSpaceDN/>
              <w:bidi w:val="0"/>
              <w:spacing w:after="0" w:line="360" w:lineRule="auto"/>
              <w:ind w:firstLine="480" w:firstLineChars="200"/>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本项目针对各工序废气特征配套专属防治措施，技术成熟、治理效果稳定，可有效控制颗粒物无组织与有组织排放，具备良好可行性。原料卸料、成品装料及厂区运输环节，通过厂区地面硬化、常态化洒水降尘、堆场防风抑尘网布设，可实现74%的抑尘效率，有效抑制无组织扬尘逸散。上料、振动筛分工序采用局部及全密闭集气设施，搭配布袋除尘器处理，集气收集效率及99%的除尘效率均满足环评管控要求，废气经15m排气筒达标排放，污染物排放浓度和速率符合《大气污染物综合排放标准》规范。物料皮带输送采用全封闭廊道+喷淋抑尘模式，从源头阻断粉尘逸散。项目尾气依托良好大气扩散条件自然稀释，各类防治措施投资及运行成本低、运维简便，可长期稳定运行，有效降低废气对周边大气环境的影响。</w:t>
            </w:r>
          </w:p>
          <w:p w14:paraId="4FC5A169">
            <w:pPr>
              <w:pStyle w:val="250"/>
              <w:spacing w:line="360" w:lineRule="auto"/>
              <w:ind w:firstLine="482"/>
              <w:rPr>
                <w:rFonts w:hint="eastAsia"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olor w:val="000000" w:themeColor="text1"/>
                <w:sz w:val="24"/>
                <w:szCs w:val="24"/>
                <w:highlight w:val="none"/>
                <w14:textFill>
                  <w14:solidFill>
                    <w14:schemeClr w14:val="tx1"/>
                  </w14:solidFill>
                </w14:textFill>
              </w:rPr>
              <w:t>废气</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非</w:t>
            </w:r>
            <w:r>
              <w:rPr>
                <w:rFonts w:hint="eastAsia" w:ascii="Times New Roman" w:hAnsi="Times New Roman" w:eastAsia="宋体"/>
                <w:color w:val="000000" w:themeColor="text1"/>
                <w:sz w:val="24"/>
                <w:szCs w:val="24"/>
                <w:highlight w:val="none"/>
                <w14:textFill>
                  <w14:solidFill>
                    <w14:schemeClr w14:val="tx1"/>
                  </w14:solidFill>
                </w14:textFill>
              </w:rPr>
              <w:t>正常情况下排放</w:t>
            </w:r>
          </w:p>
          <w:p w14:paraId="3F279046">
            <w:pPr>
              <w:pStyle w:val="250"/>
              <w:spacing w:line="360" w:lineRule="auto"/>
              <w:ind w:firstLine="480"/>
              <w:rPr>
                <w:rFonts w:hint="eastAsia" w:ascii="Times New Roman" w:hAnsi="Times New Roman" w:eastAsia="宋体"/>
                <w:b w:val="0"/>
                <w:bCs/>
                <w:color w:val="000000" w:themeColor="text1"/>
                <w:sz w:val="24"/>
                <w:szCs w:val="24"/>
                <w:highlight w:val="none"/>
                <w14:textFill>
                  <w14:solidFill>
                    <w14:schemeClr w14:val="tx1"/>
                  </w14:solidFill>
                </w14:textFill>
              </w:rPr>
            </w:pPr>
            <w:r>
              <w:rPr>
                <w:rFonts w:hint="eastAsia" w:ascii="Times New Roman" w:hAnsi="Times New Roman" w:eastAsia="宋体"/>
                <w:b w:val="0"/>
                <w:bCs/>
                <w:color w:val="000000" w:themeColor="text1"/>
                <w:sz w:val="24"/>
                <w:szCs w:val="24"/>
                <w:highlight w:val="none"/>
                <w14:textFill>
                  <w14:solidFill>
                    <w14:schemeClr w14:val="tx1"/>
                  </w14:solidFill>
                </w14:textFill>
              </w:rPr>
              <w:t>建设项目发生非正常排放的原因主要有开停车、生产设备故障、废气处理系统出现故障时和未经处理的废气排入大气环境中。本项目</w:t>
            </w:r>
            <w:r>
              <w:rPr>
                <w:rFonts w:hint="eastAsia"/>
                <w:b w:val="0"/>
                <w:bCs/>
                <w:color w:val="000000" w:themeColor="text1"/>
                <w:sz w:val="24"/>
                <w:szCs w:val="24"/>
                <w:highlight w:val="none"/>
                <w:lang w:val="en-US" w:eastAsia="zh-CN"/>
                <w14:textFill>
                  <w14:solidFill>
                    <w14:schemeClr w14:val="tx1"/>
                  </w14:solidFill>
                </w14:textFill>
              </w:rPr>
              <w:t>颗粒物</w:t>
            </w: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废气</w:t>
            </w:r>
            <w:r>
              <w:rPr>
                <w:rFonts w:hint="eastAsia" w:ascii="Times New Roman" w:hAnsi="Times New Roman" w:eastAsia="宋体"/>
                <w:b w:val="0"/>
                <w:bCs/>
                <w:color w:val="000000" w:themeColor="text1"/>
                <w:sz w:val="24"/>
                <w:szCs w:val="24"/>
                <w:highlight w:val="none"/>
                <w14:textFill>
                  <w14:solidFill>
                    <w14:schemeClr w14:val="tx1"/>
                  </w14:solidFill>
                </w14:textFill>
              </w:rPr>
              <w:t>非正常排放主要考虑</w:t>
            </w: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废气处理设施出现故障，</w:t>
            </w:r>
            <w:r>
              <w:rPr>
                <w:rFonts w:hint="eastAsia"/>
                <w:b w:val="0"/>
                <w:bCs/>
                <w:color w:val="000000" w:themeColor="text1"/>
                <w:sz w:val="24"/>
                <w:szCs w:val="24"/>
                <w:highlight w:val="none"/>
                <w:lang w:val="en-US" w:eastAsia="zh-CN"/>
                <w14:textFill>
                  <w14:solidFill>
                    <w14:schemeClr w14:val="tx1"/>
                  </w14:solidFill>
                </w14:textFill>
              </w:rPr>
              <w:t>布袋除尘器</w:t>
            </w: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废气去除效率为</w:t>
            </w:r>
            <w:r>
              <w:rPr>
                <w:rFonts w:hint="eastAsia"/>
                <w:b w:val="0"/>
                <w:bCs/>
                <w:color w:val="000000" w:themeColor="text1"/>
                <w:sz w:val="24"/>
                <w:szCs w:val="24"/>
                <w:highlight w:val="none"/>
                <w:lang w:val="en-US" w:eastAsia="zh-CN"/>
                <w14:textFill>
                  <w14:solidFill>
                    <w14:schemeClr w14:val="tx1"/>
                  </w14:solidFill>
                </w14:textFill>
              </w:rPr>
              <w:t>50%</w:t>
            </w:r>
            <w:r>
              <w:rPr>
                <w:rFonts w:hint="eastAsia" w:ascii="Times New Roman" w:hAnsi="Times New Roman" w:eastAsia="宋体"/>
                <w:b w:val="0"/>
                <w:bCs/>
                <w:color w:val="000000" w:themeColor="text1"/>
                <w:sz w:val="24"/>
                <w:szCs w:val="24"/>
                <w:highlight w:val="none"/>
                <w14:textFill>
                  <w14:solidFill>
                    <w14:schemeClr w14:val="tx1"/>
                  </w14:solidFill>
                </w14:textFill>
              </w:rPr>
              <w:t>，废气非正常排放情况详见下表。</w:t>
            </w:r>
          </w:p>
          <w:p w14:paraId="7A22BDD1">
            <w:pPr>
              <w:pStyle w:val="195"/>
              <w:spacing w:line="240" w:lineRule="auto"/>
              <w:rPr>
                <w:rFonts w:hint="eastAsia"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14:textFill>
                  <w14:solidFill>
                    <w14:schemeClr w14:val="tx1"/>
                  </w14:solidFill>
                </w14:textFill>
              </w:rPr>
              <w:t>表4-3项目非正常排放量核算表</w:t>
            </w:r>
          </w:p>
          <w:tbl>
            <w:tblPr>
              <w:tblStyle w:val="43"/>
              <w:tblW w:w="922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1025"/>
              <w:gridCol w:w="1025"/>
              <w:gridCol w:w="1025"/>
              <w:gridCol w:w="1025"/>
              <w:gridCol w:w="1025"/>
              <w:gridCol w:w="1025"/>
              <w:gridCol w:w="1025"/>
              <w:gridCol w:w="1025"/>
            </w:tblGrid>
            <w:tr w14:paraId="0357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Borders>
                    <w:top w:val="single" w:color="000000" w:sz="12" w:space="0"/>
                    <w:left w:val="nil"/>
                    <w:tl2br w:val="nil"/>
                  </w:tcBorders>
                  <w:shd w:val="clear" w:color="auto" w:fill="FFFFFF"/>
                  <w:vAlign w:val="center"/>
                </w:tcPr>
                <w:p w14:paraId="79DC2534">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序号</w:t>
                  </w:r>
                </w:p>
              </w:tc>
              <w:tc>
                <w:tcPr>
                  <w:tcW w:w="1025" w:type="dxa"/>
                  <w:tcBorders>
                    <w:top w:val="single" w:color="000000" w:sz="12" w:space="0"/>
                  </w:tcBorders>
                  <w:shd w:val="clear" w:color="auto" w:fill="FFFFFF"/>
                  <w:vAlign w:val="center"/>
                </w:tcPr>
                <w:p w14:paraId="36C155D6">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污染源</w:t>
                  </w:r>
                </w:p>
              </w:tc>
              <w:tc>
                <w:tcPr>
                  <w:tcW w:w="1025" w:type="dxa"/>
                  <w:tcBorders>
                    <w:top w:val="single" w:color="000000" w:sz="12" w:space="0"/>
                  </w:tcBorders>
                  <w:shd w:val="clear" w:color="auto" w:fill="FFFFFF"/>
                  <w:vAlign w:val="center"/>
                </w:tcPr>
                <w:p w14:paraId="2021A322">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非正常排放原因</w:t>
                  </w:r>
                </w:p>
              </w:tc>
              <w:tc>
                <w:tcPr>
                  <w:tcW w:w="1025" w:type="dxa"/>
                  <w:tcBorders>
                    <w:top w:val="single" w:color="000000" w:sz="12" w:space="0"/>
                  </w:tcBorders>
                  <w:shd w:val="clear" w:color="auto" w:fill="FFFFFF"/>
                  <w:vAlign w:val="center"/>
                </w:tcPr>
                <w:p w14:paraId="38379070">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污染物</w:t>
                  </w:r>
                </w:p>
              </w:tc>
              <w:tc>
                <w:tcPr>
                  <w:tcW w:w="1025" w:type="dxa"/>
                  <w:tcBorders>
                    <w:top w:val="single" w:color="000000" w:sz="12" w:space="0"/>
                  </w:tcBorders>
                  <w:shd w:val="clear" w:color="auto" w:fill="FFFFFF"/>
                  <w:vAlign w:val="center"/>
                </w:tcPr>
                <w:p w14:paraId="7BD96231">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排放量</w:t>
                  </w:r>
                  <w:r>
                    <w:rPr>
                      <w:rFonts w:hint="eastAsia" w:ascii="Times New Roman" w:hAnsi="Times New Roman" w:eastAsia="宋体" w:cs="Times New Roman"/>
                      <w:color w:val="000000" w:themeColor="text1"/>
                      <w:kern w:val="2"/>
                      <w:sz w:val="21"/>
                      <w:szCs w:val="21"/>
                      <w:lang w:val="en-US" w:eastAsia="zh-CN"/>
                      <w14:textFill>
                        <w14:solidFill>
                          <w14:schemeClr w14:val="tx1"/>
                        </w14:solidFill>
                      </w14:textFill>
                    </w:rPr>
                    <w:t>kg</w:t>
                  </w: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/a</w:t>
                  </w:r>
                </w:p>
              </w:tc>
              <w:tc>
                <w:tcPr>
                  <w:tcW w:w="1025" w:type="dxa"/>
                  <w:tcBorders>
                    <w:top w:val="single" w:color="000000" w:sz="12" w:space="0"/>
                  </w:tcBorders>
                  <w:shd w:val="clear" w:color="auto" w:fill="FFFFFF"/>
                  <w:vAlign w:val="center"/>
                </w:tcPr>
                <w:p w14:paraId="34941D11">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排放浓度mg/m³</w:t>
                  </w:r>
                </w:p>
              </w:tc>
              <w:tc>
                <w:tcPr>
                  <w:tcW w:w="1025" w:type="dxa"/>
                  <w:tcBorders>
                    <w:top w:val="single" w:color="000000" w:sz="12" w:space="0"/>
                  </w:tcBorders>
                  <w:shd w:val="clear" w:color="auto" w:fill="FFFFFF"/>
                  <w:vAlign w:val="center"/>
                </w:tcPr>
                <w:p w14:paraId="3D5B6261">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单次持续时间</w:t>
                  </w:r>
                </w:p>
              </w:tc>
              <w:tc>
                <w:tcPr>
                  <w:tcW w:w="1025" w:type="dxa"/>
                  <w:tcBorders>
                    <w:top w:val="single" w:color="000000" w:sz="12" w:space="0"/>
                  </w:tcBorders>
                  <w:shd w:val="clear" w:color="auto" w:fill="FFFFFF"/>
                  <w:vAlign w:val="center"/>
                </w:tcPr>
                <w:p w14:paraId="1CEC5AD8">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年发生频次</w:t>
                  </w:r>
                </w:p>
              </w:tc>
              <w:tc>
                <w:tcPr>
                  <w:tcW w:w="1025" w:type="dxa"/>
                  <w:tcBorders>
                    <w:top w:val="single" w:color="000000" w:sz="12" w:space="0"/>
                    <w:right w:val="nil"/>
                  </w:tcBorders>
                  <w:shd w:val="clear" w:color="auto" w:fill="FFFFFF"/>
                  <w:vAlign w:val="center"/>
                </w:tcPr>
                <w:p w14:paraId="4F340459">
                  <w:pPr>
                    <w:pStyle w:val="195"/>
                    <w:spacing w:line="240" w:lineRule="auto"/>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14:textFill>
                        <w14:solidFill>
                          <w14:schemeClr w14:val="tx1"/>
                        </w14:solidFill>
                      </w14:textFill>
                    </w:rPr>
                    <w:t>应对措施</w:t>
                  </w:r>
                </w:p>
              </w:tc>
            </w:tr>
            <w:tr w14:paraId="1CEF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Borders>
                    <w:left w:val="nil"/>
                    <w:bottom w:val="single" w:color="000000" w:sz="12" w:space="0"/>
                  </w:tcBorders>
                  <w:shd w:val="clear" w:color="auto" w:fill="FFFFFF"/>
                  <w:vAlign w:val="center"/>
                </w:tcPr>
                <w:p w14:paraId="032932D3">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1</w:t>
                  </w:r>
                </w:p>
              </w:tc>
              <w:tc>
                <w:tcPr>
                  <w:tcW w:w="1025" w:type="dxa"/>
                  <w:tcBorders>
                    <w:bottom w:val="single" w:color="000000" w:sz="12" w:space="0"/>
                  </w:tcBorders>
                  <w:shd w:val="clear" w:color="auto" w:fill="FFFFFF"/>
                  <w:vAlign w:val="center"/>
                </w:tcPr>
                <w:p w14:paraId="21ABD61B">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上料振动筛分排放口</w:t>
                  </w:r>
                </w:p>
              </w:tc>
              <w:tc>
                <w:tcPr>
                  <w:tcW w:w="1025" w:type="dxa"/>
                  <w:tcBorders>
                    <w:bottom w:val="single" w:color="000000" w:sz="12" w:space="0"/>
                  </w:tcBorders>
                  <w:shd w:val="clear" w:color="auto" w:fill="FFFFFF"/>
                  <w:vAlign w:val="center"/>
                </w:tcPr>
                <w:p w14:paraId="57A1DB1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布袋除尘器异常</w:t>
                  </w:r>
                </w:p>
              </w:tc>
              <w:tc>
                <w:tcPr>
                  <w:tcW w:w="1025" w:type="dxa"/>
                  <w:tcBorders>
                    <w:bottom w:val="single" w:color="000000" w:sz="12" w:space="0"/>
                  </w:tcBorders>
                  <w:shd w:val="clear" w:color="auto" w:fill="FFFFFF"/>
                  <w:vAlign w:val="center"/>
                </w:tcPr>
                <w:p w14:paraId="734494D3">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颗粒物</w:t>
                  </w:r>
                </w:p>
              </w:tc>
              <w:tc>
                <w:tcPr>
                  <w:tcW w:w="1025" w:type="dxa"/>
                  <w:tcBorders>
                    <w:bottom w:val="single" w:color="000000" w:sz="12" w:space="0"/>
                  </w:tcBorders>
                  <w:shd w:val="clear" w:color="auto" w:fill="FFFFFF"/>
                  <w:vAlign w:val="center"/>
                </w:tcPr>
                <w:p w14:paraId="6915EA96">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3.227</w:t>
                  </w:r>
                </w:p>
              </w:tc>
              <w:tc>
                <w:tcPr>
                  <w:tcW w:w="1025" w:type="dxa"/>
                  <w:tcBorders>
                    <w:bottom w:val="single" w:color="000000" w:sz="12" w:space="0"/>
                  </w:tcBorders>
                  <w:shd w:val="clear" w:color="auto" w:fill="FFFFFF"/>
                  <w:vAlign w:val="center"/>
                </w:tcPr>
                <w:p w14:paraId="04A4AE7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highlight w:val="none"/>
                      <w:lang w:val="en-US" w:eastAsia="zh-CN"/>
                      <w14:textFill>
                        <w14:solidFill>
                          <w14:schemeClr w14:val="tx1"/>
                        </w14:solidFill>
                      </w14:textFill>
                    </w:rPr>
                    <w:t>80.67</w:t>
                  </w:r>
                </w:p>
              </w:tc>
              <w:tc>
                <w:tcPr>
                  <w:tcW w:w="1025" w:type="dxa"/>
                  <w:tcBorders>
                    <w:bottom w:val="single" w:color="000000" w:sz="12" w:space="0"/>
                  </w:tcBorders>
                  <w:shd w:val="clear" w:color="auto" w:fill="FFFFFF"/>
                  <w:vAlign w:val="center"/>
                </w:tcPr>
                <w:p w14:paraId="32312B71">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30min</w:t>
                  </w:r>
                </w:p>
              </w:tc>
              <w:tc>
                <w:tcPr>
                  <w:tcW w:w="1025" w:type="dxa"/>
                  <w:tcBorders>
                    <w:bottom w:val="single" w:color="000000" w:sz="12" w:space="0"/>
                  </w:tcBorders>
                  <w:shd w:val="clear" w:color="auto" w:fill="FFFFFF"/>
                  <w:vAlign w:val="center"/>
                </w:tcPr>
                <w:p w14:paraId="1C557C9A">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eastAsia" w:ascii="Times New Roman" w:hAnsi="Times New Roman" w:eastAsia="宋体" w:cs="Times New Roman"/>
                      <w:b w:val="0"/>
                      <w:color w:val="000000" w:themeColor="text1"/>
                      <w:lang w:val="en-US" w:eastAsia="zh-CN"/>
                      <w14:textFill>
                        <w14:solidFill>
                          <w14:schemeClr w14:val="tx1"/>
                        </w14:solidFill>
                      </w14:textFill>
                    </w:rPr>
                    <w:t>2</w:t>
                  </w:r>
                </w:p>
              </w:tc>
              <w:tc>
                <w:tcPr>
                  <w:tcW w:w="1025" w:type="dxa"/>
                  <w:tcBorders>
                    <w:bottom w:val="single" w:color="000000" w:sz="12" w:space="0"/>
                    <w:right w:val="nil"/>
                  </w:tcBorders>
                  <w:shd w:val="clear" w:color="auto" w:fill="FFFFFF"/>
                  <w:vAlign w:val="center"/>
                </w:tcPr>
                <w:p w14:paraId="62ADDB95">
                  <w:pPr>
                    <w:pStyle w:val="2"/>
                    <w:keepNext w:val="0"/>
                    <w:keepLines w:val="0"/>
                    <w:pageBreakBefore w:val="0"/>
                    <w:widowControl w:val="0"/>
                    <w:kinsoku/>
                    <w:wordWrap/>
                    <w:overflowPunct/>
                    <w:topLinePunct w:val="0"/>
                    <w:autoSpaceDE/>
                    <w:autoSpaceDN/>
                    <w:bidi w:val="0"/>
                    <w:adjustRightInd w:val="0"/>
                    <w:spacing w:before="0" w:beforeLines="0" w:after="0" w:afterLines="0" w:line="300" w:lineRule="exact"/>
                    <w:jc w:val="center"/>
                    <w:textAlignment w:val="auto"/>
                    <w:rPr>
                      <w:rFonts w:hint="default" w:ascii="Times New Roman" w:hAnsi="Times New Roman" w:eastAsia="宋体" w:cs="Times New Roman"/>
                      <w:b w:val="0"/>
                      <w:color w:val="000000" w:themeColor="text1"/>
                      <w:lang w:val="en-US" w:eastAsia="zh-CN"/>
                      <w14:textFill>
                        <w14:solidFill>
                          <w14:schemeClr w14:val="tx1"/>
                        </w14:solidFill>
                      </w14:textFill>
                    </w:rPr>
                  </w:pPr>
                  <w:r>
                    <w:rPr>
                      <w:rFonts w:hint="default" w:ascii="Times New Roman" w:hAnsi="Times New Roman" w:eastAsia="宋体" w:cs="Times New Roman"/>
                      <w:b w:val="0"/>
                      <w:color w:val="000000" w:themeColor="text1"/>
                      <w:lang w:val="en-US" w:eastAsia="zh-CN"/>
                      <w14:textFill>
                        <w14:solidFill>
                          <w14:schemeClr w14:val="tx1"/>
                        </w14:solidFill>
                      </w14:textFill>
                    </w:rPr>
                    <w:t>故障发生时立即停止上料、筛分产尘工序，禁止带病生产；</w:t>
                  </w:r>
                </w:p>
              </w:tc>
            </w:tr>
          </w:tbl>
          <w:p w14:paraId="7AB47601">
            <w:pPr>
              <w:autoSpaceDE w:val="0"/>
              <w:autoSpaceDN w:val="0"/>
              <w:ind w:left="48" w:leftChars="20" w:right="48" w:rightChars="20" w:firstLine="480"/>
              <w:rPr>
                <w:rFonts w:hint="default" w:ascii="Times New Roman" w:hAnsi="Times New Roman" w:eastAsia="宋体" w:cs="Times New Roman"/>
                <w:b w:val="0"/>
                <w:color w:val="000000" w:themeColor="text1"/>
                <w:kern w:val="0"/>
                <w:sz w:val="24"/>
                <w:szCs w:val="24"/>
                <w:lang w:val="en-US" w:eastAsia="zh-CN" w:bidi="ar"/>
                <w14:textFill>
                  <w14:solidFill>
                    <w14:schemeClr w14:val="tx1"/>
                  </w14:solidFill>
                </w14:textFill>
              </w:rPr>
            </w:pPr>
            <w:r>
              <w:rPr>
                <w:rFonts w:hint="eastAsia" w:cs="宋体"/>
                <w:color w:val="000000" w:themeColor="text1"/>
                <w:kern w:val="0"/>
                <w:lang w:bidi="zh-CN"/>
                <w14:textFill>
                  <w14:solidFill>
                    <w14:schemeClr w14:val="tx1"/>
                  </w14:solidFill>
                </w14:textFill>
              </w:rPr>
              <w:t>为减少废气非正常排放，应采取以下措施：</w:t>
            </w:r>
          </w:p>
          <w:p w14:paraId="78F5C7E9">
            <w:pPr>
              <w:keepNext w:val="0"/>
              <w:keepLines w:val="0"/>
              <w:widowControl/>
              <w:suppressLineNumbers w:val="0"/>
              <w:jc w:val="both"/>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为减少废气非正常排放，项目需建立除尘设备常态化巡检、维保制度，每日核查布袋除尘器、风机及清灰系统运行状态，储备备用滤袋。配套压差在线报警装置，及时捕捉设备异常。严格落实故障停产制度，废气处理设施异常时立即停止上料、筛分工序，杜绝带病生产。定期开展设备检修维护，规范运维台账，最大限度降低设备故障概率，减少非正常废气排放影响。</w:t>
            </w:r>
          </w:p>
          <w:p w14:paraId="0B67640E">
            <w:pPr>
              <w:ind w:firstLine="482"/>
              <w:rPr>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3.</w:t>
            </w:r>
            <w:r>
              <w:rPr>
                <w:rFonts w:hint="eastAsia"/>
                <w:b/>
                <w:bCs/>
                <w:color w:val="000000" w:themeColor="text1"/>
                <w14:textFill>
                  <w14:solidFill>
                    <w14:schemeClr w14:val="tx1"/>
                  </w14:solidFill>
                </w14:textFill>
              </w:rPr>
              <w:t>废气环境影响分析</w:t>
            </w:r>
          </w:p>
          <w:p w14:paraId="3216F653">
            <w:pPr>
              <w:keepNext w:val="0"/>
              <w:keepLines w:val="0"/>
              <w:widowControl/>
              <w:suppressLineNumbers w:val="0"/>
              <w:jc w:val="both"/>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本项目废气主要为各生产工序产生的颗粒物，包含有组织和无组织两种排放形式，无有毒有害特征污染物，废气污染物种类单一、危害性较低。项目上料、振动筛分工序产生的粉尘经密闭收集+布袋除尘器处理后，通过15m高DA002排气筒有组织排放，颗粒物排放浓度、排放速率均满足《大气污染物综合排放标准》（GB16297-1996）相关限值要求，废气治理效果良好，有组织排放对区域大气环境影响微弱。</w:t>
            </w:r>
          </w:p>
          <w:p w14:paraId="262FA28B">
            <w:pPr>
              <w:keepNext w:val="0"/>
              <w:keepLines w:val="0"/>
              <w:widowControl/>
              <w:suppressLineNumbers w:val="0"/>
              <w:jc w:val="both"/>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项目卸料、成品装料、厂区运输及皮带输送等工序产生的无组织扬尘，通过堆场防风抑尘网、厂区地面硬化、常态化洒水降尘、全封闭皮带廊道等源头及过程管控措施，大幅抑制粉尘逸散，无组织颗粒物排放量较小。厂区区域开阔、大气扩散条件良好，无组织废气可快速稀释扩散，不会造成区域空气质量超标。</w:t>
            </w:r>
          </w:p>
          <w:p w14:paraId="2D919962">
            <w:pPr>
              <w:keepNext w:val="0"/>
              <w:keepLines w:val="0"/>
              <w:widowControl/>
              <w:suppressLineNumbers w:val="0"/>
              <w:jc w:val="both"/>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非正常工况下，布袋除尘器效率下降会导致颗粒物排放升高，但通过落实设备巡检、在线预警、故障停产等防控措施，可有效降低非正常排放频次与持续时长，短时异常排放不会对周边大气环境造成持续性、累积性不利影响。总体而言，本项目各类废气污染物均实现达标可控排放，对周边区域大气环境及敏感点影响较小，环境可接受</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w:t>
            </w:r>
          </w:p>
          <w:p w14:paraId="2B10A147">
            <w:pPr>
              <w:ind w:firstLine="482"/>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eastAsia="宋体" w:cs="Times New Roman"/>
                <w:b/>
                <w:bCs/>
                <w:color w:val="000000" w:themeColor="text1"/>
                <w:lang w:val="en-US" w:eastAsia="zh-CN"/>
                <w14:textFill>
                  <w14:solidFill>
                    <w14:schemeClr w14:val="tx1"/>
                  </w14:solidFill>
                </w14:textFill>
              </w:rPr>
              <w:t>4.废气监测计划</w:t>
            </w:r>
          </w:p>
          <w:p w14:paraId="13B8FD29">
            <w:pPr>
              <w:widowControl/>
              <w:ind w:firstLine="480"/>
              <w:jc w:val="left"/>
              <w:rPr>
                <w:color w:val="000000" w:themeColor="text1"/>
                <w:sz w:val="21"/>
                <w:szCs w:val="21"/>
                <w14:textFill>
                  <w14:solidFill>
                    <w14:schemeClr w14:val="tx1"/>
                  </w14:solidFill>
                </w14:textFill>
              </w:rPr>
            </w:pPr>
            <w:r>
              <w:rPr>
                <w:rFonts w:hint="eastAsia"/>
                <w:color w:val="000000" w:themeColor="text1"/>
                <w14:textFill>
                  <w14:solidFill>
                    <w14:schemeClr w14:val="tx1"/>
                  </w14:solidFill>
                </w14:textFill>
              </w:rPr>
              <w:t>参照</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根据《排污单位自行监测技术指南 总则》</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HJ819-2017</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、《排污许可证申请与核发技术规范 总则》</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HJ942-2018</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中相关要求</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olor w:val="000000" w:themeColor="text1"/>
                <w14:textFill>
                  <w14:solidFill>
                    <w14:schemeClr w14:val="tx1"/>
                  </w14:solidFill>
                </w14:textFill>
              </w:rPr>
              <w:t>结合本项目的自身特点，确定环境监测内容。本项目废气污染源自行监测计划见表4-</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w:t>
            </w:r>
          </w:p>
          <w:p w14:paraId="3AD4DBBF">
            <w:pPr>
              <w:pStyle w:val="195"/>
              <w:spacing w:line="240" w:lineRule="auto"/>
              <w:rPr>
                <w:rFonts w:ascii="Times New Roman" w:hAnsi="Times New Roman" w:eastAsia="宋体" w:cs="Times New Roman"/>
                <w:color w:val="000000" w:themeColor="text1"/>
                <w:kern w:val="2"/>
                <w:sz w:val="21"/>
                <w:szCs w:val="21"/>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14:textFill>
                  <w14:solidFill>
                    <w14:schemeClr w14:val="tx1"/>
                  </w14:solidFill>
                </w14:textFill>
              </w:rPr>
              <w:t>表4-4    本项目废气污染源自行监测计划表</w:t>
            </w:r>
          </w:p>
          <w:tbl>
            <w:tblPr>
              <w:tblStyle w:val="42"/>
              <w:tblW w:w="4996"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2281"/>
              <w:gridCol w:w="1925"/>
              <w:gridCol w:w="1267"/>
              <w:gridCol w:w="3089"/>
            </w:tblGrid>
            <w:tr w14:paraId="15C0976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0" w:type="pct"/>
                  <w:tcBorders>
                    <w:top w:val="single" w:color="000000" w:sz="12" w:space="0"/>
                    <w:tl2br w:val="nil"/>
                    <w:tr2bl w:val="nil"/>
                  </w:tcBorders>
                  <w:shd w:val="clear" w:color="auto" w:fill="FFFFFF"/>
                  <w:vAlign w:val="center"/>
                </w:tcPr>
                <w:p w14:paraId="12FEFDAA">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rFonts w:hint="eastAsia"/>
                      <w:b w:val="0"/>
                      <w:color w:val="000000" w:themeColor="text1"/>
                      <w14:textFill>
                        <w14:solidFill>
                          <w14:schemeClr w14:val="tx1"/>
                        </w14:solidFill>
                      </w14:textFill>
                    </w:rPr>
                    <w:t>污染类型</w:t>
                  </w:r>
                </w:p>
              </w:tc>
              <w:tc>
                <w:tcPr>
                  <w:tcW w:w="1193" w:type="pct"/>
                  <w:tcBorders>
                    <w:top w:val="single" w:color="000000" w:sz="12" w:space="0"/>
                    <w:tl2br w:val="nil"/>
                    <w:tr2bl w:val="nil"/>
                  </w:tcBorders>
                  <w:shd w:val="clear" w:color="auto" w:fill="FFFFFF"/>
                  <w:vAlign w:val="center"/>
                </w:tcPr>
                <w:p w14:paraId="5B561CFA">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rFonts w:hint="eastAsia"/>
                      <w:b w:val="0"/>
                      <w:color w:val="000000" w:themeColor="text1"/>
                      <w14:textFill>
                        <w14:solidFill>
                          <w14:schemeClr w14:val="tx1"/>
                        </w14:solidFill>
                      </w14:textFill>
                    </w:rPr>
                    <w:t>监测点位</w:t>
                  </w:r>
                </w:p>
              </w:tc>
              <w:tc>
                <w:tcPr>
                  <w:tcW w:w="1007" w:type="pct"/>
                  <w:tcBorders>
                    <w:top w:val="single" w:color="000000" w:sz="12" w:space="0"/>
                    <w:tl2br w:val="nil"/>
                    <w:tr2bl w:val="nil"/>
                  </w:tcBorders>
                  <w:shd w:val="clear" w:color="auto" w:fill="FFFFFF"/>
                  <w:vAlign w:val="center"/>
                </w:tcPr>
                <w:p w14:paraId="11A281D5">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rFonts w:hint="eastAsia"/>
                      <w:b w:val="0"/>
                      <w:color w:val="000000" w:themeColor="text1"/>
                      <w14:textFill>
                        <w14:solidFill>
                          <w14:schemeClr w14:val="tx1"/>
                        </w14:solidFill>
                      </w14:textFill>
                    </w:rPr>
                    <w:t>监测项目</w:t>
                  </w:r>
                </w:p>
              </w:tc>
              <w:tc>
                <w:tcPr>
                  <w:tcW w:w="663" w:type="pct"/>
                  <w:tcBorders>
                    <w:top w:val="single" w:color="000000" w:sz="12" w:space="0"/>
                    <w:tl2br w:val="nil"/>
                    <w:tr2bl w:val="nil"/>
                  </w:tcBorders>
                  <w:shd w:val="clear" w:color="auto" w:fill="FFFFFF"/>
                  <w:vAlign w:val="center"/>
                </w:tcPr>
                <w:p w14:paraId="225B8825">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14:textFill>
                        <w14:solidFill>
                          <w14:schemeClr w14:val="tx1"/>
                        </w14:solidFill>
                      </w14:textFill>
                    </w:rPr>
                  </w:pPr>
                  <w:r>
                    <w:rPr>
                      <w:rFonts w:hint="eastAsia"/>
                      <w:b w:val="0"/>
                      <w:color w:val="000000" w:themeColor="text1"/>
                      <w14:textFill>
                        <w14:solidFill>
                          <w14:schemeClr w14:val="tx1"/>
                        </w14:solidFill>
                      </w14:textFill>
                    </w:rPr>
                    <w:t>最低监测频次</w:t>
                  </w:r>
                </w:p>
              </w:tc>
              <w:tc>
                <w:tcPr>
                  <w:tcW w:w="1616" w:type="pct"/>
                  <w:tcBorders>
                    <w:top w:val="single" w:color="000000" w:sz="12" w:space="0"/>
                    <w:tl2br w:val="nil"/>
                    <w:tr2bl w:val="nil"/>
                  </w:tcBorders>
                  <w:shd w:val="clear" w:color="auto" w:fill="FFFFFF"/>
                  <w:vAlign w:val="center"/>
                </w:tcPr>
                <w:p w14:paraId="102DECDA">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eastAsia="宋体"/>
                      <w:b w:val="0"/>
                      <w:color w:val="000000" w:themeColor="text1"/>
                      <w:lang w:val="en-US" w:eastAsia="zh-CN"/>
                      <w14:textFill>
                        <w14:solidFill>
                          <w14:schemeClr w14:val="tx1"/>
                        </w14:solidFill>
                      </w14:textFill>
                    </w:rPr>
                  </w:pPr>
                  <w:r>
                    <w:rPr>
                      <w:rFonts w:hint="eastAsia"/>
                      <w:b w:val="0"/>
                      <w:color w:val="000000" w:themeColor="text1"/>
                      <w:lang w:val="en-US" w:eastAsia="zh-CN"/>
                      <w14:textFill>
                        <w14:solidFill>
                          <w14:schemeClr w14:val="tx1"/>
                        </w14:solidFill>
                      </w14:textFill>
                    </w:rPr>
                    <w:t>执行标准</w:t>
                  </w:r>
                </w:p>
              </w:tc>
            </w:tr>
            <w:tr w14:paraId="1E01EB8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520" w:type="pct"/>
                  <w:vMerge w:val="restart"/>
                  <w:tcBorders>
                    <w:tl2br w:val="nil"/>
                    <w:tr2bl w:val="nil"/>
                  </w:tcBorders>
                  <w:shd w:val="clear" w:color="auto" w:fill="FFFFFF"/>
                  <w:vAlign w:val="center"/>
                </w:tcPr>
                <w:p w14:paraId="2E9A50E5">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废气</w:t>
                  </w:r>
                </w:p>
              </w:tc>
              <w:tc>
                <w:tcPr>
                  <w:tcW w:w="1193" w:type="pct"/>
                  <w:tcBorders>
                    <w:tl2br w:val="nil"/>
                    <w:tr2bl w:val="nil"/>
                  </w:tcBorders>
                  <w:shd w:val="clear" w:color="auto" w:fill="FFFFFF"/>
                  <w:vAlign w:val="center"/>
                </w:tcPr>
                <w:p w14:paraId="711E202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eastAsia="宋体"/>
                      <w:b w:val="0"/>
                      <w:color w:val="000000" w:themeColor="text1"/>
                      <w:sz w:val="21"/>
                      <w:szCs w:val="21"/>
                      <w:lang w:eastAsia="zh-CN"/>
                      <w14:textFill>
                        <w14:solidFill>
                          <w14:schemeClr w14:val="tx1"/>
                        </w14:solidFill>
                      </w14:textFill>
                    </w:rPr>
                  </w:pPr>
                  <w:r>
                    <w:rPr>
                      <w:rFonts w:hint="eastAsia"/>
                      <w:b w:val="0"/>
                      <w:color w:val="000000" w:themeColor="text1"/>
                      <w:sz w:val="21"/>
                      <w:szCs w:val="21"/>
                      <w14:textFill>
                        <w14:solidFill>
                          <w14:schemeClr w14:val="tx1"/>
                        </w14:solidFill>
                      </w14:textFill>
                    </w:rPr>
                    <w:t>排气筒DA00</w:t>
                  </w:r>
                  <w:r>
                    <w:rPr>
                      <w:rFonts w:hint="eastAsia"/>
                      <w:b w:val="0"/>
                      <w:color w:val="000000" w:themeColor="text1"/>
                      <w:sz w:val="21"/>
                      <w:szCs w:val="21"/>
                      <w:lang w:val="en-US" w:eastAsia="zh-CN"/>
                      <w14:textFill>
                        <w14:solidFill>
                          <w14:schemeClr w14:val="tx1"/>
                        </w14:solidFill>
                      </w14:textFill>
                    </w:rPr>
                    <w:t>2</w:t>
                  </w:r>
                </w:p>
              </w:tc>
              <w:tc>
                <w:tcPr>
                  <w:tcW w:w="1007" w:type="pct"/>
                  <w:tcBorders>
                    <w:tl2br w:val="nil"/>
                    <w:tr2bl w:val="nil"/>
                  </w:tcBorders>
                  <w:shd w:val="clear" w:color="auto" w:fill="FFFFFF"/>
                  <w:vAlign w:val="center"/>
                </w:tcPr>
                <w:p w14:paraId="2BC3820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eastAsia="宋体"/>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14:textFill>
                        <w14:solidFill>
                          <w14:schemeClr w14:val="tx1"/>
                        </w14:solidFill>
                      </w14:textFill>
                    </w:rPr>
                    <w:t>颗粒物</w:t>
                  </w:r>
                </w:p>
              </w:tc>
              <w:tc>
                <w:tcPr>
                  <w:tcW w:w="663" w:type="pct"/>
                  <w:tcBorders>
                    <w:tl2br w:val="nil"/>
                    <w:tr2bl w:val="nil"/>
                  </w:tcBorders>
                  <w:shd w:val="clear" w:color="auto" w:fill="FFFFFF"/>
                  <w:vAlign w:val="center"/>
                </w:tcPr>
                <w:p w14:paraId="065F4F7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1次/年</w:t>
                  </w:r>
                </w:p>
              </w:tc>
              <w:tc>
                <w:tcPr>
                  <w:tcW w:w="1616" w:type="pct"/>
                  <w:vMerge w:val="restart"/>
                  <w:tcBorders>
                    <w:tl2br w:val="nil"/>
                    <w:tr2bl w:val="nil"/>
                  </w:tcBorders>
                  <w:shd w:val="clear" w:color="auto" w:fill="FFFFFF"/>
                  <w:vAlign w:val="center"/>
                </w:tcPr>
                <w:p w14:paraId="5081E4D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b w:val="0"/>
                      <w:color w:val="000000" w:themeColor="text1"/>
                      <w:sz w:val="21"/>
                      <w:szCs w:val="21"/>
                      <w14:textFill>
                        <w14:solidFill>
                          <w14:schemeClr w14:val="tx1"/>
                        </w14:solidFill>
                      </w14:textFill>
                    </w:rPr>
                  </w:pPr>
                  <w:r>
                    <w:rPr>
                      <w:b w:val="0"/>
                      <w:color w:val="000000" w:themeColor="text1"/>
                      <w:spacing w:val="8"/>
                      <w:sz w:val="21"/>
                      <w:szCs w:val="21"/>
                      <w14:textFill>
                        <w14:solidFill>
                          <w14:schemeClr w14:val="tx1"/>
                        </w14:solidFill>
                      </w14:textFill>
                    </w:rPr>
                    <w:t>《大气污染物</w:t>
                  </w:r>
                  <w:r>
                    <w:rPr>
                      <w:b w:val="0"/>
                      <w:color w:val="000000" w:themeColor="text1"/>
                      <w:spacing w:val="6"/>
                      <w:sz w:val="21"/>
                      <w:szCs w:val="21"/>
                      <w14:textFill>
                        <w14:solidFill>
                          <w14:schemeClr w14:val="tx1"/>
                        </w14:solidFill>
                      </w14:textFill>
                    </w:rPr>
                    <w:t>综合排放标准》</w:t>
                  </w:r>
                  <w:r>
                    <w:rPr>
                      <w:b w:val="0"/>
                      <w:color w:val="000000" w:themeColor="text1"/>
                      <w:spacing w:val="5"/>
                      <w:sz w:val="21"/>
                      <w:szCs w:val="21"/>
                      <w14:textFill>
                        <w14:solidFill>
                          <w14:schemeClr w14:val="tx1"/>
                        </w14:solidFill>
                      </w14:textFill>
                    </w:rPr>
                    <w:t>（</w:t>
                  </w:r>
                  <w:r>
                    <w:rPr>
                      <w:rFonts w:ascii="Times New Roman" w:hAnsi="Times New Roman" w:eastAsia="Times New Roman" w:cs="Times New Roman"/>
                      <w:b w:val="0"/>
                      <w:color w:val="000000" w:themeColor="text1"/>
                      <w:sz w:val="21"/>
                      <w:szCs w:val="21"/>
                      <w14:textFill>
                        <w14:solidFill>
                          <w14:schemeClr w14:val="tx1"/>
                        </w14:solidFill>
                      </w14:textFill>
                    </w:rPr>
                    <w:t>GBl</w:t>
                  </w:r>
                  <w:r>
                    <w:rPr>
                      <w:rFonts w:ascii="Times New Roman" w:hAnsi="Times New Roman" w:eastAsia="Times New Roman" w:cs="Times New Roman"/>
                      <w:b w:val="0"/>
                      <w:color w:val="000000" w:themeColor="text1"/>
                      <w:spacing w:val="5"/>
                      <w:sz w:val="21"/>
                      <w:szCs w:val="21"/>
                      <w14:textFill>
                        <w14:solidFill>
                          <w14:schemeClr w14:val="tx1"/>
                        </w14:solidFill>
                      </w14:textFill>
                    </w:rPr>
                    <w:t>6297</w:t>
                  </w:r>
                  <w:r>
                    <w:rPr>
                      <w:b w:val="0"/>
                      <w:color w:val="000000" w:themeColor="text1"/>
                      <w:spacing w:val="5"/>
                      <w:sz w:val="21"/>
                      <w:szCs w:val="21"/>
                      <w14:textFill>
                        <w14:solidFill>
                          <w14:schemeClr w14:val="tx1"/>
                        </w14:solidFill>
                      </w14:textFill>
                    </w:rPr>
                    <w:t>－</w:t>
                  </w:r>
                  <w:r>
                    <w:rPr>
                      <w:rFonts w:ascii="Times New Roman" w:hAnsi="Times New Roman" w:eastAsia="Times New Roman" w:cs="Times New Roman"/>
                      <w:b w:val="0"/>
                      <w:color w:val="000000" w:themeColor="text1"/>
                      <w:spacing w:val="5"/>
                      <w:sz w:val="21"/>
                      <w:szCs w:val="21"/>
                      <w14:textFill>
                        <w14:solidFill>
                          <w14:schemeClr w14:val="tx1"/>
                        </w14:solidFill>
                      </w14:textFill>
                    </w:rPr>
                    <w:t>1996</w:t>
                  </w:r>
                  <w:r>
                    <w:rPr>
                      <w:rFonts w:hint="eastAsia" w:ascii="Times New Roman" w:hAnsi="Times New Roman" w:eastAsia="宋体" w:cs="Times New Roman"/>
                      <w:b w:val="0"/>
                      <w:color w:val="000000" w:themeColor="text1"/>
                      <w:spacing w:val="5"/>
                      <w:sz w:val="21"/>
                      <w:szCs w:val="21"/>
                      <w:lang w:eastAsia="zh-CN"/>
                      <w14:textFill>
                        <w14:solidFill>
                          <w14:schemeClr w14:val="tx1"/>
                        </w14:solidFill>
                      </w14:textFill>
                    </w:rPr>
                    <w:t>）</w:t>
                  </w:r>
                </w:p>
              </w:tc>
            </w:tr>
            <w:tr w14:paraId="3E3AA61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20" w:type="pct"/>
                  <w:vMerge w:val="continue"/>
                  <w:tcBorders>
                    <w:bottom w:val="single" w:color="000000" w:sz="12" w:space="0"/>
                    <w:tl2br w:val="nil"/>
                    <w:tr2bl w:val="nil"/>
                  </w:tcBorders>
                  <w:shd w:val="clear" w:color="auto" w:fill="FFFFFF"/>
                  <w:vAlign w:val="center"/>
                </w:tcPr>
                <w:p w14:paraId="5F65033D">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sz w:val="21"/>
                      <w:szCs w:val="21"/>
                      <w14:textFill>
                        <w14:solidFill>
                          <w14:schemeClr w14:val="tx1"/>
                        </w14:solidFill>
                      </w14:textFill>
                    </w:rPr>
                  </w:pPr>
                </w:p>
              </w:tc>
              <w:tc>
                <w:tcPr>
                  <w:tcW w:w="1193" w:type="pct"/>
                  <w:tcBorders>
                    <w:bottom w:val="single" w:color="000000" w:sz="12" w:space="0"/>
                    <w:tl2br w:val="nil"/>
                    <w:tr2bl w:val="nil"/>
                  </w:tcBorders>
                  <w:shd w:val="clear" w:color="auto" w:fill="FFFFFF"/>
                  <w:vAlign w:val="center"/>
                </w:tcPr>
                <w:p w14:paraId="6D06F83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无组织排放：厂界上风向1个点，下风向3个点</w:t>
                  </w:r>
                </w:p>
              </w:tc>
              <w:tc>
                <w:tcPr>
                  <w:tcW w:w="1007" w:type="pct"/>
                  <w:tcBorders>
                    <w:bottom w:val="single" w:color="000000" w:sz="12" w:space="0"/>
                    <w:tl2br w:val="nil"/>
                    <w:tr2bl w:val="nil"/>
                  </w:tcBorders>
                  <w:shd w:val="clear" w:color="auto" w:fill="FFFFFF"/>
                  <w:vAlign w:val="center"/>
                </w:tcPr>
                <w:p w14:paraId="3F6CABF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default" w:eastAsia="宋体"/>
                      <w:b w:val="0"/>
                      <w:color w:val="000000" w:themeColor="text1"/>
                      <w:sz w:val="21"/>
                      <w:szCs w:val="21"/>
                      <w:lang w:val="en-US" w:eastAsia="zh-CN"/>
                      <w14:textFill>
                        <w14:solidFill>
                          <w14:schemeClr w14:val="tx1"/>
                        </w14:solidFill>
                      </w14:textFill>
                    </w:rPr>
                  </w:pPr>
                  <w:r>
                    <w:rPr>
                      <w:rFonts w:hint="eastAsia"/>
                      <w:b w:val="0"/>
                      <w:color w:val="000000" w:themeColor="text1"/>
                      <w:sz w:val="21"/>
                      <w:szCs w:val="21"/>
                      <w14:textFill>
                        <w14:solidFill>
                          <w14:schemeClr w14:val="tx1"/>
                        </w14:solidFill>
                      </w14:textFill>
                    </w:rPr>
                    <w:t>颗粒物</w:t>
                  </w:r>
                </w:p>
              </w:tc>
              <w:tc>
                <w:tcPr>
                  <w:tcW w:w="663" w:type="pct"/>
                  <w:tcBorders>
                    <w:bottom w:val="single" w:color="000000" w:sz="12" w:space="0"/>
                    <w:tl2br w:val="nil"/>
                    <w:tr2bl w:val="nil"/>
                  </w:tcBorders>
                  <w:shd w:val="clear" w:color="auto" w:fill="FFFFFF"/>
                  <w:vAlign w:val="center"/>
                </w:tcPr>
                <w:p w14:paraId="470D40A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1次</w:t>
                  </w:r>
                  <w:r>
                    <w:rPr>
                      <w:rFonts w:hint="eastAsia"/>
                      <w:b w:val="0"/>
                      <w:color w:val="000000" w:themeColor="text1"/>
                      <w:sz w:val="21"/>
                      <w:szCs w:val="21"/>
                      <w:lang w:val="en-US" w:eastAsia="zh-CN"/>
                      <w14:textFill>
                        <w14:solidFill>
                          <w14:schemeClr w14:val="tx1"/>
                        </w14:solidFill>
                      </w14:textFill>
                    </w:rPr>
                    <w:t>半</w:t>
                  </w:r>
                  <w:r>
                    <w:rPr>
                      <w:rFonts w:hint="eastAsia"/>
                      <w:b w:val="0"/>
                      <w:color w:val="000000" w:themeColor="text1"/>
                      <w:sz w:val="21"/>
                      <w:szCs w:val="21"/>
                      <w14:textFill>
                        <w14:solidFill>
                          <w14:schemeClr w14:val="tx1"/>
                        </w14:solidFill>
                      </w14:textFill>
                    </w:rPr>
                    <w:t>/年</w:t>
                  </w:r>
                </w:p>
              </w:tc>
              <w:tc>
                <w:tcPr>
                  <w:tcW w:w="1616" w:type="pct"/>
                  <w:vMerge w:val="continue"/>
                  <w:tcBorders>
                    <w:bottom w:val="single" w:color="000000" w:sz="12" w:space="0"/>
                    <w:tl2br w:val="nil"/>
                    <w:tr2bl w:val="nil"/>
                  </w:tcBorders>
                  <w:shd w:val="clear" w:color="auto" w:fill="FFFFFF"/>
                  <w:vAlign w:val="center"/>
                </w:tcPr>
                <w:p w14:paraId="25D0B6C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jc w:val="center"/>
                    <w:textAlignment w:val="auto"/>
                    <w:rPr>
                      <w:rFonts w:hint="eastAsia"/>
                      <w:b w:val="0"/>
                      <w:color w:val="000000" w:themeColor="text1"/>
                      <w:sz w:val="21"/>
                      <w:szCs w:val="21"/>
                      <w14:textFill>
                        <w14:solidFill>
                          <w14:schemeClr w14:val="tx1"/>
                        </w14:solidFill>
                      </w14:textFill>
                    </w:rPr>
                  </w:pPr>
                </w:p>
              </w:tc>
            </w:tr>
          </w:tbl>
          <w:p w14:paraId="2A76D2B8">
            <w:pPr>
              <w:pStyle w:val="249"/>
              <w:spacing w:line="360" w:lineRule="auto"/>
              <w:ind w:left="0" w:leftChars="0" w:firstLine="0" w:firstLineChars="0"/>
              <w:rPr>
                <w:rFonts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lang w:val="en-US" w:eastAsia="zh-CN"/>
                <w14:textFill>
                  <w14:solidFill>
                    <w14:schemeClr w14:val="tx1"/>
                  </w14:solidFill>
                </w14:textFill>
              </w:rPr>
              <w:t>二</w:t>
            </w: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14:textFill>
                  <w14:solidFill>
                    <w14:schemeClr w14:val="tx1"/>
                  </w14:solidFill>
                </w14:textFill>
              </w:rPr>
              <w:t>废水</w:t>
            </w:r>
          </w:p>
          <w:p w14:paraId="3181E66D">
            <w:pPr>
              <w:pStyle w:val="250"/>
              <w:spacing w:line="360" w:lineRule="auto"/>
              <w:ind w:firstLine="482"/>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olor w:val="000000" w:themeColor="text1"/>
                <w:sz w:val="24"/>
                <w:szCs w:val="24"/>
                <w:highlight w:val="none"/>
                <w14:textFill>
                  <w14:solidFill>
                    <w14:schemeClr w14:val="tx1"/>
                  </w14:solidFill>
                </w14:textFill>
              </w:rPr>
              <w:t>废水产生情况</w:t>
            </w:r>
          </w:p>
          <w:p w14:paraId="250A51C8">
            <w:pPr>
              <w:pStyle w:val="250"/>
              <w:spacing w:line="360" w:lineRule="auto"/>
              <w:ind w:firstLine="482"/>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废水类别</w:t>
            </w:r>
          </w:p>
          <w:p w14:paraId="7A17DE8F">
            <w:pPr>
              <w:pStyle w:val="41"/>
              <w:keepNext w:val="0"/>
              <w:keepLines w:val="0"/>
              <w:pageBreakBefore w:val="0"/>
              <w:numPr>
                <w:ilvl w:val="0"/>
                <w:numId w:val="0"/>
              </w:numPr>
              <w:tabs>
                <w:tab w:val="left" w:pos="420"/>
                <w:tab w:val="left" w:pos="870"/>
                <w:tab w:val="left" w:pos="3150"/>
              </w:tabs>
              <w:kinsoku/>
              <w:wordWrap/>
              <w:overflowPunct/>
              <w:topLinePunct w:val="0"/>
              <w:autoSpaceDE/>
              <w:autoSpaceDN/>
              <w:bidi w:val="0"/>
              <w:adjustRightInd/>
              <w:snapToGrid/>
              <w:spacing w:after="0" w:line="360" w:lineRule="auto"/>
              <w:ind w:firstLine="480" w:firstLineChars="200"/>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本项目抑尘用水主要包括生产加工场地防尘洒水、原料及成品堆场防尘洒水、厂区道路降尘洒水，无开采区洒水工序。抑尘用水全部依托外购城市杂用水，洒水后大部分水分随地表吸收、空气自然蒸发损耗，少量</w:t>
            </w:r>
            <w:r>
              <w:rPr>
                <w:rFonts w:hint="eastAsia" w:ascii="宋体" w:hAnsi="宋体" w:cs="宋体"/>
                <w:color w:val="000000" w:themeColor="text1"/>
                <w:kern w:val="0"/>
                <w:sz w:val="24"/>
                <w:szCs w:val="24"/>
                <w:lang w:val="en-US" w:eastAsia="zh-CN" w:bidi="ar"/>
                <w14:textFill>
                  <w14:solidFill>
                    <w14:schemeClr w14:val="tx1"/>
                  </w14:solidFill>
                </w14:textFill>
              </w:rPr>
              <w:t>黏附</w:t>
            </w:r>
            <w:r>
              <w:rPr>
                <w:rFonts w:ascii="宋体" w:hAnsi="宋体" w:eastAsia="宋体" w:cs="宋体"/>
                <w:color w:val="000000" w:themeColor="text1"/>
                <w:kern w:val="0"/>
                <w:sz w:val="24"/>
                <w:szCs w:val="24"/>
                <w:lang w:val="en-US" w:eastAsia="zh-CN" w:bidi="ar"/>
                <w14:textFill>
                  <w14:solidFill>
                    <w14:schemeClr w14:val="tx1"/>
                  </w14:solidFill>
                </w14:textFill>
              </w:rPr>
              <w:t>于物料表面，</w:t>
            </w:r>
            <w:r>
              <w:rPr>
                <w:rStyle w:val="45"/>
                <w:rFonts w:ascii="宋体" w:hAnsi="宋体" w:eastAsia="宋体" w:cs="宋体"/>
                <w:b w:val="0"/>
                <w:bCs w:val="0"/>
                <w:color w:val="000000" w:themeColor="text1"/>
                <w:kern w:val="0"/>
                <w:sz w:val="24"/>
                <w:szCs w:val="24"/>
                <w:lang w:val="en-US" w:eastAsia="zh-CN" w:bidi="ar"/>
                <w14:textFill>
                  <w14:solidFill>
                    <w14:schemeClr w14:val="tx1"/>
                  </w14:solidFill>
                </w14:textFill>
              </w:rPr>
              <w:t>无抑尘废水产生及外排</w:t>
            </w:r>
            <w:r>
              <w:rPr>
                <w:rFonts w:ascii="宋体" w:hAnsi="宋体" w:eastAsia="宋体" w:cs="宋体"/>
                <w:b w:val="0"/>
                <w:bCs w:val="0"/>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具体核算如下：</w:t>
            </w:r>
          </w:p>
          <w:p w14:paraId="4132FA8E">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①生产加工场地防尘洒水</w:t>
            </w:r>
            <w:r>
              <w:rPr>
                <w:rFonts w:hint="eastAsia" w:cs="Times New Roman"/>
                <w:color w:val="000000" w:themeColor="text1"/>
                <w:kern w:val="0"/>
                <w:sz w:val="24"/>
                <w:szCs w:val="24"/>
                <w:highlight w:val="none"/>
                <w:lang w:val="en-US" w:eastAsia="zh-CN" w:bidi="ar-SA"/>
                <w14:textFill>
                  <w14:solidFill>
                    <w14:schemeClr w14:val="tx1"/>
                  </w14:solidFill>
                </w14:textFill>
              </w:rPr>
              <w:t>及车辆冲洗废水</w:t>
            </w:r>
          </w:p>
          <w:p w14:paraId="14BB35E3">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生产作业区包含水洗制砂生产线作业区域、筛分车间及上料平台区域，生产作业防尘洒水参照行业通用核算标准，按0.005m³/t加工物料计取用水量。本项目年固废加工处理规模为101337.83t/a，据此核算，生产加工场地防尘洒水量为506.69m³/a。该部分洒水直接作用于生产作业面，可有效抑制筛分、转运工序无组织粉尘产生，水分全部自然蒸发及物料吸附，无废水产出。</w:t>
            </w:r>
          </w:p>
          <w:p w14:paraId="46D63C38">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厂区物料运输车辆冲洗配套专用冲洗平台，单台车冲洗用水量0.</w:t>
            </w:r>
            <w:r>
              <w:rPr>
                <w:rFonts w:hint="eastAsia" w:cs="Times New Roman"/>
                <w:color w:val="000000" w:themeColor="text1"/>
                <w:kern w:val="0"/>
                <w:sz w:val="24"/>
                <w:szCs w:val="24"/>
                <w:highlight w:val="none"/>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m³/次，项目日均进出运输车辆</w:t>
            </w:r>
            <w:r>
              <w:rPr>
                <w:rFonts w:hint="eastAsia" w:cs="Times New Roman"/>
                <w:color w:val="000000" w:themeColor="text1"/>
                <w:kern w:val="0"/>
                <w:sz w:val="24"/>
                <w:szCs w:val="24"/>
                <w:highlight w:val="none"/>
                <w:lang w:val="en-US" w:eastAsia="zh-CN" w:bidi="ar-SA"/>
                <w14:textFill>
                  <w14:solidFill>
                    <w14:schemeClr w14:val="tx1"/>
                  </w14:solidFill>
                </w14:textFill>
              </w:rPr>
              <w:t>1</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8台，年生产</w:t>
            </w:r>
            <w:r>
              <w:rPr>
                <w:rFonts w:hint="eastAsia" w:cs="Times New Roman"/>
                <w:color w:val="000000" w:themeColor="text1"/>
                <w:kern w:val="0"/>
                <w:sz w:val="24"/>
                <w:szCs w:val="24"/>
                <w:highlight w:val="none"/>
                <w:lang w:val="en-US" w:eastAsia="zh-CN" w:bidi="ar-SA"/>
                <w14:textFill>
                  <w14:solidFill>
                    <w14:schemeClr w14:val="tx1"/>
                  </w14:solidFill>
                </w14:textFill>
              </w:rPr>
              <w:t>210</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d，全年车辆冲洗用水量</w:t>
            </w:r>
            <w:r>
              <w:rPr>
                <w:rFonts w:hint="eastAsia" w:cs="Times New Roman"/>
                <w:color w:val="000000" w:themeColor="text1"/>
                <w:kern w:val="0"/>
                <w:sz w:val="24"/>
                <w:szCs w:val="24"/>
                <w:highlight w:val="none"/>
                <w:lang w:val="en-US" w:eastAsia="zh-CN" w:bidi="ar-SA"/>
                <w14:textFill>
                  <w14:solidFill>
                    <w14:schemeClr w14:val="tx1"/>
                  </w14:solidFill>
                </w14:textFill>
              </w:rPr>
              <w:t>1134</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m³；冲洗废水经配套沉淀池沉淀、澄清处理后全部循环回用，无外排废水。</w:t>
            </w:r>
          </w:p>
          <w:p w14:paraId="7DABCECA">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②原料及成品堆场防尘洒水</w:t>
            </w:r>
          </w:p>
          <w:p w14:paraId="5D9BEC08">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配套新建原料堆场、碎石成品堆场、砂子堆场，总堆存面积17600m²，其中原料堆场9000m²、石子堆场8000m²、砂子堆场300m²（2个）。堆场抑尘洒水参照《工业料堆场扬尘整治规范》（DB65/T4061-2017）核算标准，按0.003m³/（m²·次）计，厂区每日定时洒水1次，大风、干燥天气增加洒水频次。据此核算，堆场单日洒水量为52.8m³/d，项目年生产运营210天，堆场年抑尘洒水量为11088m³/a。堆场洒水配套防风抑尘网协同抑尘，水分全部自然蒸发及物料吸附，无积水及废水外排情况。</w:t>
            </w:r>
          </w:p>
          <w:p w14:paraId="32D4979C">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③厂区道路防尘洒水</w:t>
            </w:r>
          </w:p>
          <w:p w14:paraId="485C01F0">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项目厂区运输道路全部硬化，主要为原料、成品运输通行道路，道路总面积约1200m²。道路降尘洒水按0.002m³/（m²·次）计，每日洒水1次，持续抑制道路运输扬尘。核算得厂区道路单日洒水量为2.4m³/d，年洒水量为504m³/a。道路洒水水分快速蒸发，可有效管控运输扬尘，无废水产生。</w:t>
            </w:r>
          </w:p>
          <w:p w14:paraId="7C783E38">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④洗沙生产</w:t>
            </w:r>
            <w:r>
              <w:rPr>
                <w:rFonts w:hint="eastAsia" w:cs="Times New Roman"/>
                <w:color w:val="000000" w:themeColor="text1"/>
                <w:kern w:val="0"/>
                <w:sz w:val="24"/>
                <w:szCs w:val="24"/>
                <w:highlight w:val="none"/>
                <w:lang w:val="en-US" w:eastAsia="zh-CN" w:bidi="ar-SA"/>
                <w14:textFill>
                  <w14:solidFill>
                    <w14:schemeClr w14:val="tx1"/>
                  </w14:solidFill>
                </w14:textFill>
              </w:rPr>
              <w:t>废水</w:t>
            </w:r>
          </w:p>
          <w:p w14:paraId="1445C1AA">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核心生产用水为水洗制砂工序洗沙用水，依托城市杂用水水车拉运补给，主要用于滚筒筛湿式分选、捞沙机洗砂、绞龙砂料脱水等生产工序。根据同类砂厂固废水洗加工项目用水指标，洗沙生产用水核算标准取0.12m³/t原料，本项目年加工生产砂石料80000t/a（注20%粒径＞40mm块料不经过洗沙工序），核算得洗沙生产总用水量为9600m³/a（日均用水量28.57m³/d，年生产210天）。</w:t>
            </w:r>
          </w:p>
          <w:p w14:paraId="72800E50">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洗沙生产废水为项目核心生产废水，生产过程中产生的洗砂废水含有泥沙悬浮物，全部汇入厂区沉淀池、沉降完成固液初步分离；沉淀底泥泵送至压滤机脱水，压滤产生的压滤液清液同步回流至二沉池重新参与水循环，经多级沉淀净化后的清水自流进入清水池，全部回用于滚筒筛、捞沙机等洗砂生产工序，循环利用率100%，洗沙系统无废水外排；压滤后形成泥饼统一收集外售综合利用，截留泥沙全部资源化处置，不造成水体污染。</w:t>
            </w:r>
          </w:p>
          <w:p w14:paraId="068915D6">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综上，本项目用水包含抑尘用水与洗沙生产用水两大类，其中：抑尘总用水量为12098.69m³/a（57.61m³/d），洗沙生产用水量为9600m³/a（28.57m³/d），项目合计总用水量21698.69m³/a（103.33m³/d）。所有抑尘用水均通过自然蒸发、地表及物料吸附损耗，不产生废水；洗沙生产废水经多级沉淀处理后全部循环回用、零外排，项目整体无生产废水外排，不会对区域水环境造成不利影响。</w:t>
            </w:r>
          </w:p>
          <w:p w14:paraId="78F8B083">
            <w:pPr>
              <w:pStyle w:val="250"/>
              <w:spacing w:line="360" w:lineRule="auto"/>
              <w:ind w:firstLine="482"/>
              <w:rPr>
                <w:rFonts w:hint="default" w:ascii="Times New Roman" w:hAnsi="Times New Roman" w:eastAsia="宋体"/>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生活污水</w:t>
            </w:r>
          </w:p>
          <w:p w14:paraId="16160AF3">
            <w:pPr>
              <w:keepNext w:val="0"/>
              <w:keepLines w:val="0"/>
              <w:widowControl/>
              <w:suppressLineNumbers w:val="0"/>
              <w:jc w:val="left"/>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w:t>
            </w:r>
            <w:r>
              <w:rPr>
                <w:rFonts w:hint="eastAsia" w:cs="Times New Roman"/>
                <w:color w:val="000000" w:themeColor="text1"/>
                <w:kern w:val="0"/>
                <w:sz w:val="24"/>
                <w:szCs w:val="24"/>
                <w:highlight w:val="none"/>
                <w:lang w:val="en-US" w:eastAsia="zh-CN" w:bidi="ar-SA"/>
                <w14:textFill>
                  <w14:solidFill>
                    <w14:schemeClr w14:val="tx1"/>
                  </w14:solidFill>
                </w14:textFill>
              </w:rPr>
              <w:t>新增劳动人员5</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人，年工作</w:t>
            </w:r>
            <w:r>
              <w:rPr>
                <w:rFonts w:hint="eastAsia" w:cs="Times New Roman"/>
                <w:color w:val="000000" w:themeColor="text1"/>
                <w:kern w:val="0"/>
                <w:sz w:val="24"/>
                <w:szCs w:val="24"/>
                <w:highlight w:val="none"/>
                <w:lang w:val="en-US" w:eastAsia="zh-CN" w:bidi="ar-SA"/>
                <w14:textFill>
                  <w14:solidFill>
                    <w14:schemeClr w14:val="tx1"/>
                  </w14:solidFill>
                </w14:textFill>
              </w:rPr>
              <w:t>210</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天，实行</w:t>
            </w:r>
            <w:r>
              <w:rPr>
                <w:rFonts w:hint="eastAsia" w:cs="Times New Roman"/>
                <w:color w:val="000000" w:themeColor="text1"/>
                <w:kern w:val="0"/>
                <w:sz w:val="24"/>
                <w:szCs w:val="24"/>
                <w:highlight w:val="none"/>
                <w:lang w:val="en-US" w:eastAsia="zh-CN" w:bidi="ar-SA"/>
                <w14:textFill>
                  <w14:solidFill>
                    <w14:schemeClr w14:val="tx1"/>
                  </w14:solidFill>
                </w14:textFill>
              </w:rPr>
              <w:t>16</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小时</w:t>
            </w:r>
            <w:r>
              <w:rPr>
                <w:rFonts w:hint="eastAsia" w:cs="Times New Roman"/>
                <w:color w:val="000000" w:themeColor="text1"/>
                <w:kern w:val="0"/>
                <w:sz w:val="24"/>
                <w:szCs w:val="24"/>
                <w:highlight w:val="none"/>
                <w:lang w:val="en-US" w:eastAsia="zh-CN" w:bidi="ar-SA"/>
                <w14:textFill>
                  <w14:solidFill>
                    <w14:schemeClr w14:val="tx1"/>
                  </w14:solidFill>
                </w14:textFill>
              </w:rPr>
              <w:t>两</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班制生产。生活废水：员工生活用水定额按50L/人·d计，生活用水量为</w:t>
            </w:r>
            <w:r>
              <w:rPr>
                <w:rFonts w:hint="eastAsia" w:cs="Times New Roman"/>
                <w:color w:val="000000" w:themeColor="text1"/>
                <w:kern w:val="0"/>
                <w:sz w:val="24"/>
                <w:szCs w:val="24"/>
                <w:highlight w:val="none"/>
                <w:lang w:val="en-US" w:eastAsia="zh-CN" w:bidi="ar-SA"/>
                <w14:textFill>
                  <w14:solidFill>
                    <w14:schemeClr w14:val="tx1"/>
                  </w14:solidFill>
                </w14:textFill>
              </w:rPr>
              <w:t>52.5</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m³/a，废水产生系数按0.8计，生活污水产生量为</w:t>
            </w:r>
            <w:r>
              <w:rPr>
                <w:rFonts w:hint="eastAsia" w:cs="Times New Roman"/>
                <w:color w:val="000000" w:themeColor="text1"/>
                <w:kern w:val="0"/>
                <w:sz w:val="24"/>
                <w:szCs w:val="24"/>
                <w:highlight w:val="none"/>
                <w:lang w:val="en-US" w:eastAsia="zh-CN" w:bidi="ar-SA"/>
                <w14:textFill>
                  <w14:solidFill>
                    <w14:schemeClr w14:val="tx1"/>
                  </w14:solidFill>
                </w14:textFill>
              </w:rPr>
              <w:t>42</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m³/a。</w:t>
            </w:r>
          </w:p>
          <w:p w14:paraId="3A6C81A3">
            <w:pPr>
              <w:pStyle w:val="250"/>
              <w:spacing w:line="360" w:lineRule="auto"/>
              <w:ind w:firstLine="482"/>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污染物种类、浓度和产生量</w:t>
            </w:r>
          </w:p>
          <w:p w14:paraId="29B4E676">
            <w:pPr>
              <w:keepNext w:val="0"/>
              <w:keepLines w:val="0"/>
              <w:widowControl/>
              <w:suppressLineNumbers w:val="0"/>
              <w:jc w:val="left"/>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本项目外排废水</w:t>
            </w:r>
            <w:r>
              <w:rPr>
                <w:rFonts w:hint="eastAsia" w:cs="Times New Roman"/>
                <w:color w:val="000000" w:themeColor="text1"/>
                <w:kern w:val="0"/>
                <w:sz w:val="24"/>
                <w:szCs w:val="24"/>
                <w:highlight w:val="none"/>
                <w:lang w:val="en-US" w:eastAsia="zh-CN" w:bidi="ar-SA"/>
                <w14:textFill>
                  <w14:solidFill>
                    <w14:schemeClr w14:val="tx1"/>
                  </w14:solidFill>
                </w14:textFill>
              </w:rPr>
              <w:t>（生活污水）</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执行《污水综合排放标准》（GB 8978-1996）三级标准，同时满足</w:t>
            </w:r>
            <w:r>
              <w:rPr>
                <w:rFonts w:hint="default" w:ascii="Times New Roman" w:hAnsi="Times New Roman" w:cs="Times New Roman"/>
                <w:color w:val="000000" w:themeColor="text1"/>
                <w:lang w:eastAsia="zh-CN"/>
                <w14:textFill>
                  <w14:solidFill>
                    <w14:schemeClr w14:val="tx1"/>
                  </w14:solidFill>
                </w14:textFill>
              </w:rPr>
              <w:t>昌吉市第二污水处理厂</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进水管控标准，</w:t>
            </w:r>
            <w:r>
              <w:rPr>
                <w:rFonts w:hint="eastAsia" w:ascii="Times New Roman" w:hAnsi="Times New Roman" w:eastAsia="宋体"/>
                <w:b w:val="0"/>
                <w:bCs/>
                <w:color w:val="000000" w:themeColor="text1"/>
                <w:sz w:val="24"/>
                <w:szCs w:val="24"/>
                <w14:textFill>
                  <w14:solidFill>
                    <w14:schemeClr w14:val="tx1"/>
                  </w14:solidFill>
                </w14:textFill>
              </w:rPr>
              <w:t>参考《水处理工程师手册》（化学工业出版社）中的方法进行估算，生活污水水质为pH</w:t>
            </w:r>
            <w:r>
              <w:rPr>
                <w:rFonts w:hint="eastAsia" w:ascii="Times New Roman" w:hAnsi="Times New Roman" w:eastAsia="宋体"/>
                <w:b w:val="0"/>
                <w:bCs/>
                <w:color w:val="000000" w:themeColor="text1"/>
                <w:sz w:val="24"/>
                <w:szCs w:val="24"/>
                <w:lang w:eastAsia="zh-CN"/>
                <w14:textFill>
                  <w14:solidFill>
                    <w14:schemeClr w14:val="tx1"/>
                  </w14:solidFill>
                </w14:textFill>
              </w:rPr>
              <w:t>：</w:t>
            </w:r>
            <w:r>
              <w:rPr>
                <w:rFonts w:hint="eastAsia" w:ascii="Times New Roman" w:hAnsi="Times New Roman" w:eastAsia="宋体"/>
                <w:b w:val="0"/>
                <w:bCs/>
                <w:color w:val="000000" w:themeColor="text1"/>
                <w:sz w:val="24"/>
                <w:szCs w:val="24"/>
                <w14:textFill>
                  <w14:solidFill>
                    <w14:schemeClr w14:val="tx1"/>
                  </w14:solidFill>
                </w14:textFill>
              </w:rPr>
              <w:t>6～9、COD</w:t>
            </w:r>
            <w:r>
              <w:rPr>
                <w:rFonts w:hint="eastAsia" w:ascii="Times New Roman" w:hAnsi="Times New Roman" w:eastAsia="宋体"/>
                <w:b w:val="0"/>
                <w:bCs/>
                <w:color w:val="000000" w:themeColor="text1"/>
                <w:sz w:val="24"/>
                <w:szCs w:val="24"/>
                <w:lang w:eastAsia="zh-CN"/>
                <w14:textFill>
                  <w14:solidFill>
                    <w14:schemeClr w14:val="tx1"/>
                  </w14:solidFill>
                </w14:textFill>
              </w:rPr>
              <w:t>：</w:t>
            </w:r>
            <w:r>
              <w:rPr>
                <w:rFonts w:hint="eastAsia" w:ascii="Times New Roman" w:hAnsi="Times New Roman" w:eastAsia="宋体"/>
                <w:b w:val="0"/>
                <w:bCs/>
                <w:color w:val="000000" w:themeColor="text1"/>
                <w:sz w:val="24"/>
                <w:szCs w:val="24"/>
                <w14:textFill>
                  <w14:solidFill>
                    <w14:schemeClr w14:val="tx1"/>
                  </w14:solidFill>
                </w14:textFill>
              </w:rPr>
              <w:t>350mg/L、</w:t>
            </w:r>
            <w:r>
              <w:rPr>
                <w:rFonts w:hint="eastAsia" w:ascii="Times New Roman" w:hAnsi="Times New Roman" w:eastAsia="宋体"/>
                <w:b w:val="0"/>
                <w:bCs/>
                <w:color w:val="000000" w:themeColor="text1"/>
                <w:sz w:val="24"/>
                <w:szCs w:val="24"/>
                <w:lang w:val="en-US" w:eastAsia="zh-CN"/>
                <w14:textFill>
                  <w14:solidFill>
                    <w14:schemeClr w14:val="tx1"/>
                  </w14:solidFill>
                </w14:textFill>
              </w:rPr>
              <w:t>B</w:t>
            </w:r>
            <w:r>
              <w:rPr>
                <w:rFonts w:hint="eastAsia" w:ascii="Times New Roman" w:hAnsi="Times New Roman" w:eastAsia="宋体"/>
                <w:b w:val="0"/>
                <w:bCs/>
                <w:color w:val="000000" w:themeColor="text1"/>
                <w:sz w:val="24"/>
                <w:szCs w:val="24"/>
                <w14:textFill>
                  <w14:solidFill>
                    <w14:schemeClr w14:val="tx1"/>
                  </w14:solidFill>
                </w14:textFill>
              </w:rPr>
              <w:t>OD</w:t>
            </w:r>
            <w:r>
              <w:rPr>
                <w:rFonts w:hint="eastAsia" w:ascii="Times New Roman" w:hAnsi="Times New Roman" w:eastAsia="宋体"/>
                <w:b w:val="0"/>
                <w:bCs/>
                <w:color w:val="000000" w:themeColor="text1"/>
                <w:sz w:val="24"/>
                <w:szCs w:val="24"/>
                <w:vertAlign w:val="subscript"/>
                <w:lang w:val="en-US" w:eastAsia="zh-CN"/>
                <w14:textFill>
                  <w14:solidFill>
                    <w14:schemeClr w14:val="tx1"/>
                  </w14:solidFill>
                </w14:textFill>
              </w:rPr>
              <w:t>5</w:t>
            </w:r>
            <w:r>
              <w:rPr>
                <w:rFonts w:hint="eastAsia"/>
                <w:b w:val="0"/>
                <w:bCs/>
                <w:color w:val="000000" w:themeColor="text1"/>
                <w:sz w:val="24"/>
                <w:szCs w:val="24"/>
                <w:vertAlign w:val="subscript"/>
                <w:lang w:val="en-US" w:eastAsia="zh-CN"/>
                <w14:textFill>
                  <w14:solidFill>
                    <w14:schemeClr w14:val="tx1"/>
                  </w14:solidFill>
                </w14:textFill>
              </w:rPr>
              <w:t>:</w:t>
            </w:r>
            <w:r>
              <w:rPr>
                <w:rFonts w:hint="eastAsia" w:ascii="Times New Roman" w:hAnsi="Times New Roman" w:eastAsia="宋体"/>
                <w:b w:val="0"/>
                <w:bCs/>
                <w:color w:val="000000" w:themeColor="text1"/>
                <w:sz w:val="24"/>
                <w:szCs w:val="24"/>
                <w:lang w:val="en-US" w:eastAsia="zh-CN"/>
                <w14:textFill>
                  <w14:solidFill>
                    <w14:schemeClr w14:val="tx1"/>
                  </w14:solidFill>
                </w14:textFill>
              </w:rPr>
              <w:t>220</w:t>
            </w:r>
            <w:r>
              <w:rPr>
                <w:rFonts w:hint="eastAsia" w:ascii="Times New Roman" w:hAnsi="Times New Roman" w:eastAsia="宋体"/>
                <w:b w:val="0"/>
                <w:bCs/>
                <w:color w:val="000000" w:themeColor="text1"/>
                <w:sz w:val="24"/>
                <w:szCs w:val="24"/>
                <w14:textFill>
                  <w14:solidFill>
                    <w14:schemeClr w14:val="tx1"/>
                  </w14:solidFill>
                </w14:textFill>
              </w:rPr>
              <w:t>mg/L、SS</w:t>
            </w:r>
            <w:r>
              <w:rPr>
                <w:rFonts w:hint="eastAsia" w:ascii="Times New Roman" w:hAnsi="Times New Roman" w:eastAsia="宋体"/>
                <w:b w:val="0"/>
                <w:bCs/>
                <w:color w:val="000000" w:themeColor="text1"/>
                <w:sz w:val="24"/>
                <w:szCs w:val="24"/>
                <w:lang w:eastAsia="zh-CN"/>
                <w14:textFill>
                  <w14:solidFill>
                    <w14:schemeClr w14:val="tx1"/>
                  </w14:solidFill>
                </w14:textFill>
              </w:rPr>
              <w:t>：</w:t>
            </w:r>
            <w:r>
              <w:rPr>
                <w:rFonts w:hint="eastAsia" w:ascii="Times New Roman" w:hAnsi="Times New Roman" w:eastAsia="宋体"/>
                <w:b w:val="0"/>
                <w:bCs/>
                <w:color w:val="000000" w:themeColor="text1"/>
                <w:sz w:val="24"/>
                <w:szCs w:val="24"/>
                <w14:textFill>
                  <w14:solidFill>
                    <w14:schemeClr w14:val="tx1"/>
                  </w14:solidFill>
                </w14:textFill>
              </w:rPr>
              <w:t>200mg/L、NH</w:t>
            </w:r>
            <w:r>
              <w:rPr>
                <w:rFonts w:hint="eastAsia" w:ascii="Times New Roman" w:hAnsi="Times New Roman" w:eastAsia="宋体"/>
                <w:b w:val="0"/>
                <w:bCs/>
                <w:color w:val="000000" w:themeColor="text1"/>
                <w:sz w:val="24"/>
                <w:szCs w:val="24"/>
                <w:vertAlign w:val="subscript"/>
                <w14:textFill>
                  <w14:solidFill>
                    <w14:schemeClr w14:val="tx1"/>
                  </w14:solidFill>
                </w14:textFill>
              </w:rPr>
              <w:t>3</w:t>
            </w:r>
            <w:r>
              <w:rPr>
                <w:rFonts w:hint="eastAsia" w:ascii="Times New Roman" w:hAnsi="Times New Roman" w:eastAsia="宋体"/>
                <w:b w:val="0"/>
                <w:bCs/>
                <w:color w:val="000000" w:themeColor="text1"/>
                <w:sz w:val="24"/>
                <w:szCs w:val="24"/>
                <w14:textFill>
                  <w14:solidFill>
                    <w14:schemeClr w14:val="tx1"/>
                  </w14:solidFill>
                </w14:textFill>
              </w:rPr>
              <w:t>-N</w:t>
            </w:r>
            <w:r>
              <w:rPr>
                <w:rFonts w:hint="eastAsia" w:ascii="Times New Roman" w:hAnsi="Times New Roman" w:eastAsia="宋体"/>
                <w:b w:val="0"/>
                <w:bCs/>
                <w:color w:val="000000" w:themeColor="text1"/>
                <w:sz w:val="24"/>
                <w:szCs w:val="24"/>
                <w:lang w:eastAsia="zh-CN"/>
                <w14:textFill>
                  <w14:solidFill>
                    <w14:schemeClr w14:val="tx1"/>
                  </w14:solidFill>
                </w14:textFill>
              </w:rPr>
              <w:t>：</w:t>
            </w:r>
            <w:r>
              <w:rPr>
                <w:rFonts w:hint="eastAsia" w:ascii="Times New Roman" w:hAnsi="Times New Roman" w:eastAsia="宋体"/>
                <w:b w:val="0"/>
                <w:bCs/>
                <w:color w:val="000000" w:themeColor="text1"/>
                <w:sz w:val="24"/>
                <w:szCs w:val="24"/>
                <w14:textFill>
                  <w14:solidFill>
                    <w14:schemeClr w14:val="tx1"/>
                  </w14:solidFill>
                </w14:textFill>
              </w:rPr>
              <w:t>25mg/L</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，结合项目废水产污特征，分别核算废水污染物产生浓度、产生量及达标排放浓度、排放量，具体见下表。</w:t>
            </w:r>
          </w:p>
          <w:p w14:paraId="1DB92435">
            <w:pPr>
              <w:pStyle w:val="250"/>
              <w:spacing w:line="360" w:lineRule="auto"/>
              <w:ind w:firstLine="0" w:firstLineChars="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表4-</w:t>
            </w:r>
            <w:r>
              <w:rPr>
                <w:rFonts w:hint="eastAsia"/>
                <w:color w:val="000000" w:themeColor="text1"/>
                <w:sz w:val="21"/>
                <w:szCs w:val="21"/>
                <w:lang w:val="en-US" w:eastAsia="zh-CN"/>
                <w14:textFill>
                  <w14:solidFill>
                    <w14:schemeClr w14:val="tx1"/>
                  </w14:solidFill>
                </w14:textFill>
              </w:rPr>
              <w:t>5</w:t>
            </w:r>
            <w:r>
              <w:rPr>
                <w:rFonts w:hint="eastAsia" w:ascii="Times New Roman" w:hAnsi="Times New Roman" w:eastAsia="宋体"/>
                <w:color w:val="000000" w:themeColor="text1"/>
                <w:sz w:val="21"/>
                <w:szCs w:val="21"/>
                <w14:textFill>
                  <w14:solidFill>
                    <w14:schemeClr w14:val="tx1"/>
                  </w14:solidFill>
                </w14:textFill>
              </w:rPr>
              <w:t xml:space="preserve">  污染物产生情况</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2"/>
              <w:gridCol w:w="2004"/>
              <w:gridCol w:w="2736"/>
              <w:gridCol w:w="2798"/>
            </w:tblGrid>
            <w:tr w14:paraId="5493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053" w:type="pct"/>
                  <w:tcBorders>
                    <w:top w:val="single" w:color="000000" w:sz="12" w:space="0"/>
                    <w:left w:val="nil"/>
                    <w:tl2br w:val="nil"/>
                  </w:tcBorders>
                  <w:shd w:val="clear" w:color="auto" w:fill="FFFFFF"/>
                  <w:noWrap w:val="0"/>
                  <w:vAlign w:val="center"/>
                </w:tcPr>
                <w:p w14:paraId="3016D69E">
                  <w:pPr>
                    <w:pStyle w:val="250"/>
                    <w:spacing w:line="240" w:lineRule="auto"/>
                    <w:ind w:firstLine="0" w:firstLineChars="0"/>
                    <w:jc w:val="center"/>
                    <w:rPr>
                      <w:rFonts w:hint="eastAsia" w:ascii="Times New Roman" w:hAnsi="Times New Roman" w:eastAsia="宋体"/>
                      <w:b/>
                      <w:bCs/>
                      <w:color w:val="000000" w:themeColor="text1"/>
                      <w:sz w:val="21"/>
                      <w:szCs w:val="21"/>
                      <w14:textFill>
                        <w14:solidFill>
                          <w14:schemeClr w14:val="tx1"/>
                        </w14:solidFill>
                      </w14:textFill>
                    </w:rPr>
                  </w:pPr>
                  <w:r>
                    <w:rPr>
                      <w:rFonts w:hint="eastAsia" w:ascii="Times New Roman" w:hAnsi="Times New Roman" w:eastAsia="宋体"/>
                      <w:b/>
                      <w:bCs/>
                      <w:color w:val="000000" w:themeColor="text1"/>
                      <w:sz w:val="21"/>
                      <w:szCs w:val="21"/>
                      <w14:textFill>
                        <w14:solidFill>
                          <w14:schemeClr w14:val="tx1"/>
                        </w14:solidFill>
                      </w14:textFill>
                    </w:rPr>
                    <w:t>污染源</w:t>
                  </w:r>
                </w:p>
              </w:tc>
              <w:tc>
                <w:tcPr>
                  <w:tcW w:w="1049" w:type="pct"/>
                  <w:tcBorders>
                    <w:top w:val="single" w:color="000000" w:sz="12" w:space="0"/>
                  </w:tcBorders>
                  <w:shd w:val="clear" w:color="auto" w:fill="FFFFFF"/>
                  <w:noWrap w:val="0"/>
                  <w:vAlign w:val="center"/>
                </w:tcPr>
                <w:p w14:paraId="6CCF4614">
                  <w:pPr>
                    <w:pStyle w:val="250"/>
                    <w:spacing w:line="240" w:lineRule="auto"/>
                    <w:ind w:firstLine="0" w:firstLineChars="0"/>
                    <w:jc w:val="center"/>
                    <w:rPr>
                      <w:rFonts w:hint="eastAsia" w:ascii="Times New Roman" w:hAnsi="Times New Roman" w:eastAsia="宋体"/>
                      <w:b/>
                      <w:bCs/>
                      <w:color w:val="000000" w:themeColor="text1"/>
                      <w:sz w:val="21"/>
                      <w:szCs w:val="21"/>
                      <w14:textFill>
                        <w14:solidFill>
                          <w14:schemeClr w14:val="tx1"/>
                        </w14:solidFill>
                      </w14:textFill>
                    </w:rPr>
                  </w:pPr>
                  <w:r>
                    <w:rPr>
                      <w:rFonts w:hint="eastAsia" w:ascii="Times New Roman" w:hAnsi="Times New Roman" w:eastAsia="宋体"/>
                      <w:b/>
                      <w:bCs/>
                      <w:color w:val="000000" w:themeColor="text1"/>
                      <w:sz w:val="21"/>
                      <w:szCs w:val="21"/>
                      <w14:textFill>
                        <w14:solidFill>
                          <w14:schemeClr w14:val="tx1"/>
                        </w14:solidFill>
                      </w14:textFill>
                    </w:rPr>
                    <w:t>污染物种类</w:t>
                  </w:r>
                </w:p>
              </w:tc>
              <w:tc>
                <w:tcPr>
                  <w:tcW w:w="1432" w:type="pct"/>
                  <w:tcBorders>
                    <w:top w:val="single" w:color="000000" w:sz="12" w:space="0"/>
                  </w:tcBorders>
                  <w:shd w:val="clear" w:color="auto" w:fill="FFFFFF"/>
                  <w:noWrap w:val="0"/>
                  <w:vAlign w:val="center"/>
                </w:tcPr>
                <w:p w14:paraId="3C37A475">
                  <w:pPr>
                    <w:pStyle w:val="250"/>
                    <w:spacing w:line="240" w:lineRule="auto"/>
                    <w:ind w:firstLine="0" w:firstLineChars="0"/>
                    <w:jc w:val="center"/>
                    <w:rPr>
                      <w:rFonts w:hint="eastAsia" w:ascii="Times New Roman" w:hAnsi="Times New Roman" w:eastAsia="宋体"/>
                      <w:b/>
                      <w:bCs/>
                      <w:color w:val="000000" w:themeColor="text1"/>
                      <w:sz w:val="21"/>
                      <w:szCs w:val="21"/>
                      <w14:textFill>
                        <w14:solidFill>
                          <w14:schemeClr w14:val="tx1"/>
                        </w14:solidFill>
                      </w14:textFill>
                    </w:rPr>
                  </w:pPr>
                  <w:r>
                    <w:rPr>
                      <w:rFonts w:hint="eastAsia" w:ascii="Times New Roman" w:hAnsi="Times New Roman" w:eastAsia="宋体"/>
                      <w:b/>
                      <w:bCs/>
                      <w:color w:val="000000" w:themeColor="text1"/>
                      <w:sz w:val="21"/>
                      <w:szCs w:val="21"/>
                      <w:lang w:val="en-US" w:eastAsia="zh-CN"/>
                      <w14:textFill>
                        <w14:solidFill>
                          <w14:schemeClr w14:val="tx1"/>
                        </w14:solidFill>
                      </w14:textFill>
                    </w:rPr>
                    <w:t>污染源强</w:t>
                  </w:r>
                  <w:r>
                    <w:rPr>
                      <w:rFonts w:hint="eastAsia"/>
                      <w:b/>
                      <w:bCs/>
                      <w:color w:val="000000" w:themeColor="text1"/>
                      <w:sz w:val="21"/>
                      <w:szCs w:val="21"/>
                      <w:lang w:val="en-US" w:eastAsia="zh-CN"/>
                      <w14:textFill>
                        <w14:solidFill>
                          <w14:schemeClr w14:val="tx1"/>
                        </w14:solidFill>
                      </w14:textFill>
                    </w:rPr>
                    <w:t>（</w:t>
                  </w:r>
                  <w:r>
                    <w:rPr>
                      <w:rFonts w:hint="eastAsia" w:ascii="Times New Roman" w:hAnsi="Times New Roman" w:eastAsia="宋体"/>
                      <w:b/>
                      <w:bCs/>
                      <w:color w:val="000000" w:themeColor="text1"/>
                      <w:sz w:val="21"/>
                      <w:szCs w:val="21"/>
                      <w:lang w:val="en-US" w:eastAsia="zh-CN"/>
                      <w14:textFill>
                        <w14:solidFill>
                          <w14:schemeClr w14:val="tx1"/>
                        </w14:solidFill>
                      </w14:textFill>
                    </w:rPr>
                    <w:t>mg/L</w:t>
                  </w:r>
                  <w:r>
                    <w:rPr>
                      <w:rFonts w:hint="eastAsia"/>
                      <w:b/>
                      <w:bCs/>
                      <w:color w:val="000000" w:themeColor="text1"/>
                      <w:sz w:val="21"/>
                      <w:szCs w:val="21"/>
                      <w:lang w:val="en-US" w:eastAsia="zh-CN"/>
                      <w14:textFill>
                        <w14:solidFill>
                          <w14:schemeClr w14:val="tx1"/>
                        </w14:solidFill>
                      </w14:textFill>
                    </w:rPr>
                    <w:t>）</w:t>
                  </w:r>
                </w:p>
              </w:tc>
              <w:tc>
                <w:tcPr>
                  <w:tcW w:w="1464" w:type="pct"/>
                  <w:tcBorders>
                    <w:top w:val="single" w:color="000000" w:sz="12" w:space="0"/>
                    <w:right w:val="nil"/>
                  </w:tcBorders>
                  <w:shd w:val="clear" w:color="auto" w:fill="FFFFFF"/>
                  <w:noWrap w:val="0"/>
                  <w:vAlign w:val="center"/>
                </w:tcPr>
                <w:p w14:paraId="541F2B30">
                  <w:pPr>
                    <w:pStyle w:val="250"/>
                    <w:spacing w:line="240" w:lineRule="auto"/>
                    <w:ind w:firstLine="0" w:firstLineChars="0"/>
                    <w:jc w:val="center"/>
                    <w:rPr>
                      <w:rFonts w:hint="eastAsia" w:ascii="Times New Roman" w:hAnsi="Times New Roman" w:eastAsia="宋体"/>
                      <w:b/>
                      <w:bCs/>
                      <w:color w:val="000000" w:themeColor="text1"/>
                      <w:sz w:val="21"/>
                      <w:szCs w:val="21"/>
                      <w14:textFill>
                        <w14:solidFill>
                          <w14:schemeClr w14:val="tx1"/>
                        </w14:solidFill>
                      </w14:textFill>
                    </w:rPr>
                  </w:pPr>
                  <w:r>
                    <w:rPr>
                      <w:rFonts w:hint="eastAsia" w:ascii="Times New Roman" w:hAnsi="Times New Roman" w:eastAsia="宋体"/>
                      <w:b/>
                      <w:bCs/>
                      <w:color w:val="000000" w:themeColor="text1"/>
                      <w:sz w:val="21"/>
                      <w:szCs w:val="21"/>
                      <w14:textFill>
                        <w14:solidFill>
                          <w14:schemeClr w14:val="tx1"/>
                        </w14:solidFill>
                      </w14:textFill>
                    </w:rPr>
                    <w:t>产生量（t/a）</w:t>
                  </w:r>
                </w:p>
              </w:tc>
            </w:tr>
            <w:tr w14:paraId="0D67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pct"/>
                  <w:vMerge w:val="restart"/>
                  <w:tcBorders>
                    <w:left w:val="nil"/>
                  </w:tcBorders>
                  <w:shd w:val="clear" w:color="auto" w:fill="FFFFFF"/>
                  <w:noWrap w:val="0"/>
                  <w:vAlign w:val="center"/>
                </w:tcPr>
                <w:p w14:paraId="3DCF8306">
                  <w:pPr>
                    <w:pStyle w:val="250"/>
                    <w:spacing w:line="240" w:lineRule="auto"/>
                    <w:ind w:firstLine="0" w:firstLineChars="0"/>
                    <w:jc w:val="center"/>
                    <w:rPr>
                      <w:rFonts w:hint="default" w:ascii="Times New Roman" w:hAnsi="Times New Roman" w:eastAsia="宋体"/>
                      <w:b w:val="0"/>
                      <w:bCs/>
                      <w:color w:val="000000" w:themeColor="text1"/>
                      <w:sz w:val="21"/>
                      <w:szCs w:val="21"/>
                      <w:lang w:val="en-US" w:eastAsia="zh-CN"/>
                      <w14:textFill>
                        <w14:solidFill>
                          <w14:schemeClr w14:val="tx1"/>
                        </w14:solidFill>
                      </w14:textFill>
                    </w:rPr>
                  </w:pPr>
                  <w:r>
                    <w:rPr>
                      <w:rFonts w:hint="eastAsia" w:ascii="Times New Roman" w:hAnsi="Times New Roman" w:eastAsia="宋体"/>
                      <w:b w:val="0"/>
                      <w:bCs/>
                      <w:color w:val="000000" w:themeColor="text1"/>
                      <w:sz w:val="21"/>
                      <w:szCs w:val="21"/>
                      <w14:textFill>
                        <w14:solidFill>
                          <w14:schemeClr w14:val="tx1"/>
                        </w14:solidFill>
                      </w14:textFill>
                    </w:rPr>
                    <w:t>生活污水</w:t>
                  </w:r>
                </w:p>
              </w:tc>
              <w:tc>
                <w:tcPr>
                  <w:tcW w:w="1049" w:type="pct"/>
                  <w:shd w:val="clear" w:color="auto" w:fill="FFFFFF"/>
                  <w:noWrap w:val="0"/>
                  <w:vAlign w:val="center"/>
                </w:tcPr>
                <w:p w14:paraId="0EB6FD80">
                  <w:pPr>
                    <w:pStyle w:val="250"/>
                    <w:spacing w:line="240" w:lineRule="auto"/>
                    <w:ind w:firstLine="0" w:firstLineChars="0"/>
                    <w:jc w:val="center"/>
                    <w:rPr>
                      <w:rFonts w:hint="eastAsia" w:ascii="Times New Roman" w:hAnsi="Times New Roman" w:eastAsia="宋体"/>
                      <w:b w:val="0"/>
                      <w:bCs/>
                      <w:color w:val="000000" w:themeColor="text1"/>
                      <w:sz w:val="21"/>
                      <w:szCs w:val="21"/>
                      <w14:textFill>
                        <w14:solidFill>
                          <w14:schemeClr w14:val="tx1"/>
                        </w14:solidFill>
                      </w14:textFill>
                    </w:rPr>
                  </w:pPr>
                  <w:r>
                    <w:rPr>
                      <w:rFonts w:hint="eastAsia" w:ascii="Times New Roman" w:hAnsi="Times New Roman" w:eastAsia="宋体"/>
                      <w:b w:val="0"/>
                      <w:bCs/>
                      <w:color w:val="000000" w:themeColor="text1"/>
                      <w:sz w:val="21"/>
                      <w:szCs w:val="21"/>
                      <w14:textFill>
                        <w14:solidFill>
                          <w14:schemeClr w14:val="tx1"/>
                        </w14:solidFill>
                      </w14:textFill>
                    </w:rPr>
                    <w:t>pH</w:t>
                  </w:r>
                </w:p>
              </w:tc>
              <w:tc>
                <w:tcPr>
                  <w:tcW w:w="1432" w:type="pct"/>
                  <w:shd w:val="clear" w:color="auto" w:fill="FFFFFF"/>
                  <w:noWrap w:val="0"/>
                  <w:vAlign w:val="center"/>
                </w:tcPr>
                <w:p w14:paraId="0C8C956B">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center"/>
                    <w:rPr>
                      <w:rFonts w:hint="default"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t>6</w:t>
                  </w:r>
                  <w:r>
                    <w:rPr>
                      <w:rFonts w:hint="eastAsia" w:cs="Times New Roman"/>
                      <w:b w:val="0"/>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Times New Roman" w:hAnsi="Times New Roman" w:eastAsia="宋体" w:cs="Times New Roman"/>
                      <w:b w:val="0"/>
                      <w:i w:val="0"/>
                      <w:iCs w:val="0"/>
                      <w:color w:val="000000" w:themeColor="text1"/>
                      <w:kern w:val="0"/>
                      <w:sz w:val="21"/>
                      <w:szCs w:val="21"/>
                      <w:highlight w:val="none"/>
                      <w:u w:val="none"/>
                      <w:lang w:val="en-US" w:eastAsia="zh-CN" w:bidi="ar"/>
                      <w14:textFill>
                        <w14:solidFill>
                          <w14:schemeClr w14:val="tx1"/>
                        </w14:solidFill>
                      </w14:textFill>
                    </w:rPr>
                    <w:t>9</w:t>
                  </w:r>
                </w:p>
              </w:tc>
              <w:tc>
                <w:tcPr>
                  <w:tcW w:w="1464" w:type="pct"/>
                  <w:tcBorders>
                    <w:right w:val="nil"/>
                  </w:tcBorders>
                  <w:shd w:val="clear" w:color="auto" w:fill="FFFFFF"/>
                  <w:noWrap w:val="0"/>
                  <w:vAlign w:val="center"/>
                </w:tcPr>
                <w:p w14:paraId="6064B1B0">
                  <w:pPr>
                    <w:keepNext w:val="0"/>
                    <w:keepLines w:val="0"/>
                    <w:widowControl/>
                    <w:suppressLineNumbers w:val="0"/>
                    <w:jc w:val="center"/>
                    <w:textAlignment w:val="center"/>
                    <w:rPr>
                      <w:rFonts w:hint="default" w:ascii="Times New Roman" w:hAnsi="Times New Roman" w:eastAsia="宋体" w:cs="宋体"/>
                      <w:b w:val="0"/>
                      <w:i w:val="0"/>
                      <w:iCs w:val="0"/>
                      <w:color w:val="000000" w:themeColor="text1"/>
                      <w:kern w:val="0"/>
                      <w:sz w:val="21"/>
                      <w:szCs w:val="21"/>
                      <w:u w:val="none"/>
                      <w:lang w:val="en-US" w:eastAsia="zh-CN" w:bidi="ar"/>
                      <w14:textFill>
                        <w14:solidFill>
                          <w14:schemeClr w14:val="tx1"/>
                        </w14:solidFill>
                      </w14:textFill>
                    </w:rPr>
                  </w:pPr>
                  <w:r>
                    <w:rPr>
                      <w:rFonts w:hint="eastAsia" w:ascii="Times New Roman" w:hAnsi="Times New Roman" w:eastAsia="宋体" w:cs="宋体"/>
                      <w:b w:val="0"/>
                      <w:i w:val="0"/>
                      <w:iCs w:val="0"/>
                      <w:color w:val="000000" w:themeColor="text1"/>
                      <w:kern w:val="0"/>
                      <w:sz w:val="21"/>
                      <w:szCs w:val="21"/>
                      <w:u w:val="none"/>
                      <w:lang w:val="en-US" w:eastAsia="zh-CN" w:bidi="ar"/>
                      <w14:textFill>
                        <w14:solidFill>
                          <w14:schemeClr w14:val="tx1"/>
                        </w14:solidFill>
                      </w14:textFill>
                    </w:rPr>
                    <w:t>/</w:t>
                  </w:r>
                </w:p>
              </w:tc>
            </w:tr>
            <w:tr w14:paraId="0454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pct"/>
                  <w:vMerge w:val="continue"/>
                  <w:tcBorders>
                    <w:left w:val="nil"/>
                  </w:tcBorders>
                  <w:shd w:val="clear" w:color="auto" w:fill="FFFFFF"/>
                  <w:noWrap w:val="0"/>
                  <w:vAlign w:val="center"/>
                </w:tcPr>
                <w:p w14:paraId="65C6858C">
                  <w:pPr>
                    <w:pStyle w:val="250"/>
                    <w:spacing w:line="240" w:lineRule="auto"/>
                    <w:ind w:firstLine="0" w:firstLineChars="0"/>
                    <w:jc w:val="center"/>
                    <w:rPr>
                      <w:rFonts w:hint="eastAsia" w:ascii="Times New Roman" w:hAnsi="Times New Roman" w:eastAsia="宋体"/>
                      <w:b w:val="0"/>
                      <w:bCs/>
                      <w:color w:val="000000" w:themeColor="text1"/>
                      <w:sz w:val="21"/>
                      <w:szCs w:val="21"/>
                      <w14:textFill>
                        <w14:solidFill>
                          <w14:schemeClr w14:val="tx1"/>
                        </w14:solidFill>
                      </w14:textFill>
                    </w:rPr>
                  </w:pPr>
                </w:p>
              </w:tc>
              <w:tc>
                <w:tcPr>
                  <w:tcW w:w="1049" w:type="pct"/>
                  <w:shd w:val="clear" w:color="auto" w:fill="FFFFFF"/>
                  <w:noWrap w:val="0"/>
                  <w:vAlign w:val="center"/>
                </w:tcPr>
                <w:p w14:paraId="67ACD316">
                  <w:pPr>
                    <w:pStyle w:val="250"/>
                    <w:spacing w:line="240" w:lineRule="auto"/>
                    <w:ind w:firstLine="0" w:firstLineChars="0"/>
                    <w:jc w:val="center"/>
                    <w:rPr>
                      <w:rFonts w:hint="eastAsia" w:ascii="Times New Roman" w:hAnsi="Times New Roman" w:eastAsia="宋体"/>
                      <w:b w:val="0"/>
                      <w:bCs/>
                      <w:color w:val="000000" w:themeColor="text1"/>
                      <w:sz w:val="21"/>
                      <w:szCs w:val="21"/>
                      <w:lang w:val="en-US" w:eastAsia="zh-CN"/>
                      <w14:textFill>
                        <w14:solidFill>
                          <w14:schemeClr w14:val="tx1"/>
                        </w14:solidFill>
                      </w14:textFill>
                    </w:rPr>
                  </w:pPr>
                  <w:r>
                    <w:rPr>
                      <w:rFonts w:hint="eastAsia" w:ascii="Times New Roman" w:hAnsi="Times New Roman" w:eastAsia="宋体"/>
                      <w:b w:val="0"/>
                      <w:bCs/>
                      <w:color w:val="000000" w:themeColor="text1"/>
                      <w:sz w:val="21"/>
                      <w:szCs w:val="21"/>
                      <w14:textFill>
                        <w14:solidFill>
                          <w14:schemeClr w14:val="tx1"/>
                        </w14:solidFill>
                      </w14:textFill>
                    </w:rPr>
                    <w:t>COD</w:t>
                  </w:r>
                  <w:r>
                    <w:rPr>
                      <w:rFonts w:hint="eastAsia" w:ascii="Times New Roman" w:hAnsi="Times New Roman" w:eastAsia="宋体"/>
                      <w:b w:val="0"/>
                      <w:bCs/>
                      <w:color w:val="000000" w:themeColor="text1"/>
                      <w:sz w:val="21"/>
                      <w:szCs w:val="21"/>
                      <w:lang w:val="en-US" w:eastAsia="zh-CN"/>
                      <w14:textFill>
                        <w14:solidFill>
                          <w14:schemeClr w14:val="tx1"/>
                        </w14:solidFill>
                      </w14:textFill>
                    </w:rPr>
                    <w:t>cr</w:t>
                  </w:r>
                </w:p>
              </w:tc>
              <w:tc>
                <w:tcPr>
                  <w:tcW w:w="1432" w:type="pct"/>
                  <w:shd w:val="clear" w:color="auto" w:fill="FFFFFF"/>
                  <w:noWrap w:val="0"/>
                  <w:vAlign w:val="center"/>
                </w:tcPr>
                <w:p w14:paraId="18A30475">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center"/>
                    <w:rPr>
                      <w:rFonts w:hint="default" w:ascii="Times New Roman" w:hAnsi="Times New Roman" w:eastAsia="宋体"/>
                      <w:b w:val="0"/>
                      <w:bCs/>
                      <w:color w:val="000000" w:themeColor="text1"/>
                      <w:sz w:val="21"/>
                      <w:szCs w:val="21"/>
                      <w:lang w:val="en-US" w:eastAsia="zh-CN"/>
                      <w14:textFill>
                        <w14:solidFill>
                          <w14:schemeClr w14:val="tx1"/>
                        </w14:solidFill>
                      </w14:textFill>
                    </w:rPr>
                  </w:pPr>
                  <w:r>
                    <w:rPr>
                      <w:rFonts w:hint="eastAsia" w:cs="Times New Roman"/>
                      <w:b w:val="0"/>
                      <w:i w:val="0"/>
                      <w:iCs w:val="0"/>
                      <w:color w:val="000000" w:themeColor="text1"/>
                      <w:kern w:val="0"/>
                      <w:sz w:val="21"/>
                      <w:szCs w:val="21"/>
                      <w:highlight w:val="none"/>
                      <w:u w:val="none"/>
                      <w:lang w:val="en-US" w:eastAsia="zh-CN" w:bidi="ar"/>
                      <w14:textFill>
                        <w14:solidFill>
                          <w14:schemeClr w14:val="tx1"/>
                        </w14:solidFill>
                      </w14:textFill>
                    </w:rPr>
                    <w:t>350</w:t>
                  </w:r>
                </w:p>
              </w:tc>
              <w:tc>
                <w:tcPr>
                  <w:tcW w:w="1464" w:type="pct"/>
                  <w:tcBorders>
                    <w:right w:val="nil"/>
                  </w:tcBorders>
                  <w:shd w:val="clear" w:color="auto" w:fill="FFFFFF"/>
                  <w:noWrap w:val="0"/>
                  <w:vAlign w:val="center"/>
                </w:tcPr>
                <w:p w14:paraId="2CB49C27">
                  <w:pPr>
                    <w:keepNext w:val="0"/>
                    <w:keepLines w:val="0"/>
                    <w:widowControl/>
                    <w:suppressLineNumbers w:val="0"/>
                    <w:jc w:val="center"/>
                    <w:textAlignment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0.0147</w:t>
                  </w:r>
                </w:p>
              </w:tc>
            </w:tr>
            <w:tr w14:paraId="4B95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53" w:type="pct"/>
                  <w:vMerge w:val="continue"/>
                  <w:tcBorders>
                    <w:left w:val="nil"/>
                  </w:tcBorders>
                  <w:shd w:val="clear" w:color="auto" w:fill="FFFFFF"/>
                  <w:noWrap w:val="0"/>
                  <w:vAlign w:val="center"/>
                </w:tcPr>
                <w:p w14:paraId="4F21257D">
                  <w:pPr>
                    <w:pStyle w:val="250"/>
                    <w:spacing w:line="240" w:lineRule="auto"/>
                    <w:ind w:firstLine="0" w:firstLineChars="0"/>
                    <w:jc w:val="center"/>
                    <w:rPr>
                      <w:rFonts w:hint="eastAsia" w:ascii="Times New Roman" w:hAnsi="Times New Roman" w:eastAsia="宋体"/>
                      <w:b w:val="0"/>
                      <w:bCs/>
                      <w:color w:val="000000" w:themeColor="text1"/>
                      <w:sz w:val="21"/>
                      <w:szCs w:val="21"/>
                      <w14:textFill>
                        <w14:solidFill>
                          <w14:schemeClr w14:val="tx1"/>
                        </w14:solidFill>
                      </w14:textFill>
                    </w:rPr>
                  </w:pPr>
                </w:p>
              </w:tc>
              <w:tc>
                <w:tcPr>
                  <w:tcW w:w="1049" w:type="pct"/>
                  <w:shd w:val="clear" w:color="auto" w:fill="FFFFFF"/>
                  <w:noWrap w:val="0"/>
                  <w:vAlign w:val="center"/>
                </w:tcPr>
                <w:p w14:paraId="1B47A41B">
                  <w:pPr>
                    <w:pStyle w:val="250"/>
                    <w:spacing w:line="240" w:lineRule="auto"/>
                    <w:ind w:firstLine="0" w:firstLineChars="0"/>
                    <w:jc w:val="center"/>
                    <w:rPr>
                      <w:rFonts w:hint="default" w:ascii="Times New Roman" w:hAnsi="Times New Roman" w:eastAsia="宋体"/>
                      <w:b w:val="0"/>
                      <w:bCs/>
                      <w:color w:val="000000" w:themeColor="text1"/>
                      <w:sz w:val="21"/>
                      <w:szCs w:val="21"/>
                      <w:lang w:val="en-US" w:eastAsia="zh-CN"/>
                      <w14:textFill>
                        <w14:solidFill>
                          <w14:schemeClr w14:val="tx1"/>
                        </w14:solidFill>
                      </w14:textFill>
                    </w:rPr>
                  </w:pPr>
                  <w:r>
                    <w:rPr>
                      <w:rFonts w:hint="eastAsia" w:ascii="Times New Roman" w:hAnsi="Times New Roman" w:eastAsia="宋体"/>
                      <w:b w:val="0"/>
                      <w:bCs/>
                      <w:color w:val="000000" w:themeColor="text1"/>
                      <w:sz w:val="21"/>
                      <w:szCs w:val="21"/>
                      <w:lang w:val="en-US" w:eastAsia="zh-CN"/>
                      <w14:textFill>
                        <w14:solidFill>
                          <w14:schemeClr w14:val="tx1"/>
                        </w14:solidFill>
                      </w14:textFill>
                    </w:rPr>
                    <w:t>BOD</w:t>
                  </w:r>
                  <w:r>
                    <w:rPr>
                      <w:rFonts w:hint="eastAsia" w:ascii="Times New Roman" w:hAnsi="Times New Roman" w:eastAsia="宋体"/>
                      <w:b w:val="0"/>
                      <w:bCs/>
                      <w:color w:val="000000" w:themeColor="text1"/>
                      <w:sz w:val="21"/>
                      <w:szCs w:val="21"/>
                      <w:vertAlign w:val="subscript"/>
                      <w:lang w:val="en-US" w:eastAsia="zh-CN"/>
                      <w14:textFill>
                        <w14:solidFill>
                          <w14:schemeClr w14:val="tx1"/>
                        </w14:solidFill>
                      </w14:textFill>
                    </w:rPr>
                    <w:t>5</w:t>
                  </w:r>
                </w:p>
              </w:tc>
              <w:tc>
                <w:tcPr>
                  <w:tcW w:w="1432" w:type="pct"/>
                  <w:shd w:val="clear" w:color="auto" w:fill="FFFFFF"/>
                  <w:noWrap w:val="0"/>
                  <w:vAlign w:val="center"/>
                </w:tcPr>
                <w:p w14:paraId="570AED48">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center"/>
                    <w:rPr>
                      <w:rFonts w:hint="default" w:ascii="Times New Roman" w:hAnsi="Times New Roman" w:eastAsia="宋体"/>
                      <w:b w:val="0"/>
                      <w:bCs/>
                      <w:color w:val="000000" w:themeColor="text1"/>
                      <w:sz w:val="21"/>
                      <w:szCs w:val="21"/>
                      <w:lang w:val="en-US" w:eastAsia="zh-CN"/>
                      <w14:textFill>
                        <w14:solidFill>
                          <w14:schemeClr w14:val="tx1"/>
                        </w14:solidFill>
                      </w14:textFill>
                    </w:rPr>
                  </w:pPr>
                  <w:r>
                    <w:rPr>
                      <w:rFonts w:hint="eastAsia" w:cs="Times New Roman"/>
                      <w:b w:val="0"/>
                      <w:i w:val="0"/>
                      <w:iCs w:val="0"/>
                      <w:color w:val="000000" w:themeColor="text1"/>
                      <w:kern w:val="0"/>
                      <w:sz w:val="21"/>
                      <w:szCs w:val="21"/>
                      <w:highlight w:val="none"/>
                      <w:u w:val="none"/>
                      <w:lang w:val="en-US" w:eastAsia="zh-CN" w:bidi="ar"/>
                      <w14:textFill>
                        <w14:solidFill>
                          <w14:schemeClr w14:val="tx1"/>
                        </w14:solidFill>
                      </w14:textFill>
                    </w:rPr>
                    <w:t>220</w:t>
                  </w:r>
                </w:p>
              </w:tc>
              <w:tc>
                <w:tcPr>
                  <w:tcW w:w="1464" w:type="pct"/>
                  <w:tcBorders>
                    <w:right w:val="nil"/>
                  </w:tcBorders>
                  <w:shd w:val="clear" w:color="auto" w:fill="FFFFFF"/>
                  <w:noWrap w:val="0"/>
                  <w:vAlign w:val="center"/>
                </w:tcPr>
                <w:p w14:paraId="709E7779">
                  <w:pPr>
                    <w:keepNext w:val="0"/>
                    <w:keepLines w:val="0"/>
                    <w:widowControl/>
                    <w:suppressLineNumbers w:val="0"/>
                    <w:jc w:val="center"/>
                    <w:textAlignment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0.0924</w:t>
                  </w:r>
                </w:p>
              </w:tc>
            </w:tr>
            <w:tr w14:paraId="124C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53" w:type="pct"/>
                  <w:vMerge w:val="continue"/>
                  <w:tcBorders>
                    <w:left w:val="nil"/>
                  </w:tcBorders>
                  <w:shd w:val="clear" w:color="auto" w:fill="FFFFFF"/>
                  <w:noWrap w:val="0"/>
                  <w:vAlign w:val="center"/>
                </w:tcPr>
                <w:p w14:paraId="0C745B04">
                  <w:pPr>
                    <w:pStyle w:val="250"/>
                    <w:spacing w:line="240" w:lineRule="auto"/>
                    <w:ind w:firstLine="0" w:firstLineChars="0"/>
                    <w:jc w:val="center"/>
                    <w:rPr>
                      <w:rFonts w:hint="eastAsia" w:ascii="Times New Roman" w:hAnsi="Times New Roman" w:eastAsia="宋体"/>
                      <w:b w:val="0"/>
                      <w:bCs/>
                      <w:color w:val="000000" w:themeColor="text1"/>
                      <w:sz w:val="21"/>
                      <w:szCs w:val="21"/>
                      <w14:textFill>
                        <w14:solidFill>
                          <w14:schemeClr w14:val="tx1"/>
                        </w14:solidFill>
                      </w14:textFill>
                    </w:rPr>
                  </w:pPr>
                </w:p>
              </w:tc>
              <w:tc>
                <w:tcPr>
                  <w:tcW w:w="1049" w:type="pct"/>
                  <w:shd w:val="clear" w:color="auto" w:fill="FFFFFF"/>
                  <w:noWrap w:val="0"/>
                  <w:vAlign w:val="center"/>
                </w:tcPr>
                <w:p w14:paraId="770F0B80">
                  <w:pPr>
                    <w:pStyle w:val="250"/>
                    <w:spacing w:line="240" w:lineRule="auto"/>
                    <w:ind w:firstLine="0" w:firstLineChars="0"/>
                    <w:jc w:val="center"/>
                    <w:rPr>
                      <w:rFonts w:hint="default" w:ascii="Times New Roman" w:hAnsi="Times New Roman" w:eastAsia="宋体"/>
                      <w:b w:val="0"/>
                      <w:bCs/>
                      <w:color w:val="000000" w:themeColor="text1"/>
                      <w:sz w:val="21"/>
                      <w:szCs w:val="21"/>
                      <w:lang w:val="en-US" w:eastAsia="zh-CN"/>
                      <w14:textFill>
                        <w14:solidFill>
                          <w14:schemeClr w14:val="tx1"/>
                        </w14:solidFill>
                      </w14:textFill>
                    </w:rPr>
                  </w:pPr>
                  <w:r>
                    <w:rPr>
                      <w:rFonts w:hint="eastAsia" w:ascii="Times New Roman" w:hAnsi="Times New Roman" w:eastAsia="宋体"/>
                      <w:b w:val="0"/>
                      <w:bCs/>
                      <w:color w:val="000000" w:themeColor="text1"/>
                      <w:sz w:val="21"/>
                      <w:szCs w:val="21"/>
                      <w:lang w:val="en-US" w:eastAsia="zh-CN"/>
                      <w14:textFill>
                        <w14:solidFill>
                          <w14:schemeClr w14:val="tx1"/>
                        </w14:solidFill>
                      </w14:textFill>
                    </w:rPr>
                    <w:t>SS</w:t>
                  </w:r>
                </w:p>
              </w:tc>
              <w:tc>
                <w:tcPr>
                  <w:tcW w:w="1432" w:type="pct"/>
                  <w:shd w:val="clear" w:color="auto" w:fill="FFFFFF"/>
                  <w:noWrap w:val="0"/>
                  <w:vAlign w:val="center"/>
                </w:tcPr>
                <w:p w14:paraId="3214F50E">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center"/>
                    <w:rPr>
                      <w:rFonts w:hint="default" w:ascii="Times New Roman" w:hAnsi="Times New Roman" w:eastAsia="宋体"/>
                      <w:b w:val="0"/>
                      <w:bCs/>
                      <w:color w:val="000000" w:themeColor="text1"/>
                      <w:sz w:val="21"/>
                      <w:szCs w:val="21"/>
                      <w:lang w:val="en-US" w:eastAsia="zh-CN"/>
                      <w14:textFill>
                        <w14:solidFill>
                          <w14:schemeClr w14:val="tx1"/>
                        </w14:solidFill>
                      </w14:textFill>
                    </w:rPr>
                  </w:pPr>
                  <w:r>
                    <w:rPr>
                      <w:rFonts w:hint="eastAsia" w:cs="Times New Roman"/>
                      <w:b w:val="0"/>
                      <w:i w:val="0"/>
                      <w:iCs w:val="0"/>
                      <w:color w:val="000000" w:themeColor="text1"/>
                      <w:kern w:val="0"/>
                      <w:sz w:val="21"/>
                      <w:szCs w:val="21"/>
                      <w:highlight w:val="none"/>
                      <w:u w:val="none"/>
                      <w:lang w:val="en-US" w:eastAsia="zh-CN" w:bidi="ar"/>
                      <w14:textFill>
                        <w14:solidFill>
                          <w14:schemeClr w14:val="tx1"/>
                        </w14:solidFill>
                      </w14:textFill>
                    </w:rPr>
                    <w:t>200</w:t>
                  </w:r>
                </w:p>
              </w:tc>
              <w:tc>
                <w:tcPr>
                  <w:tcW w:w="1464" w:type="pct"/>
                  <w:tcBorders>
                    <w:right w:val="nil"/>
                  </w:tcBorders>
                  <w:shd w:val="clear" w:color="auto" w:fill="FFFFFF"/>
                  <w:noWrap w:val="0"/>
                  <w:vAlign w:val="center"/>
                </w:tcPr>
                <w:p w14:paraId="573A679E">
                  <w:pPr>
                    <w:keepNext w:val="0"/>
                    <w:keepLines w:val="0"/>
                    <w:widowControl/>
                    <w:suppressLineNumbers w:val="0"/>
                    <w:jc w:val="center"/>
                    <w:textAlignment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0.0084</w:t>
                  </w:r>
                </w:p>
              </w:tc>
            </w:tr>
            <w:tr w14:paraId="369D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53" w:type="pct"/>
                  <w:vMerge w:val="continue"/>
                  <w:tcBorders>
                    <w:left w:val="nil"/>
                    <w:bottom w:val="single" w:color="000000" w:sz="12" w:space="0"/>
                  </w:tcBorders>
                  <w:shd w:val="clear" w:color="auto" w:fill="FFFFFF"/>
                  <w:noWrap w:val="0"/>
                  <w:vAlign w:val="center"/>
                </w:tcPr>
                <w:p w14:paraId="55279301">
                  <w:pPr>
                    <w:pStyle w:val="250"/>
                    <w:spacing w:line="240" w:lineRule="auto"/>
                    <w:ind w:firstLine="0" w:firstLineChars="0"/>
                    <w:jc w:val="center"/>
                    <w:rPr>
                      <w:rFonts w:hint="eastAsia" w:ascii="Times New Roman" w:hAnsi="Times New Roman" w:eastAsia="宋体"/>
                      <w:b w:val="0"/>
                      <w:bCs/>
                      <w:color w:val="000000" w:themeColor="text1"/>
                      <w:sz w:val="21"/>
                      <w:szCs w:val="21"/>
                      <w14:textFill>
                        <w14:solidFill>
                          <w14:schemeClr w14:val="tx1"/>
                        </w14:solidFill>
                      </w14:textFill>
                    </w:rPr>
                  </w:pPr>
                </w:p>
              </w:tc>
              <w:tc>
                <w:tcPr>
                  <w:tcW w:w="1049" w:type="pct"/>
                  <w:tcBorders>
                    <w:bottom w:val="single" w:color="000000" w:sz="12" w:space="0"/>
                  </w:tcBorders>
                  <w:shd w:val="clear" w:color="auto" w:fill="FFFFFF"/>
                  <w:noWrap w:val="0"/>
                  <w:vAlign w:val="center"/>
                </w:tcPr>
                <w:p w14:paraId="33C6CD5A">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bidi="ar-SA"/>
                      <w14:textFill>
                        <w14:solidFill>
                          <w14:schemeClr w14:val="tx1"/>
                        </w14:solidFill>
                      </w14:textFill>
                    </w:rPr>
                  </w:pPr>
                  <w:r>
                    <w:rPr>
                      <w:rFonts w:hint="eastAsia" w:ascii="Times New Roman" w:hAnsi="Times New Roman" w:eastAsia="宋体"/>
                      <w:b w:val="0"/>
                      <w:bCs/>
                      <w:color w:val="000000" w:themeColor="text1"/>
                      <w:sz w:val="21"/>
                      <w:szCs w:val="21"/>
                      <w:lang w:val="en-US" w:eastAsia="zh-CN"/>
                      <w14:textFill>
                        <w14:solidFill>
                          <w14:schemeClr w14:val="tx1"/>
                        </w14:solidFill>
                      </w14:textFill>
                    </w:rPr>
                    <w:t>NH</w:t>
                  </w:r>
                  <w:r>
                    <w:rPr>
                      <w:rFonts w:hint="eastAsia" w:ascii="Times New Roman" w:hAnsi="Times New Roman" w:eastAsia="宋体"/>
                      <w:b w:val="0"/>
                      <w:bCs/>
                      <w:color w:val="000000" w:themeColor="text1"/>
                      <w:sz w:val="21"/>
                      <w:szCs w:val="21"/>
                      <w:vertAlign w:val="subscript"/>
                      <w:lang w:val="en-US" w:eastAsia="zh-CN"/>
                      <w14:textFill>
                        <w14:solidFill>
                          <w14:schemeClr w14:val="tx1"/>
                        </w14:solidFill>
                      </w14:textFill>
                    </w:rPr>
                    <w:t>3</w:t>
                  </w:r>
                  <w:r>
                    <w:rPr>
                      <w:rFonts w:hint="eastAsia" w:ascii="Times New Roman" w:hAnsi="Times New Roman" w:eastAsia="宋体"/>
                      <w:b w:val="0"/>
                      <w:bCs/>
                      <w:color w:val="000000" w:themeColor="text1"/>
                      <w:sz w:val="21"/>
                      <w:szCs w:val="21"/>
                      <w:lang w:val="en-US" w:eastAsia="zh-CN"/>
                      <w14:textFill>
                        <w14:solidFill>
                          <w14:schemeClr w14:val="tx1"/>
                        </w14:solidFill>
                      </w14:textFill>
                    </w:rPr>
                    <w:t>-N</w:t>
                  </w:r>
                </w:p>
              </w:tc>
              <w:tc>
                <w:tcPr>
                  <w:tcW w:w="1432" w:type="pct"/>
                  <w:tcBorders>
                    <w:bottom w:val="single" w:color="000000" w:sz="12" w:space="0"/>
                  </w:tcBorders>
                  <w:shd w:val="clear" w:color="auto" w:fill="FFFFFF"/>
                  <w:noWrap w:val="0"/>
                  <w:vAlign w:val="center"/>
                </w:tcPr>
                <w:p w14:paraId="7A1D8A3D">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center"/>
                    <w:rPr>
                      <w:rFonts w:hint="default" w:ascii="Times New Roman" w:hAnsi="Times New Roman" w:eastAsia="宋体"/>
                      <w:b w:val="0"/>
                      <w:bCs/>
                      <w:color w:val="000000" w:themeColor="text1"/>
                      <w:sz w:val="21"/>
                      <w:szCs w:val="21"/>
                      <w:lang w:val="en-US" w:eastAsia="zh-CN"/>
                      <w14:textFill>
                        <w14:solidFill>
                          <w14:schemeClr w14:val="tx1"/>
                        </w14:solidFill>
                      </w14:textFill>
                    </w:rPr>
                  </w:pPr>
                  <w:r>
                    <w:rPr>
                      <w:rFonts w:hint="eastAsia" w:cs="Times New Roman"/>
                      <w:b w:val="0"/>
                      <w:i w:val="0"/>
                      <w:iCs w:val="0"/>
                      <w:color w:val="000000" w:themeColor="text1"/>
                      <w:kern w:val="0"/>
                      <w:sz w:val="21"/>
                      <w:szCs w:val="21"/>
                      <w:highlight w:val="none"/>
                      <w:u w:val="none"/>
                      <w:lang w:val="en-US" w:eastAsia="zh-CN" w:bidi="ar"/>
                      <w14:textFill>
                        <w14:solidFill>
                          <w14:schemeClr w14:val="tx1"/>
                        </w14:solidFill>
                      </w14:textFill>
                    </w:rPr>
                    <w:t>25</w:t>
                  </w:r>
                </w:p>
              </w:tc>
              <w:tc>
                <w:tcPr>
                  <w:tcW w:w="1464" w:type="pct"/>
                  <w:tcBorders>
                    <w:bottom w:val="single" w:color="000000" w:sz="12" w:space="0"/>
                    <w:right w:val="nil"/>
                  </w:tcBorders>
                  <w:shd w:val="clear" w:color="auto" w:fill="FFFFFF"/>
                  <w:noWrap w:val="0"/>
                  <w:vAlign w:val="center"/>
                </w:tcPr>
                <w:p w14:paraId="4A6CA1F4">
                  <w:pPr>
                    <w:keepNext w:val="0"/>
                    <w:keepLines w:val="0"/>
                    <w:widowControl/>
                    <w:suppressLineNumbers w:val="0"/>
                    <w:jc w:val="center"/>
                    <w:textAlignment w:val="center"/>
                    <w:rPr>
                      <w:rFonts w:hint="default" w:ascii="Times New Roman" w:hAnsi="Times New Roman" w:eastAsia="宋体" w:cs="Times New Roman"/>
                      <w:b w:val="0"/>
                      <w:color w:val="000000" w:themeColor="text1"/>
                      <w:sz w:val="21"/>
                      <w:szCs w:val="21"/>
                      <w:lang w:val="en-US" w:eastAsia="zh-CN" w:bidi="ar"/>
                      <w14:textFill>
                        <w14:solidFill>
                          <w14:schemeClr w14:val="tx1"/>
                        </w14:solidFill>
                      </w14:textFill>
                    </w:rPr>
                  </w:pPr>
                  <w:r>
                    <w:rPr>
                      <w:rFonts w:hint="eastAsia" w:cs="Times New Roman"/>
                      <w:b w:val="0"/>
                      <w:color w:val="000000" w:themeColor="text1"/>
                      <w:sz w:val="21"/>
                      <w:szCs w:val="21"/>
                      <w:lang w:val="en-US" w:eastAsia="zh-CN" w:bidi="ar"/>
                      <w14:textFill>
                        <w14:solidFill>
                          <w14:schemeClr w14:val="tx1"/>
                        </w14:solidFill>
                      </w14:textFill>
                    </w:rPr>
                    <w:t>0.00105</w:t>
                  </w:r>
                </w:p>
              </w:tc>
            </w:tr>
          </w:tbl>
          <w:p w14:paraId="1DFDDD0B">
            <w:pPr>
              <w:pStyle w:val="250"/>
              <w:spacing w:line="360" w:lineRule="auto"/>
              <w:ind w:firstLine="482"/>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2.治理措施</w:t>
            </w:r>
          </w:p>
          <w:p w14:paraId="0BD454A2">
            <w:pPr>
              <w:keepNext w:val="0"/>
              <w:keepLines w:val="0"/>
              <w:widowControl/>
              <w:suppressLineNumbers w:val="0"/>
              <w:jc w:val="left"/>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结合项目废水产排特征，本项目无生产废水外排，仅产生少量员工生活污水，针对项目废水特点制定专项治理措施如下：</w:t>
            </w:r>
          </w:p>
          <w:p w14:paraId="5B58EEC4">
            <w:pPr>
              <w:keepNext w:val="0"/>
              <w:keepLines w:val="0"/>
              <w:widowControl/>
              <w:suppressLineNumbers w:val="0"/>
              <w:jc w:val="both"/>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本项目生产过程中的抑尘用水全部通过自然蒸发、物料及地表吸附损耗，无废水产生；洗沙生产废水经厂区沉淀池、沉降罐多级沉淀处理后，清水100%回用于洗砂生产工序，实现生产废水零外排，沉淀污泥经压滤脱水后统一收集外售综合利用。</w:t>
            </w:r>
          </w:p>
          <w:p w14:paraId="53F08955">
            <w:pPr>
              <w:keepNext w:val="0"/>
              <w:keepLines w:val="0"/>
              <w:widowControl/>
              <w:suppressLineNumbers w:val="0"/>
              <w:jc w:val="both"/>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项目外排废水仅为员工日常生活产生的生活污水，年产生量为42m³/a。厂区配套建设标准化化粪池，员工生活污水统一收集后汇入化粪池，定期由专业吸污车清运，转运至昌吉市第二污水处理厂进行深度处理，废水处置全过程密闭输送，无乱排、直排现象，可有效管控水环境污染风险。</w:t>
            </w:r>
          </w:p>
          <w:p w14:paraId="566782FD">
            <w:pPr>
              <w:keepNext w:val="0"/>
              <w:keepLines w:val="0"/>
              <w:widowControl/>
              <w:suppressLineNumbers w:val="0"/>
              <w:jc w:val="left"/>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治理工艺可行性分析：</w:t>
            </w:r>
          </w:p>
          <w:p w14:paraId="2D95E0F0">
            <w:pPr>
              <w:keepNext w:val="0"/>
              <w:keepLines w:val="0"/>
              <w:widowControl/>
              <w:suppressLineNumbers w:val="0"/>
              <w:jc w:val="both"/>
              <w:rPr>
                <w:rFonts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（一）</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生产废水回用工艺可行性</w:t>
            </w:r>
          </w:p>
          <w:p w14:paraId="25827561">
            <w:pPr>
              <w:keepNext w:val="0"/>
              <w:keepLines w:val="0"/>
              <w:widowControl/>
              <w:suppressLineNumbers w:val="0"/>
              <w:jc w:val="both"/>
              <w:rPr>
                <w:rFonts w:ascii="Times New Roman" w:hAnsi="Times New Roman" w:eastAsia="宋体" w:cs="宋体"/>
                <w:color w:val="000000" w:themeColor="text1"/>
                <w:kern w:val="0"/>
                <w:sz w:val="24"/>
                <w:szCs w:val="24"/>
                <w:lang w:val="en-US" w:eastAsia="zh-CN" w:bidi="ar"/>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项目洗砂废水+压滤液多级沉淀闭路回用工艺为砂石加工行业成熟处置技术，整套系统实现水资源循环，无生产废水向外环境排放，不存在地表水、地下水污染风险，基建与运维成本低，管控稳定可靠。</w:t>
            </w:r>
          </w:p>
          <w:p w14:paraId="3EA600D8">
            <w:pPr>
              <w:keepNext w:val="0"/>
              <w:keepLines w:val="0"/>
              <w:widowControl/>
              <w:suppressLineNumbers w:val="0"/>
              <w:jc w:val="both"/>
              <w:rPr>
                <w:rFonts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（二）</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生活污水依托昌吉市第二污水处理厂可行性</w:t>
            </w:r>
          </w:p>
          <w:p w14:paraId="135586C6">
            <w:pPr>
              <w:keepNext w:val="0"/>
              <w:keepLines w:val="0"/>
              <w:widowControl/>
              <w:suppressLineNumbers w:val="0"/>
              <w:jc w:val="both"/>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default" w:ascii="Times New Roman" w:hAnsi="Times New Roman" w:eastAsia="微软雅黑" w:cs="Times New Roman"/>
                <w:color w:val="000000" w:themeColor="text1"/>
                <w:kern w:val="0"/>
                <w:sz w:val="24"/>
                <w:szCs w:val="24"/>
                <w:lang w:val="en-US" w:eastAsia="zh-CN" w:bidi="ar"/>
                <w14:textFill>
                  <w14:solidFill>
                    <w14:schemeClr w14:val="tx1"/>
                  </w14:solidFill>
                </w14:textFill>
              </w:rPr>
              <w:t>①</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处理能力匹配性：昌吉市第二污水处理厂设计处理规模10万m³/d，经提标改造后现状日均处理水量约5.2万m³，富余处理空间充足；本项目生活污水日排放量仅0.2m³，水量极小，占</w:t>
            </w:r>
            <w:r>
              <w:rPr>
                <w:rFonts w:hint="eastAsia" w:cs="宋体"/>
                <w:color w:val="000000" w:themeColor="text1"/>
                <w:kern w:val="0"/>
                <w:sz w:val="24"/>
                <w:szCs w:val="24"/>
                <w:lang w:val="en-US" w:eastAsia="zh-CN" w:bidi="ar"/>
                <w14:textFill>
                  <w14:solidFill>
                    <w14:schemeClr w14:val="tx1"/>
                  </w14:solidFill>
                </w14:textFill>
              </w:rPr>
              <w:t>污水处理厂</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富余处理量占比极低，不会对</w:t>
            </w:r>
            <w:r>
              <w:rPr>
                <w:rFonts w:hint="eastAsia" w:cs="宋体"/>
                <w:color w:val="000000" w:themeColor="text1"/>
                <w:kern w:val="0"/>
                <w:sz w:val="24"/>
                <w:szCs w:val="24"/>
                <w:lang w:val="en-US" w:eastAsia="zh-CN" w:bidi="ar"/>
                <w14:textFill>
                  <w14:solidFill>
                    <w14:schemeClr w14:val="tx1"/>
                  </w14:solidFill>
                </w14:textFill>
              </w:rPr>
              <w:t>污水处理厂</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水力负荷造成冲击。</w:t>
            </w:r>
          </w:p>
          <w:p w14:paraId="0EEB3D43">
            <w:pPr>
              <w:keepNext w:val="0"/>
              <w:keepLines w:val="0"/>
              <w:widowControl/>
              <w:suppressLineNumbers w:val="0"/>
              <w:jc w:val="both"/>
              <w:rPr>
                <w:rFonts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default" w:ascii="Times New Roman" w:hAnsi="Times New Roman" w:eastAsia="微软雅黑" w:cs="Times New Roman"/>
                <w:color w:val="000000" w:themeColor="text1"/>
                <w:kern w:val="0"/>
                <w:sz w:val="24"/>
                <w:szCs w:val="24"/>
                <w:lang w:val="en-US" w:eastAsia="zh-CN" w:bidi="ar"/>
                <w14:textFill>
                  <w14:solidFill>
                    <w14:schemeClr w14:val="tx1"/>
                  </w14:solidFill>
                </w14:textFill>
              </w:rPr>
              <w:t>②</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处理工艺适配性</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w:t>
            </w:r>
            <w:r>
              <w:rPr>
                <w:rFonts w:hint="eastAsia" w:cs="宋体"/>
                <w:color w:val="000000" w:themeColor="text1"/>
                <w:kern w:val="0"/>
                <w:sz w:val="24"/>
                <w:szCs w:val="24"/>
                <w:lang w:val="en-US" w:eastAsia="zh-CN" w:bidi="ar"/>
                <w14:textFill>
                  <w14:solidFill>
                    <w14:schemeClr w14:val="tx1"/>
                  </w14:solidFill>
                </w14:textFill>
              </w:rPr>
              <w:t>污水处理厂</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采用氧化沟+深度过滤+紫外消毒工艺（A²/O生化处理），可高效降解COD、BOD₅、氨氮、SS等常规生活类污染物，对城镇生活污水适配性强，成熟稳定、抗轻微水质波动。</w:t>
            </w:r>
          </w:p>
          <w:p w14:paraId="13E192F5">
            <w:pPr>
              <w:keepNext w:val="0"/>
              <w:keepLines w:val="0"/>
              <w:widowControl/>
              <w:suppressLineNumbers w:val="0"/>
              <w:jc w:val="both"/>
              <w:rPr>
                <w:rFonts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default" w:ascii="Times New Roman" w:hAnsi="Times New Roman" w:eastAsia="微软雅黑" w:cs="Times New Roman"/>
                <w:color w:val="000000" w:themeColor="text1"/>
                <w:kern w:val="0"/>
                <w:sz w:val="24"/>
                <w:szCs w:val="24"/>
                <w:lang w:val="en-US" w:eastAsia="zh-CN" w:bidi="ar"/>
                <w14:textFill>
                  <w14:solidFill>
                    <w14:schemeClr w14:val="tx1"/>
                  </w14:solidFill>
                </w14:textFill>
              </w:rPr>
              <w:t>③</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进出水水质匹配</w:t>
            </w: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昌吉市第二污水处理厂设计进水水质限值：pH6~9、COD≤500mg/L、BOD₅≤150mg/L、SS≤300mg、NH₃-N≤35mg/L；本项目生活污水经化粪池</w:t>
            </w:r>
            <w:r>
              <w:rPr>
                <w:rFonts w:hint="eastAsia" w:cs="宋体"/>
                <w:color w:val="000000" w:themeColor="text1"/>
                <w:kern w:val="0"/>
                <w:sz w:val="24"/>
                <w:szCs w:val="24"/>
                <w:lang w:val="en-US" w:eastAsia="zh-CN" w:bidi="ar"/>
                <w14:textFill>
                  <w14:solidFill>
                    <w14:schemeClr w14:val="tx1"/>
                  </w14:solidFill>
                </w14:textFill>
              </w:rPr>
              <w:t>收集</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后水质：pH6~9、COD350mg/L、BOD₅220mg/L、SS200mg/L、NH₃25mg/L，全部满足</w:t>
            </w:r>
            <w:r>
              <w:rPr>
                <w:rFonts w:hint="eastAsia" w:cs="宋体"/>
                <w:color w:val="000000" w:themeColor="text1"/>
                <w:kern w:val="0"/>
                <w:sz w:val="24"/>
                <w:szCs w:val="24"/>
                <w:lang w:val="en-US" w:eastAsia="zh-CN" w:bidi="ar"/>
                <w14:textFill>
                  <w14:solidFill>
                    <w14:schemeClr w14:val="tx1"/>
                  </w14:solidFill>
                </w14:textFill>
              </w:rPr>
              <w:t>污水处理厂</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进水接纳标准，无重金属、难降解工业污染物，不会干扰生化系统运行。</w:t>
            </w:r>
            <w:r>
              <w:rPr>
                <w:rFonts w:hint="eastAsia" w:cs="宋体"/>
                <w:color w:val="000000" w:themeColor="text1"/>
                <w:kern w:val="0"/>
                <w:sz w:val="24"/>
                <w:szCs w:val="24"/>
                <w:lang w:val="en-US" w:eastAsia="zh-CN" w:bidi="ar"/>
                <w14:textFill>
                  <w14:solidFill>
                    <w14:schemeClr w14:val="tx1"/>
                  </w14:solidFill>
                </w14:textFill>
              </w:rPr>
              <w:t>污水处理厂</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处理后尾水稳定达到《城镇污水处理厂污染物排放标准》（GB18918-2002）一级A标准，污染物去除效率高。</w:t>
            </w:r>
          </w:p>
          <w:p w14:paraId="6CDDE113">
            <w:pPr>
              <w:keepNext w:val="0"/>
              <w:keepLines w:val="0"/>
              <w:widowControl/>
              <w:suppressLineNumbers w:val="0"/>
              <w:jc w:val="both"/>
              <w:rPr>
                <w:rFonts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default" w:ascii="Times New Roman" w:hAnsi="Times New Roman" w:eastAsia="微软雅黑" w:cs="Times New Roman"/>
                <w:color w:val="000000" w:themeColor="text1"/>
                <w:kern w:val="0"/>
                <w:sz w:val="24"/>
                <w:szCs w:val="24"/>
                <w:lang w:val="en-US" w:eastAsia="zh-CN" w:bidi="ar"/>
                <w14:textFill>
                  <w14:solidFill>
                    <w14:schemeClr w14:val="tx1"/>
                  </w14:solidFill>
                </w14:textFill>
              </w:rPr>
              <w:t>④</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收运处置合规性项目采用专业密闭吸污车定期清运，转运流程规范化，</w:t>
            </w:r>
            <w:r>
              <w:rPr>
                <w:rFonts w:hint="eastAsia" w:cs="宋体"/>
                <w:color w:val="000000" w:themeColor="text1"/>
                <w:kern w:val="0"/>
                <w:sz w:val="24"/>
                <w:szCs w:val="24"/>
                <w:lang w:val="en-US" w:eastAsia="zh-CN" w:bidi="ar"/>
                <w14:textFill>
                  <w14:solidFill>
                    <w14:schemeClr w14:val="tx1"/>
                  </w14:solidFill>
                </w14:textFill>
              </w:rPr>
              <w:t>污水处理厂</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具备接纳厂区化粪池</w:t>
            </w:r>
            <w:r>
              <w:rPr>
                <w:rFonts w:hint="eastAsia" w:cs="宋体"/>
                <w:color w:val="000000" w:themeColor="text1"/>
                <w:kern w:val="0"/>
                <w:sz w:val="24"/>
                <w:szCs w:val="24"/>
                <w:lang w:val="en-US" w:eastAsia="zh-CN" w:bidi="ar"/>
                <w14:textFill>
                  <w14:solidFill>
                    <w14:schemeClr w14:val="tx1"/>
                  </w14:solidFill>
                </w14:textFill>
              </w:rPr>
              <w:t>收集的</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生活污水的处置条件，处置渠道稳定合规。</w:t>
            </w:r>
          </w:p>
          <w:p w14:paraId="4069C925">
            <w:pPr>
              <w:keepNext w:val="0"/>
              <w:keepLines w:val="0"/>
              <w:widowControl/>
              <w:suppressLineNumbers w:val="0"/>
              <w:jc w:val="both"/>
              <w:rPr>
                <w:rFonts w:ascii="Times New Roman" w:hAnsi="Times New Roman"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（三）</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综合可行性总结</w:t>
            </w:r>
          </w:p>
          <w:p w14:paraId="13F1992F">
            <w:pPr>
              <w:keepNext w:val="0"/>
              <w:keepLines w:val="0"/>
              <w:widowControl/>
              <w:suppressLineNumbers w:val="0"/>
              <w:jc w:val="both"/>
              <w:rPr>
                <w:rFonts w:ascii="Times New Roman" w:hAnsi="Times New Roman" w:eastAsia="宋体" w:cs="宋体"/>
                <w:color w:val="000000" w:themeColor="text1"/>
                <w:kern w:val="0"/>
                <w:sz w:val="24"/>
                <w:szCs w:val="24"/>
                <w:lang w:val="en-US" w:eastAsia="zh-CN" w:bidi="ar"/>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项目生产废水全流程闭路循环、零外排；生活污水经化粪池</w:t>
            </w:r>
            <w:r>
              <w:rPr>
                <w:rFonts w:hint="eastAsia" w:cs="宋体"/>
                <w:color w:val="000000" w:themeColor="text1"/>
                <w:kern w:val="0"/>
                <w:sz w:val="24"/>
                <w:szCs w:val="24"/>
                <w:lang w:val="en-US" w:eastAsia="zh-CN" w:bidi="ar"/>
                <w14:textFill>
                  <w14:solidFill>
                    <w14:schemeClr w14:val="tx1"/>
                  </w14:solidFill>
                </w14:textFill>
              </w:rPr>
              <w:t>收集</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后转运至昌吉市第二污水处理厂，</w:t>
            </w:r>
            <w:r>
              <w:rPr>
                <w:rFonts w:hint="eastAsia" w:cs="宋体"/>
                <w:color w:val="000000" w:themeColor="text1"/>
                <w:kern w:val="0"/>
                <w:sz w:val="24"/>
                <w:szCs w:val="24"/>
                <w:lang w:val="en-US" w:eastAsia="zh-CN" w:bidi="ar"/>
                <w14:textFill>
                  <w14:solidFill>
                    <w14:schemeClr w14:val="tx1"/>
                  </w14:solidFill>
                </w14:textFill>
              </w:rPr>
              <w:t>污水处理厂</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处理余量充足、工艺适配、水质满足接纳要求，整套废水治理方案技术成熟、经济可行，可全面防控水环境渗漏、污染风险，满足区域环保管控要求。</w:t>
            </w:r>
          </w:p>
          <w:p w14:paraId="6487F0FE">
            <w:pPr>
              <w:pStyle w:val="250"/>
              <w:spacing w:line="360" w:lineRule="auto"/>
              <w:ind w:firstLine="482"/>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eastAsia" w:cs="Times New Roman"/>
                <w:color w:val="000000" w:themeColor="text1"/>
                <w:sz w:val="24"/>
                <w:szCs w:val="24"/>
                <w:highlight w:val="none"/>
                <w:lang w:val="en-US" w:eastAsia="zh-CN"/>
                <w14:textFill>
                  <w14:solidFill>
                    <w14:schemeClr w14:val="tx1"/>
                  </w14:solidFill>
                </w14:textFill>
              </w:rPr>
              <w:t>废水环境影响分析</w:t>
            </w:r>
          </w:p>
          <w:p w14:paraId="1D860D3F">
            <w:pPr>
              <w:keepNext w:val="0"/>
              <w:keepLines w:val="0"/>
              <w:widowControl/>
              <w:suppressLineNumbers w:val="0"/>
              <w:jc w:val="both"/>
              <w:rPr>
                <w:rFonts w:ascii="Times New Roman" w:hAnsi="Times New Roman"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本项目生产废水全部循环回用、实现零外排，仅少量生活污水经预处理后合规清运处置。项目无废水直排环境，污染物可控，不会对区域地表水、地下水环境产生不利影响</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w:t>
            </w:r>
          </w:p>
          <w:p w14:paraId="381CD219">
            <w:pPr>
              <w:pStyle w:val="258"/>
              <w:spacing w:line="360" w:lineRule="auto"/>
              <w:ind w:firstLine="482"/>
              <w:jc w:val="left"/>
              <w:rPr>
                <w:rFonts w:hint="eastAsia" w:ascii="Times New Roman" w:hAnsi="Times New Roman" w:eastAsia="宋体" w:cs="Times New Roman"/>
                <w:b w:val="0"/>
                <w:bCs w:val="0"/>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Cs w:val="24"/>
                <w:highlight w:val="none"/>
                <w:lang w:val="en-US" w:eastAsia="zh-CN"/>
                <w14:textFill>
                  <w14:solidFill>
                    <w14:schemeClr w14:val="tx1"/>
                  </w14:solidFill>
                </w14:textFill>
              </w:rPr>
              <w:t>本项目废水排放口基本情况见下表。</w:t>
            </w:r>
          </w:p>
          <w:p w14:paraId="0DE96E77">
            <w:pPr>
              <w:pStyle w:val="250"/>
              <w:spacing w:line="360" w:lineRule="auto"/>
              <w:ind w:firstLine="0" w:firstLineChars="0"/>
              <w:jc w:val="center"/>
              <w:rPr>
                <w:rFonts w:hint="eastAsia" w:ascii="Times New Roman" w:hAnsi="Times New Roman" w:eastAsia="宋体"/>
                <w:color w:val="000000" w:themeColor="text1"/>
                <w:sz w:val="21"/>
                <w:szCs w:val="21"/>
                <w:highlight w:val="none"/>
                <w14:textFill>
                  <w14:solidFill>
                    <w14:schemeClr w14:val="tx1"/>
                  </w14:solidFill>
                </w14:textFill>
              </w:rPr>
            </w:pPr>
            <w:r>
              <w:rPr>
                <w:rFonts w:hint="eastAsia" w:ascii="Times New Roman" w:hAnsi="Times New Roman" w:eastAsia="宋体"/>
                <w:color w:val="000000" w:themeColor="text1"/>
                <w:sz w:val="21"/>
                <w:szCs w:val="21"/>
                <w:highlight w:val="none"/>
                <w14:textFill>
                  <w14:solidFill>
                    <w14:schemeClr w14:val="tx1"/>
                  </w14:solidFill>
                </w14:textFill>
              </w:rPr>
              <w:t>表4-</w:t>
            </w: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6</w:t>
            </w:r>
            <w:r>
              <w:rPr>
                <w:rFonts w:hint="eastAsia" w:ascii="Times New Roman" w:hAnsi="Times New Roman" w:eastAsia="宋体"/>
                <w:color w:val="000000" w:themeColor="text1"/>
                <w:sz w:val="21"/>
                <w:szCs w:val="21"/>
                <w:highlight w:val="none"/>
                <w14:textFill>
                  <w14:solidFill>
                    <w14:schemeClr w14:val="tx1"/>
                  </w14:solidFill>
                </w14:textFill>
              </w:rPr>
              <w:t xml:space="preserve">  本项目废水</w:t>
            </w: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排放口基本情况</w:t>
            </w:r>
            <w:r>
              <w:rPr>
                <w:rFonts w:hint="eastAsia" w:ascii="Times New Roman" w:hAnsi="Times New Roman" w:eastAsia="宋体"/>
                <w:color w:val="000000" w:themeColor="text1"/>
                <w:sz w:val="21"/>
                <w:szCs w:val="21"/>
                <w:highlight w:val="none"/>
                <w14:textFill>
                  <w14:solidFill>
                    <w14:schemeClr w14:val="tx1"/>
                  </w14:solidFill>
                </w14:textFill>
              </w:rPr>
              <w:t>表</w:t>
            </w:r>
          </w:p>
          <w:tbl>
            <w:tblPr>
              <w:tblStyle w:val="43"/>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9"/>
              <w:gridCol w:w="1909"/>
              <w:gridCol w:w="1909"/>
              <w:gridCol w:w="1911"/>
              <w:gridCol w:w="1912"/>
            </w:tblGrid>
            <w:tr w14:paraId="07BD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pct"/>
                  <w:vMerge w:val="restart"/>
                  <w:tcBorders>
                    <w:top w:val="single" w:color="000000" w:sz="12" w:space="0"/>
                    <w:left w:val="nil"/>
                    <w:tl2br w:val="nil"/>
                  </w:tcBorders>
                  <w:shd w:val="clear" w:color="auto" w:fill="FFFFFF"/>
                  <w:noWrap w:val="0"/>
                  <w:vAlign w:val="center"/>
                </w:tcPr>
                <w:p w14:paraId="780E76BE">
                  <w:pPr>
                    <w:pStyle w:val="258"/>
                    <w:spacing w:line="240" w:lineRule="auto"/>
                    <w:ind w:firstLine="0" w:firstLineChars="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t>名称</w:t>
                  </w:r>
                </w:p>
              </w:tc>
              <w:tc>
                <w:tcPr>
                  <w:tcW w:w="999" w:type="pct"/>
                  <w:vMerge w:val="restart"/>
                  <w:tcBorders>
                    <w:top w:val="single" w:color="000000" w:sz="12" w:space="0"/>
                  </w:tcBorders>
                  <w:shd w:val="clear" w:color="auto" w:fill="FFFFFF"/>
                  <w:noWrap w:val="0"/>
                  <w:vAlign w:val="center"/>
                </w:tcPr>
                <w:p w14:paraId="38EA8D45">
                  <w:pPr>
                    <w:pStyle w:val="258"/>
                    <w:spacing w:line="240" w:lineRule="auto"/>
                    <w:ind w:firstLine="0" w:firstLineChars="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t>编号</w:t>
                  </w:r>
                </w:p>
              </w:tc>
              <w:tc>
                <w:tcPr>
                  <w:tcW w:w="999" w:type="pct"/>
                  <w:vMerge w:val="restart"/>
                  <w:tcBorders>
                    <w:top w:val="single" w:color="000000" w:sz="12" w:space="0"/>
                  </w:tcBorders>
                  <w:shd w:val="clear" w:color="auto" w:fill="FFFFFF"/>
                  <w:noWrap w:val="0"/>
                  <w:vAlign w:val="center"/>
                </w:tcPr>
                <w:p w14:paraId="703C5036">
                  <w:pPr>
                    <w:pStyle w:val="258"/>
                    <w:spacing w:line="240" w:lineRule="auto"/>
                    <w:ind w:firstLine="0" w:firstLineChars="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t>类型</w:t>
                  </w:r>
                </w:p>
              </w:tc>
              <w:tc>
                <w:tcPr>
                  <w:tcW w:w="2000" w:type="pct"/>
                  <w:gridSpan w:val="2"/>
                  <w:tcBorders>
                    <w:top w:val="single" w:color="000000" w:sz="12" w:space="0"/>
                    <w:right w:val="nil"/>
                  </w:tcBorders>
                  <w:shd w:val="clear" w:color="auto" w:fill="FFFFFF"/>
                  <w:noWrap w:val="0"/>
                  <w:vAlign w:val="center"/>
                </w:tcPr>
                <w:p w14:paraId="2EE5DC38">
                  <w:pPr>
                    <w:pStyle w:val="258"/>
                    <w:spacing w:line="240" w:lineRule="auto"/>
                    <w:ind w:firstLine="0" w:firstLineChars="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t>地理坐标</w:t>
                  </w:r>
                </w:p>
              </w:tc>
            </w:tr>
            <w:tr w14:paraId="0188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Merge w:val="continue"/>
                  <w:tcBorders>
                    <w:left w:val="nil"/>
                  </w:tcBorders>
                  <w:shd w:val="clear" w:color="auto" w:fill="FFFFFF"/>
                  <w:noWrap w:val="0"/>
                  <w:vAlign w:val="center"/>
                </w:tcPr>
                <w:p w14:paraId="2F7CFD51">
                  <w:pPr>
                    <w:pStyle w:val="258"/>
                    <w:spacing w:line="240" w:lineRule="auto"/>
                    <w:ind w:firstLine="0" w:firstLineChars="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p>
              </w:tc>
              <w:tc>
                <w:tcPr>
                  <w:tcW w:w="999" w:type="pct"/>
                  <w:vMerge w:val="continue"/>
                  <w:shd w:val="clear" w:color="auto" w:fill="FFFFFF"/>
                  <w:noWrap w:val="0"/>
                  <w:vAlign w:val="center"/>
                </w:tcPr>
                <w:p w14:paraId="4342006C">
                  <w:pPr>
                    <w:pStyle w:val="258"/>
                    <w:spacing w:line="240" w:lineRule="auto"/>
                    <w:ind w:firstLine="0" w:firstLineChars="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p>
              </w:tc>
              <w:tc>
                <w:tcPr>
                  <w:tcW w:w="999" w:type="pct"/>
                  <w:vMerge w:val="continue"/>
                  <w:shd w:val="clear" w:color="auto" w:fill="FFFFFF"/>
                  <w:noWrap w:val="0"/>
                  <w:vAlign w:val="center"/>
                </w:tcPr>
                <w:p w14:paraId="7B4F9A47">
                  <w:pPr>
                    <w:pStyle w:val="258"/>
                    <w:spacing w:line="240" w:lineRule="auto"/>
                    <w:ind w:firstLine="0" w:firstLineChars="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p>
              </w:tc>
              <w:tc>
                <w:tcPr>
                  <w:tcW w:w="1000" w:type="pct"/>
                  <w:shd w:val="clear" w:color="auto" w:fill="FFFFFF"/>
                  <w:noWrap w:val="0"/>
                  <w:vAlign w:val="center"/>
                </w:tcPr>
                <w:p w14:paraId="3ECF75D8">
                  <w:pPr>
                    <w:pStyle w:val="258"/>
                    <w:spacing w:line="240" w:lineRule="auto"/>
                    <w:ind w:firstLine="0" w:firstLineChars="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t>经度</w:t>
                  </w:r>
                </w:p>
              </w:tc>
              <w:tc>
                <w:tcPr>
                  <w:tcW w:w="1000" w:type="pct"/>
                  <w:tcBorders>
                    <w:right w:val="nil"/>
                  </w:tcBorders>
                  <w:shd w:val="clear" w:color="auto" w:fill="FFFFFF"/>
                  <w:noWrap w:val="0"/>
                  <w:vAlign w:val="center"/>
                </w:tcPr>
                <w:p w14:paraId="2D65E72E">
                  <w:pPr>
                    <w:pStyle w:val="258"/>
                    <w:spacing w:line="240" w:lineRule="auto"/>
                    <w:ind w:firstLine="0" w:firstLineChars="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t>纬度</w:t>
                  </w:r>
                </w:p>
              </w:tc>
            </w:tr>
            <w:tr w14:paraId="74A8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999" w:type="pct"/>
                  <w:tcBorders>
                    <w:left w:val="nil"/>
                    <w:bottom w:val="single" w:color="000000" w:sz="12" w:space="0"/>
                  </w:tcBorders>
                  <w:shd w:val="clear" w:color="auto" w:fill="FFFFFF"/>
                  <w:noWrap w:val="0"/>
                  <w:vAlign w:val="center"/>
                </w:tcPr>
                <w:p w14:paraId="31777066">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厂区生活污水化粪池收集池</w:t>
                  </w:r>
                </w:p>
              </w:tc>
              <w:tc>
                <w:tcPr>
                  <w:tcW w:w="999" w:type="pct"/>
                  <w:tcBorders>
                    <w:bottom w:val="single" w:color="000000" w:sz="12" w:space="0"/>
                  </w:tcBorders>
                  <w:shd w:val="clear" w:color="auto" w:fill="FFFFFF"/>
                  <w:noWrap w:val="0"/>
                  <w:vAlign w:val="center"/>
                </w:tcPr>
                <w:p w14:paraId="54BD63EA">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WS-01</w:t>
                  </w:r>
                </w:p>
              </w:tc>
              <w:tc>
                <w:tcPr>
                  <w:tcW w:w="999" w:type="pct"/>
                  <w:tcBorders>
                    <w:bottom w:val="single" w:color="000000" w:sz="12" w:space="0"/>
                  </w:tcBorders>
                  <w:shd w:val="clear" w:color="auto" w:fill="FFFFFF"/>
                  <w:noWrap w:val="0"/>
                  <w:vAlign w:val="center"/>
                </w:tcPr>
                <w:p w14:paraId="312C1BE1">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生活污水暂存转运点位</w:t>
                  </w:r>
                </w:p>
              </w:tc>
              <w:tc>
                <w:tcPr>
                  <w:tcW w:w="1000" w:type="pct"/>
                  <w:tcBorders>
                    <w:bottom w:val="single" w:color="000000" w:sz="12" w:space="0"/>
                  </w:tcBorders>
                  <w:shd w:val="clear" w:color="auto" w:fill="FFFFFF"/>
                  <w:noWrap w:val="0"/>
                  <w:vAlign w:val="center"/>
                </w:tcPr>
                <w:p w14:paraId="43E9DD25">
                  <w:pPr>
                    <w:pStyle w:val="258"/>
                    <w:spacing w:line="240" w:lineRule="auto"/>
                    <w:ind w:firstLine="0" w:firstLineChars="0"/>
                    <w:jc w:val="cente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87°</w:t>
                  </w: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11</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51.209</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1000" w:type="pct"/>
                  <w:tcBorders>
                    <w:bottom w:val="single" w:color="000000" w:sz="12" w:space="0"/>
                    <w:right w:val="nil"/>
                  </w:tcBorders>
                  <w:shd w:val="clear" w:color="auto" w:fill="FFFFFF"/>
                  <w:noWrap w:val="0"/>
                  <w:vAlign w:val="center"/>
                </w:tcPr>
                <w:p w14:paraId="7281CA3C">
                  <w:pPr>
                    <w:pStyle w:val="258"/>
                    <w:spacing w:line="240" w:lineRule="auto"/>
                    <w:ind w:firstLine="0" w:firstLineChars="0"/>
                    <w:jc w:val="cente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43°</w:t>
                  </w: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59</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18.866</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r>
          </w:tbl>
          <w:p w14:paraId="5E2DBD62">
            <w:pPr>
              <w:pStyle w:val="250"/>
              <w:keepNext w:val="0"/>
              <w:keepLines w:val="0"/>
              <w:pageBreakBefore w:val="0"/>
              <w:kinsoku/>
              <w:wordWrap/>
              <w:overflowPunct/>
              <w:topLinePunct w:val="0"/>
              <w:autoSpaceDE/>
              <w:autoSpaceDN/>
              <w:bidi w:val="0"/>
              <w:spacing w:line="360" w:lineRule="auto"/>
              <w:ind w:left="0" w:leftChars="0" w:right="0" w:firstLine="482"/>
              <w:jc w:val="both"/>
              <w:textAlignment w:val="auto"/>
              <w:rPr>
                <w:rFonts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4.</w:t>
            </w:r>
            <w:r>
              <w:rPr>
                <w:rFonts w:hint="eastAsia" w:ascii="Times New Roman" w:hAnsi="Times New Roman" w:eastAsia="宋体"/>
                <w:color w:val="000000" w:themeColor="text1"/>
                <w:sz w:val="24"/>
                <w:szCs w:val="24"/>
                <w:highlight w:val="none"/>
                <w14:textFill>
                  <w14:solidFill>
                    <w14:schemeClr w14:val="tx1"/>
                  </w14:solidFill>
                </w14:textFill>
              </w:rPr>
              <w:t>监测要求</w:t>
            </w:r>
          </w:p>
          <w:p w14:paraId="1345F768">
            <w:pPr>
              <w:pStyle w:val="200"/>
              <w:keepNext w:val="0"/>
              <w:keepLines w:val="0"/>
              <w:pageBreakBefore w:val="0"/>
              <w:kinsoku/>
              <w:wordWrap/>
              <w:overflowPunct/>
              <w:topLinePunct w:val="0"/>
              <w:autoSpaceDE/>
              <w:autoSpaceDN/>
              <w:bidi w:val="0"/>
              <w:spacing w:line="360" w:lineRule="auto"/>
              <w:ind w:left="0" w:leftChars="0" w:right="0" w:firstLine="480"/>
              <w:jc w:val="both"/>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olor w:val="000000" w:themeColor="text1"/>
                <w:sz w:val="24"/>
                <w:szCs w:val="24"/>
                <w:highlight w:val="none"/>
                <w14:textFill>
                  <w14:solidFill>
                    <w14:schemeClr w14:val="tx1"/>
                  </w14:solidFill>
                </w14:textFill>
              </w:rPr>
              <w:t>根据</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排污单位自行监测技术指南</w:t>
            </w: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宋体"/>
                <w:color w:val="000000" w:themeColor="text1"/>
                <w:sz w:val="24"/>
                <w:szCs w:val="24"/>
                <w:highlight w:val="none"/>
                <w14:textFill>
                  <w14:solidFill>
                    <w14:schemeClr w14:val="tx1"/>
                  </w14:solidFill>
                </w14:textFill>
              </w:rPr>
              <w:t>总则</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color w:val="000000" w:themeColor="text1"/>
                <w:sz w:val="24"/>
                <w:szCs w:val="24"/>
                <w:highlight w:val="none"/>
                <w14:textFill>
                  <w14:solidFill>
                    <w14:schemeClr w14:val="tx1"/>
                  </w14:solidFill>
                </w14:textFill>
              </w:rPr>
              <w:t>HJ 819-2017</w:t>
            </w:r>
            <w:r>
              <w:rPr>
                <w:rFonts w:hint="eastAsia" w:ascii="Times New Roman" w:hAnsi="Times New Roman" w:eastAsia="宋体"/>
                <w:color w:val="000000" w:themeColor="text1"/>
                <w:sz w:val="24"/>
                <w:szCs w:val="24"/>
                <w:highlight w:val="none"/>
                <w:lang w:eastAsia="zh-CN"/>
                <w14:textFill>
                  <w14:solidFill>
                    <w14:schemeClr w14:val="tx1"/>
                  </w14:solidFill>
                </w14:textFill>
              </w:rPr>
              <w:t>）</w:t>
            </w:r>
            <w:r>
              <w:rPr>
                <w:rFonts w:hint="eastAsia" w:ascii="Times New Roman" w:hAnsi="Times New Roman" w:eastAsia="宋体"/>
                <w:b w:val="0"/>
                <w:bCs/>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bidi="ar"/>
                <w14:textFill>
                  <w14:solidFill>
                    <w14:schemeClr w14:val="tx1"/>
                  </w14:solidFill>
                </w14:textFill>
              </w:rPr>
              <w:t>建设单位应按照下表要求定期进行自行监测。</w:t>
            </w:r>
          </w:p>
          <w:p w14:paraId="3CF343C1">
            <w:pPr>
              <w:pStyle w:val="250"/>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center"/>
              <w:textAlignment w:val="auto"/>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hint="eastAsia" w:ascii="Times New Roman" w:hAnsi="Times New Roman" w:eastAsia="宋体"/>
                <w:color w:val="000000" w:themeColor="text1"/>
                <w:sz w:val="21"/>
                <w:szCs w:val="21"/>
                <w:highlight w:val="none"/>
                <w:lang w:eastAsia="zh-CN"/>
                <w14:textFill>
                  <w14:solidFill>
                    <w14:schemeClr w14:val="tx1"/>
                  </w14:solidFill>
                </w14:textFill>
              </w:rPr>
              <w:t>表4-</w:t>
            </w: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7</w:t>
            </w:r>
            <w:r>
              <w:rPr>
                <w:rFonts w:hint="eastAsia" w:ascii="Times New Roman" w:hAnsi="Times New Roman" w:eastAsia="宋体"/>
                <w:color w:val="000000" w:themeColor="text1"/>
                <w:sz w:val="21"/>
                <w:szCs w:val="21"/>
                <w:highlight w:val="none"/>
                <w:lang w:eastAsia="zh-CN"/>
                <w14:textFill>
                  <w14:solidFill>
                    <w14:schemeClr w14:val="tx1"/>
                  </w14:solidFill>
                </w14:textFill>
              </w:rPr>
              <w:t xml:space="preserve">  运营期废水监测计划</w:t>
            </w:r>
          </w:p>
          <w:tbl>
            <w:tblPr>
              <w:tblStyle w:val="42"/>
              <w:tblW w:w="4998" w:type="pct"/>
              <w:jc w:val="center"/>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28" w:type="dxa"/>
                <w:left w:w="28" w:type="dxa"/>
                <w:bottom w:w="28" w:type="dxa"/>
                <w:right w:w="28" w:type="dxa"/>
              </w:tblCellMar>
            </w:tblPr>
            <w:tblGrid>
              <w:gridCol w:w="750"/>
              <w:gridCol w:w="1281"/>
              <w:gridCol w:w="1587"/>
              <w:gridCol w:w="4744"/>
              <w:gridCol w:w="1178"/>
            </w:tblGrid>
            <w:tr w14:paraId="59695B1E">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393" w:type="pct"/>
                  <w:tcBorders>
                    <w:top w:val="single" w:color="000000" w:sz="12" w:space="0"/>
                    <w:left w:val="nil"/>
                    <w:tl2br w:val="nil"/>
                    <w:tr2bl w:val="nil"/>
                  </w:tcBorders>
                  <w:shd w:val="clear" w:color="auto" w:fill="FFFFFF"/>
                  <w:noWrap w:val="0"/>
                  <w:vAlign w:val="center"/>
                </w:tcPr>
                <w:p w14:paraId="56FFF7E9">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jc w:val="center"/>
                    <w:textAlignment w:val="auto"/>
                    <w:rPr>
                      <w:rFonts w:ascii="Times New Roman" w:hAnsi="Times New Roman" w:eastAsia="宋体"/>
                      <w:b w:val="0"/>
                      <w:color w:val="000000" w:themeColor="text1"/>
                      <w:kern w:val="2"/>
                      <w:sz w:val="21"/>
                      <w:szCs w:val="21"/>
                      <w:highlight w:val="none"/>
                      <w14:textFill>
                        <w14:solidFill>
                          <w14:schemeClr w14:val="tx1"/>
                        </w14:solidFill>
                      </w14:textFill>
                    </w:rPr>
                  </w:pPr>
                  <w:r>
                    <w:rPr>
                      <w:rFonts w:ascii="Times New Roman" w:hAnsi="Times New Roman" w:eastAsia="宋体"/>
                      <w:b w:val="0"/>
                      <w:color w:val="000000" w:themeColor="text1"/>
                      <w:kern w:val="2"/>
                      <w:sz w:val="21"/>
                      <w:szCs w:val="21"/>
                      <w:highlight w:val="none"/>
                      <w14:textFill>
                        <w14:solidFill>
                          <w14:schemeClr w14:val="tx1"/>
                        </w14:solidFill>
                      </w14:textFill>
                    </w:rPr>
                    <w:t>序号</w:t>
                  </w:r>
                </w:p>
              </w:tc>
              <w:tc>
                <w:tcPr>
                  <w:tcW w:w="671" w:type="pct"/>
                  <w:tcBorders>
                    <w:top w:val="single" w:color="000000" w:sz="12" w:space="0"/>
                    <w:tl2br w:val="nil"/>
                    <w:tr2bl w:val="nil"/>
                  </w:tcBorders>
                  <w:shd w:val="clear" w:color="auto" w:fill="FFFFFF"/>
                  <w:noWrap w:val="0"/>
                  <w:vAlign w:val="center"/>
                </w:tcPr>
                <w:p w14:paraId="50EEE409">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jc w:val="center"/>
                    <w:textAlignment w:val="auto"/>
                    <w:rPr>
                      <w:rFonts w:ascii="Times New Roman" w:hAnsi="Times New Roman" w:eastAsia="宋体"/>
                      <w:b w:val="0"/>
                      <w:color w:val="000000" w:themeColor="text1"/>
                      <w:kern w:val="2"/>
                      <w:sz w:val="21"/>
                      <w:szCs w:val="21"/>
                      <w:highlight w:val="none"/>
                      <w14:textFill>
                        <w14:solidFill>
                          <w14:schemeClr w14:val="tx1"/>
                        </w14:solidFill>
                      </w14:textFill>
                    </w:rPr>
                  </w:pPr>
                  <w:r>
                    <w:rPr>
                      <w:rFonts w:ascii="Times New Roman" w:hAnsi="Times New Roman" w:eastAsia="宋体"/>
                      <w:b w:val="0"/>
                      <w:color w:val="000000" w:themeColor="text1"/>
                      <w:kern w:val="2"/>
                      <w:sz w:val="21"/>
                      <w:szCs w:val="21"/>
                      <w:highlight w:val="none"/>
                      <w14:textFill>
                        <w14:solidFill>
                          <w14:schemeClr w14:val="tx1"/>
                        </w14:solidFill>
                      </w14:textFill>
                    </w:rPr>
                    <w:t>类别</w:t>
                  </w:r>
                </w:p>
              </w:tc>
              <w:tc>
                <w:tcPr>
                  <w:tcW w:w="831" w:type="pct"/>
                  <w:tcBorders>
                    <w:top w:val="single" w:color="000000" w:sz="12" w:space="0"/>
                    <w:tl2br w:val="nil"/>
                    <w:tr2bl w:val="nil"/>
                  </w:tcBorders>
                  <w:shd w:val="clear" w:color="auto" w:fill="FFFFFF"/>
                  <w:noWrap w:val="0"/>
                  <w:vAlign w:val="center"/>
                </w:tcPr>
                <w:p w14:paraId="6F370E05">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jc w:val="center"/>
                    <w:textAlignment w:val="auto"/>
                    <w:rPr>
                      <w:rFonts w:ascii="Times New Roman" w:hAnsi="Times New Roman" w:eastAsia="宋体"/>
                      <w:b w:val="0"/>
                      <w:color w:val="000000" w:themeColor="text1"/>
                      <w:kern w:val="2"/>
                      <w:sz w:val="21"/>
                      <w:szCs w:val="21"/>
                      <w:highlight w:val="none"/>
                      <w14:textFill>
                        <w14:solidFill>
                          <w14:schemeClr w14:val="tx1"/>
                        </w14:solidFill>
                      </w14:textFill>
                    </w:rPr>
                  </w:pPr>
                  <w:r>
                    <w:rPr>
                      <w:rFonts w:ascii="Times New Roman" w:hAnsi="Times New Roman" w:eastAsia="宋体"/>
                      <w:b w:val="0"/>
                      <w:color w:val="000000" w:themeColor="text1"/>
                      <w:kern w:val="2"/>
                      <w:sz w:val="21"/>
                      <w:szCs w:val="21"/>
                      <w:highlight w:val="none"/>
                      <w14:textFill>
                        <w14:solidFill>
                          <w14:schemeClr w14:val="tx1"/>
                        </w14:solidFill>
                      </w14:textFill>
                    </w:rPr>
                    <w:t>监测点位</w:t>
                  </w:r>
                </w:p>
              </w:tc>
              <w:tc>
                <w:tcPr>
                  <w:tcW w:w="2485" w:type="pct"/>
                  <w:tcBorders>
                    <w:top w:val="single" w:color="000000" w:sz="12" w:space="0"/>
                    <w:tl2br w:val="nil"/>
                    <w:tr2bl w:val="nil"/>
                  </w:tcBorders>
                  <w:shd w:val="clear" w:color="auto" w:fill="FFFFFF"/>
                  <w:noWrap w:val="0"/>
                  <w:vAlign w:val="center"/>
                </w:tcPr>
                <w:p w14:paraId="42A50FEB">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jc w:val="center"/>
                    <w:textAlignment w:val="auto"/>
                    <w:rPr>
                      <w:rFonts w:ascii="Times New Roman" w:hAnsi="Times New Roman" w:eastAsia="宋体"/>
                      <w:b w:val="0"/>
                      <w:color w:val="000000" w:themeColor="text1"/>
                      <w:kern w:val="2"/>
                      <w:sz w:val="21"/>
                      <w:szCs w:val="21"/>
                      <w:highlight w:val="none"/>
                      <w14:textFill>
                        <w14:solidFill>
                          <w14:schemeClr w14:val="tx1"/>
                        </w14:solidFill>
                      </w14:textFill>
                    </w:rPr>
                  </w:pPr>
                  <w:r>
                    <w:rPr>
                      <w:rFonts w:ascii="Times New Roman" w:hAnsi="Times New Roman" w:eastAsia="宋体"/>
                      <w:b w:val="0"/>
                      <w:color w:val="000000" w:themeColor="text1"/>
                      <w:kern w:val="2"/>
                      <w:sz w:val="21"/>
                      <w:szCs w:val="21"/>
                      <w:highlight w:val="none"/>
                      <w14:textFill>
                        <w14:solidFill>
                          <w14:schemeClr w14:val="tx1"/>
                        </w14:solidFill>
                      </w14:textFill>
                    </w:rPr>
                    <w:t>监测因子</w:t>
                  </w:r>
                </w:p>
              </w:tc>
              <w:tc>
                <w:tcPr>
                  <w:tcW w:w="617" w:type="pct"/>
                  <w:tcBorders>
                    <w:top w:val="single" w:color="000000" w:sz="12" w:space="0"/>
                    <w:right w:val="nil"/>
                    <w:tl2br w:val="nil"/>
                    <w:tr2bl w:val="nil"/>
                  </w:tcBorders>
                  <w:shd w:val="clear" w:color="auto" w:fill="FFFFFF"/>
                  <w:noWrap w:val="0"/>
                  <w:vAlign w:val="center"/>
                </w:tcPr>
                <w:p w14:paraId="0D9601FB">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jc w:val="center"/>
                    <w:textAlignment w:val="auto"/>
                    <w:rPr>
                      <w:rFonts w:ascii="Times New Roman" w:hAnsi="Times New Roman" w:eastAsia="宋体"/>
                      <w:b w:val="0"/>
                      <w:color w:val="000000" w:themeColor="text1"/>
                      <w:kern w:val="2"/>
                      <w:sz w:val="21"/>
                      <w:szCs w:val="21"/>
                      <w:highlight w:val="none"/>
                      <w14:textFill>
                        <w14:solidFill>
                          <w14:schemeClr w14:val="tx1"/>
                        </w14:solidFill>
                      </w14:textFill>
                    </w:rPr>
                  </w:pPr>
                  <w:r>
                    <w:rPr>
                      <w:rFonts w:ascii="Times New Roman" w:hAnsi="Times New Roman" w:eastAsia="宋体"/>
                      <w:b w:val="0"/>
                      <w:color w:val="000000" w:themeColor="text1"/>
                      <w:kern w:val="2"/>
                      <w:sz w:val="21"/>
                      <w:szCs w:val="21"/>
                      <w:highlight w:val="none"/>
                      <w14:textFill>
                        <w14:solidFill>
                          <w14:schemeClr w14:val="tx1"/>
                        </w14:solidFill>
                      </w14:textFill>
                    </w:rPr>
                    <w:t>监测频次</w:t>
                  </w:r>
                </w:p>
              </w:tc>
            </w:tr>
            <w:tr w14:paraId="49E97BF8">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393" w:type="pct"/>
                  <w:tcBorders>
                    <w:left w:val="nil"/>
                    <w:bottom w:val="single" w:color="000000" w:sz="12" w:space="0"/>
                    <w:tl2br w:val="nil"/>
                    <w:tr2bl w:val="nil"/>
                  </w:tcBorders>
                  <w:shd w:val="clear" w:color="auto" w:fill="FFFFFF"/>
                  <w:noWrap w:val="0"/>
                  <w:vAlign w:val="center"/>
                </w:tcPr>
                <w:p w14:paraId="55760CC2">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jc w:val="center"/>
                    <w:textAlignment w:val="auto"/>
                    <w:rPr>
                      <w:rFonts w:hint="eastAsia" w:ascii="Times New Roman" w:hAnsi="Times New Roman" w:eastAsia="宋体"/>
                      <w:b w:val="0"/>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b w:val="0"/>
                      <w:color w:val="000000" w:themeColor="text1"/>
                      <w:kern w:val="2"/>
                      <w:sz w:val="21"/>
                      <w:szCs w:val="21"/>
                      <w:highlight w:val="none"/>
                      <w:lang w:val="en-US" w:eastAsia="zh-CN"/>
                      <w14:textFill>
                        <w14:solidFill>
                          <w14:schemeClr w14:val="tx1"/>
                        </w14:solidFill>
                      </w14:textFill>
                    </w:rPr>
                    <w:t>1</w:t>
                  </w:r>
                </w:p>
              </w:tc>
              <w:tc>
                <w:tcPr>
                  <w:tcW w:w="671" w:type="pct"/>
                  <w:tcBorders>
                    <w:bottom w:val="single" w:color="000000" w:sz="12" w:space="0"/>
                    <w:tl2br w:val="nil"/>
                    <w:tr2bl w:val="nil"/>
                  </w:tcBorders>
                  <w:shd w:val="clear" w:color="auto" w:fill="FFFFFF"/>
                  <w:noWrap w:val="0"/>
                  <w:vAlign w:val="center"/>
                </w:tcPr>
                <w:p w14:paraId="5EDBC63F">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生活污水</w:t>
                  </w:r>
                </w:p>
              </w:tc>
              <w:tc>
                <w:tcPr>
                  <w:tcW w:w="831" w:type="pct"/>
                  <w:tcBorders>
                    <w:bottom w:val="single" w:color="000000" w:sz="12" w:space="0"/>
                    <w:tl2br w:val="nil"/>
                    <w:tr2bl w:val="nil"/>
                  </w:tcBorders>
                  <w:shd w:val="clear" w:color="auto" w:fill="FFFFFF"/>
                  <w:noWrap w:val="0"/>
                  <w:vAlign w:val="center"/>
                </w:tcPr>
                <w:p w14:paraId="798D5A1D">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化粪池出口</w:t>
                  </w:r>
                </w:p>
              </w:tc>
              <w:tc>
                <w:tcPr>
                  <w:tcW w:w="2485" w:type="pct"/>
                  <w:tcBorders>
                    <w:bottom w:val="single" w:color="000000" w:sz="12" w:space="0"/>
                    <w:tl2br w:val="nil"/>
                    <w:tr2bl w:val="nil"/>
                  </w:tcBorders>
                  <w:shd w:val="clear" w:color="auto" w:fill="FFFFFF"/>
                  <w:noWrap w:val="0"/>
                  <w:vAlign w:val="center"/>
                </w:tcPr>
                <w:p w14:paraId="3038F31B">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pH、</w:t>
                  </w:r>
                  <w:r>
                    <w:rPr>
                      <w:rFonts w:hint="eastAsia" w:ascii="Times New Roman" w:hAnsi="Times New Roman" w:eastAsia="宋体" w:cs="Times New Roman"/>
                      <w:b w:val="0"/>
                      <w:bCs/>
                      <w:color w:val="000000" w:themeColor="text1"/>
                      <w:sz w:val="21"/>
                      <w:szCs w:val="21"/>
                      <w14:textFill>
                        <w14:solidFill>
                          <w14:schemeClr w14:val="tx1"/>
                        </w14:solidFill>
                      </w14:textFill>
                    </w:rPr>
                    <w:t>COD</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cr、BOD5、SS</w:t>
                  </w:r>
                  <w:r>
                    <w:rPr>
                      <w:rFonts w:hint="eastAsia" w:ascii="Times New Roman" w:hAnsi="Times New Roman" w:eastAsia="宋体" w:cs="Times New Roman"/>
                      <w:b w:val="0"/>
                      <w:bCs/>
                      <w:color w:val="000000" w:themeColor="text1"/>
                      <w:sz w:val="21"/>
                      <w:szCs w:val="21"/>
                      <w14:textFill>
                        <w14:solidFill>
                          <w14:schemeClr w14:val="tx1"/>
                        </w14:solidFill>
                      </w14:textFill>
                    </w:rPr>
                    <w:t>、NH3-N</w:t>
                  </w:r>
                </w:p>
              </w:tc>
              <w:tc>
                <w:tcPr>
                  <w:tcW w:w="617" w:type="pct"/>
                  <w:tcBorders>
                    <w:bottom w:val="single" w:color="000000" w:sz="12" w:space="0"/>
                    <w:right w:val="nil"/>
                    <w:tl2br w:val="nil"/>
                    <w:tr2bl w:val="nil"/>
                  </w:tcBorders>
                  <w:shd w:val="clear" w:color="auto" w:fill="FFFFFF"/>
                  <w:noWrap w:val="0"/>
                  <w:vAlign w:val="center"/>
                </w:tcPr>
                <w:p w14:paraId="2FF361B4">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1年/次</w:t>
                  </w:r>
                </w:p>
              </w:tc>
            </w:tr>
          </w:tbl>
          <w:p w14:paraId="27E4CA95">
            <w:pPr>
              <w:pStyle w:val="249"/>
              <w:spacing w:line="360" w:lineRule="auto"/>
              <w:ind w:left="0" w:leftChars="0" w:firstLine="0" w:firstLineChars="0"/>
              <w:rPr>
                <w:rFonts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lang w:val="en-US" w:eastAsia="zh-CN"/>
                <w14:textFill>
                  <w14:solidFill>
                    <w14:schemeClr w14:val="tx1"/>
                  </w14:solidFill>
                </w14:textFill>
              </w:rPr>
              <w:t>三</w:t>
            </w: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14:textFill>
                  <w14:solidFill>
                    <w14:schemeClr w14:val="tx1"/>
                  </w14:solidFill>
                </w14:textFill>
              </w:rPr>
              <w:t>噪声</w:t>
            </w:r>
          </w:p>
          <w:p w14:paraId="1FE64A75">
            <w:pPr>
              <w:spacing w:line="360" w:lineRule="auto"/>
              <w:ind w:firstLine="482" w:firstLineChars="200"/>
              <w:rPr>
                <w:rFonts w:ascii="Times New Roman" w:hAnsi="Times New Roman" w:eastAsia="宋体" w:cs="宋体"/>
                <w:b/>
                <w:bCs/>
                <w:color w:val="000000" w:themeColor="text1"/>
                <w:sz w:val="24"/>
                <w:szCs w:val="24"/>
                <w:highlight w:val="none"/>
                <w:lang w:eastAsia="zh-CN"/>
                <w14:textFill>
                  <w14:solidFill>
                    <w14:schemeClr w14:val="tx1"/>
                  </w14:solidFill>
                </w14:textFill>
              </w:rPr>
            </w:pPr>
            <w:r>
              <w:rPr>
                <w:rFonts w:hint="eastAsia" w:ascii="Times New Roman" w:hAnsi="Times New Roman" w:eastAsia="宋体" w:cs="宋体"/>
                <w:b/>
                <w:bCs/>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宋体"/>
                <w:b/>
                <w:bCs/>
                <w:color w:val="000000" w:themeColor="text1"/>
                <w:sz w:val="24"/>
                <w:szCs w:val="24"/>
                <w:highlight w:val="none"/>
                <w:lang w:eastAsia="zh-CN"/>
                <w14:textFill>
                  <w14:solidFill>
                    <w14:schemeClr w14:val="tx1"/>
                  </w14:solidFill>
                </w14:textFill>
              </w:rPr>
              <w:t>噪声源强</w:t>
            </w:r>
          </w:p>
          <w:p w14:paraId="7E560244">
            <w:pPr>
              <w:spacing w:line="360" w:lineRule="auto"/>
              <w:ind w:firstLine="480" w:firstLineChars="200"/>
              <w:rPr>
                <w:rFonts w:hint="eastAsia" w:ascii="Times New Roman" w:hAnsi="Times New Roman" w:eastAsia="宋体" w:cs="宋体"/>
                <w:b/>
                <w:bCs/>
                <w:color w:val="000000" w:themeColor="text1"/>
                <w:sz w:val="24"/>
                <w:szCs w:val="24"/>
                <w:highlight w:val="none"/>
                <w:lang w:eastAsia="zh-CN"/>
                <w14:textFill>
                  <w14:solidFill>
                    <w14:schemeClr w14:val="tx1"/>
                  </w14:solidFill>
                </w14:textFill>
              </w:rPr>
            </w:pP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本项目噪声的来源主要为设备运行噪声，</w:t>
            </w:r>
            <w:r>
              <w:rPr>
                <w:rFonts w:hint="eastAsia" w:ascii="Times New Roman" w:hAnsi="Times New Roman" w:eastAsia="宋体" w:cs="宋体"/>
                <w:color w:val="000000" w:themeColor="text1"/>
                <w:sz w:val="24"/>
                <w:szCs w:val="24"/>
                <w:highlight w:val="none"/>
                <w:lang w:val="en-US" w:eastAsia="zh-CN"/>
                <w14:textFill>
                  <w14:solidFill>
                    <w14:schemeClr w14:val="tx1"/>
                  </w14:solidFill>
                </w14:textFill>
              </w:rPr>
              <w:t>具体见下表</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w:t>
            </w:r>
          </w:p>
          <w:p w14:paraId="46F254A1">
            <w:pPr>
              <w:spacing w:line="360" w:lineRule="auto"/>
              <w:jc w:val="center"/>
              <w:rPr>
                <w:rFonts w:hint="eastAsia" w:ascii="Times New Roman" w:hAnsi="Times New Roman" w:eastAsia="宋体"/>
                <w:b/>
                <w:bCs/>
                <w:color w:val="000000" w:themeColor="text1"/>
                <w:sz w:val="21"/>
                <w:szCs w:val="21"/>
                <w:lang w:eastAsia="zh-CN"/>
                <w14:textFill>
                  <w14:solidFill>
                    <w14:schemeClr w14:val="tx1"/>
                  </w14:solidFill>
                </w14:textFill>
              </w:rPr>
            </w:pPr>
            <w:r>
              <w:rPr>
                <w:rFonts w:hint="eastAsia" w:ascii="Times New Roman" w:hAnsi="Times New Roman" w:eastAsia="宋体" w:cs="宋体"/>
                <w:b/>
                <w:bCs/>
                <w:color w:val="000000" w:themeColor="text1"/>
                <w:sz w:val="21"/>
                <w:szCs w:val="21"/>
                <w:lang w:eastAsia="zh-CN"/>
                <w14:textFill>
                  <w14:solidFill>
                    <w14:schemeClr w14:val="tx1"/>
                  </w14:solidFill>
                </w14:textFill>
              </w:rPr>
              <w:t>表4-</w:t>
            </w:r>
            <w:r>
              <w:rPr>
                <w:rFonts w:hint="eastAsia" w:cs="宋体"/>
                <w:b/>
                <w:bCs/>
                <w:color w:val="000000" w:themeColor="text1"/>
                <w:sz w:val="21"/>
                <w:szCs w:val="21"/>
                <w:lang w:val="en-US" w:eastAsia="zh-CN"/>
                <w14:textFill>
                  <w14:solidFill>
                    <w14:schemeClr w14:val="tx1"/>
                  </w14:solidFill>
                </w14:textFill>
              </w:rPr>
              <w:t>8</w:t>
            </w:r>
            <w:r>
              <w:rPr>
                <w:rFonts w:hint="eastAsia" w:ascii="Times New Roman" w:hAnsi="Times New Roman" w:eastAsia="宋体" w:cs="宋体"/>
                <w:b/>
                <w:bCs/>
                <w:color w:val="000000" w:themeColor="text1"/>
                <w:sz w:val="21"/>
                <w:szCs w:val="21"/>
                <w:lang w:eastAsia="zh-CN"/>
                <w14:textFill>
                  <w14:solidFill>
                    <w14:schemeClr w14:val="tx1"/>
                  </w14:solidFill>
                </w14:textFill>
              </w:rPr>
              <w:t xml:space="preserve">  </w:t>
            </w:r>
            <w:r>
              <w:rPr>
                <w:rFonts w:hint="eastAsia" w:ascii="Times New Roman" w:hAnsi="Times New Roman" w:eastAsia="宋体"/>
                <w:b/>
                <w:bCs/>
                <w:color w:val="000000" w:themeColor="text1"/>
                <w:sz w:val="21"/>
                <w:szCs w:val="21"/>
                <w:lang w:eastAsia="zh-CN"/>
                <w14:textFill>
                  <w14:solidFill>
                    <w14:schemeClr w14:val="tx1"/>
                  </w14:solidFill>
                </w14:textFill>
              </w:rPr>
              <w:t>工业企业噪声源强调查清单（室</w:t>
            </w:r>
            <w:r>
              <w:rPr>
                <w:rFonts w:hint="eastAsia" w:ascii="Times New Roman" w:hAnsi="Times New Roman" w:eastAsia="宋体"/>
                <w:b/>
                <w:bCs/>
                <w:color w:val="000000" w:themeColor="text1"/>
                <w:sz w:val="21"/>
                <w:szCs w:val="21"/>
                <w:lang w:val="en-US" w:eastAsia="zh-CN"/>
                <w14:textFill>
                  <w14:solidFill>
                    <w14:schemeClr w14:val="tx1"/>
                  </w14:solidFill>
                </w14:textFill>
              </w:rPr>
              <w:t>外</w:t>
            </w:r>
            <w:r>
              <w:rPr>
                <w:rFonts w:hint="eastAsia" w:ascii="Times New Roman" w:hAnsi="Times New Roman" w:eastAsia="宋体"/>
                <w:b/>
                <w:bCs/>
                <w:color w:val="000000" w:themeColor="text1"/>
                <w:sz w:val="21"/>
                <w:szCs w:val="21"/>
                <w:lang w:eastAsia="zh-CN"/>
                <w14:textFill>
                  <w14:solidFill>
                    <w14:schemeClr w14:val="tx1"/>
                  </w14:solidFill>
                </w14:textFill>
              </w:rPr>
              <w:t>声源）</w:t>
            </w:r>
          </w:p>
          <w:tbl>
            <w:tblPr>
              <w:tblStyle w:val="4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997"/>
              <w:gridCol w:w="1043"/>
              <w:gridCol w:w="1112"/>
              <w:gridCol w:w="1074"/>
              <w:gridCol w:w="1072"/>
              <w:gridCol w:w="1024"/>
              <w:gridCol w:w="1119"/>
              <w:gridCol w:w="1112"/>
            </w:tblGrid>
            <w:tr w14:paraId="1BCB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520" w:type="pct"/>
                  <w:vMerge w:val="restart"/>
                  <w:tcBorders>
                    <w:top w:val="single" w:color="000000" w:sz="12" w:space="0"/>
                    <w:left w:val="nil"/>
                    <w:tl2br w:val="nil"/>
                  </w:tcBorders>
                  <w:shd w:val="clear" w:color="auto" w:fill="FFFFFF"/>
                  <w:noWrap w:val="0"/>
                  <w:vAlign w:val="center"/>
                </w:tcPr>
                <w:p w14:paraId="38F4F0BB">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序号</w:t>
                  </w:r>
                </w:p>
              </w:tc>
              <w:tc>
                <w:tcPr>
                  <w:tcW w:w="522" w:type="pct"/>
                  <w:vMerge w:val="restart"/>
                  <w:tcBorders>
                    <w:top w:val="single" w:color="000000" w:sz="12" w:space="0"/>
                  </w:tcBorders>
                  <w:shd w:val="clear" w:color="auto" w:fill="FFFFFF"/>
                  <w:noWrap w:val="0"/>
                  <w:vAlign w:val="center"/>
                </w:tcPr>
                <w:p w14:paraId="6B8D572C">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声源设备</w:t>
                  </w:r>
                </w:p>
              </w:tc>
              <w:tc>
                <w:tcPr>
                  <w:tcW w:w="546" w:type="pct"/>
                  <w:vMerge w:val="restart"/>
                  <w:tcBorders>
                    <w:top w:val="single" w:color="000000" w:sz="12" w:space="0"/>
                  </w:tcBorders>
                  <w:shd w:val="clear" w:color="auto" w:fill="FFFFFF"/>
                  <w:noWrap w:val="0"/>
                  <w:vAlign w:val="center"/>
                </w:tcPr>
                <w:p w14:paraId="3505C1C3">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数量</w:t>
                  </w:r>
                </w:p>
              </w:tc>
              <w:tc>
                <w:tcPr>
                  <w:tcW w:w="1705" w:type="pct"/>
                  <w:gridSpan w:val="3"/>
                  <w:tcBorders>
                    <w:top w:val="single" w:color="000000" w:sz="12" w:space="0"/>
                  </w:tcBorders>
                  <w:shd w:val="clear" w:color="auto" w:fill="FFFFFF"/>
                  <w:noWrap w:val="0"/>
                  <w:vAlign w:val="center"/>
                </w:tcPr>
                <w:p w14:paraId="3562B488">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空间相对位置/m</w:t>
                  </w:r>
                </w:p>
              </w:tc>
              <w:tc>
                <w:tcPr>
                  <w:tcW w:w="536" w:type="pct"/>
                  <w:vMerge w:val="restart"/>
                  <w:tcBorders>
                    <w:top w:val="single" w:color="000000" w:sz="12" w:space="0"/>
                  </w:tcBorders>
                  <w:shd w:val="clear" w:color="auto" w:fill="FFFFFF"/>
                  <w:noWrap w:val="0"/>
                  <w:vAlign w:val="center"/>
                </w:tcPr>
                <w:p w14:paraId="31D7B9E4">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声功率级dB（A）</w:t>
                  </w:r>
                </w:p>
              </w:tc>
              <w:tc>
                <w:tcPr>
                  <w:tcW w:w="586" w:type="pct"/>
                  <w:vMerge w:val="restart"/>
                  <w:tcBorders>
                    <w:top w:val="single" w:color="000000" w:sz="12" w:space="0"/>
                  </w:tcBorders>
                  <w:shd w:val="clear" w:color="auto" w:fill="FFFFFF"/>
                  <w:noWrap w:val="0"/>
                  <w:vAlign w:val="center"/>
                </w:tcPr>
                <w:p w14:paraId="282D3984">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声源控制措施</w:t>
                  </w:r>
                </w:p>
              </w:tc>
              <w:tc>
                <w:tcPr>
                  <w:tcW w:w="582" w:type="pct"/>
                  <w:vMerge w:val="restart"/>
                  <w:tcBorders>
                    <w:top w:val="single" w:color="000000" w:sz="12" w:space="0"/>
                    <w:right w:val="nil"/>
                  </w:tcBorders>
                  <w:shd w:val="clear" w:color="auto" w:fill="FFFFFF"/>
                  <w:noWrap w:val="0"/>
                  <w:vAlign w:val="center"/>
                </w:tcPr>
                <w:p w14:paraId="6842A996">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运行时段</w:t>
                  </w:r>
                </w:p>
              </w:tc>
            </w:tr>
            <w:tr w14:paraId="5FF5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20" w:type="pct"/>
                  <w:vMerge w:val="continue"/>
                  <w:tcBorders>
                    <w:left w:val="nil"/>
                  </w:tcBorders>
                  <w:shd w:val="clear" w:color="auto" w:fill="FFFFFF"/>
                  <w:noWrap w:val="0"/>
                  <w:vAlign w:val="center"/>
                </w:tcPr>
                <w:p w14:paraId="626FC52C">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p>
              </w:tc>
              <w:tc>
                <w:tcPr>
                  <w:tcW w:w="522" w:type="pct"/>
                  <w:vMerge w:val="continue"/>
                  <w:shd w:val="clear" w:color="auto" w:fill="FFFFFF"/>
                  <w:noWrap w:val="0"/>
                  <w:vAlign w:val="center"/>
                </w:tcPr>
                <w:p w14:paraId="05D58C6C">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p>
              </w:tc>
              <w:tc>
                <w:tcPr>
                  <w:tcW w:w="546" w:type="pct"/>
                  <w:vMerge w:val="continue"/>
                  <w:shd w:val="clear" w:color="auto" w:fill="FFFFFF"/>
                  <w:noWrap w:val="0"/>
                  <w:vAlign w:val="center"/>
                </w:tcPr>
                <w:p w14:paraId="46E1836D">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p>
              </w:tc>
              <w:tc>
                <w:tcPr>
                  <w:tcW w:w="582" w:type="pct"/>
                  <w:shd w:val="clear" w:color="auto" w:fill="FFFFFF"/>
                  <w:noWrap w:val="0"/>
                  <w:vAlign w:val="center"/>
                </w:tcPr>
                <w:p w14:paraId="23435DA8">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X</w:t>
                  </w:r>
                </w:p>
              </w:tc>
              <w:tc>
                <w:tcPr>
                  <w:tcW w:w="562" w:type="pct"/>
                  <w:shd w:val="clear" w:color="auto" w:fill="FFFFFF"/>
                  <w:noWrap w:val="0"/>
                  <w:vAlign w:val="center"/>
                </w:tcPr>
                <w:p w14:paraId="50A2FBD3">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Y</w:t>
                  </w:r>
                </w:p>
              </w:tc>
              <w:tc>
                <w:tcPr>
                  <w:tcW w:w="560" w:type="pct"/>
                  <w:shd w:val="clear" w:color="auto" w:fill="FFFFFF"/>
                  <w:noWrap w:val="0"/>
                  <w:vAlign w:val="center"/>
                </w:tcPr>
                <w:p w14:paraId="1ADF1FD9">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14:textFill>
                        <w14:solidFill>
                          <w14:schemeClr w14:val="tx1"/>
                        </w14:solidFill>
                      </w14:textFill>
                    </w:rPr>
                    <w:t>Z</w:t>
                  </w:r>
                </w:p>
              </w:tc>
              <w:tc>
                <w:tcPr>
                  <w:tcW w:w="536" w:type="pct"/>
                  <w:vMerge w:val="continue"/>
                  <w:shd w:val="clear" w:color="auto" w:fill="FFFFFF"/>
                  <w:noWrap w:val="0"/>
                  <w:vAlign w:val="center"/>
                </w:tcPr>
                <w:p w14:paraId="3A768518">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p>
              </w:tc>
              <w:tc>
                <w:tcPr>
                  <w:tcW w:w="586" w:type="pct"/>
                  <w:vMerge w:val="continue"/>
                  <w:shd w:val="clear" w:color="auto" w:fill="FFFFFF"/>
                  <w:noWrap w:val="0"/>
                  <w:vAlign w:val="center"/>
                </w:tcPr>
                <w:p w14:paraId="385437A1">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p>
              </w:tc>
              <w:tc>
                <w:tcPr>
                  <w:tcW w:w="582" w:type="pct"/>
                  <w:vMerge w:val="continue"/>
                  <w:tcBorders>
                    <w:right w:val="nil"/>
                  </w:tcBorders>
                  <w:shd w:val="clear" w:color="auto" w:fill="FFFFFF"/>
                  <w:noWrap w:val="0"/>
                  <w:vAlign w:val="center"/>
                </w:tcPr>
                <w:p w14:paraId="1C805460">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pPr>
                </w:p>
              </w:tc>
            </w:tr>
            <w:tr w14:paraId="5012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520" w:type="pct"/>
                  <w:tcBorders>
                    <w:left w:val="nil"/>
                  </w:tcBorders>
                  <w:shd w:val="clear" w:color="auto" w:fill="FFFFFF"/>
                  <w:noWrap w:val="0"/>
                  <w:vAlign w:val="center"/>
                </w:tcPr>
                <w:p w14:paraId="6EC07FE7">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1</w:t>
                  </w:r>
                </w:p>
              </w:tc>
              <w:tc>
                <w:tcPr>
                  <w:tcW w:w="522" w:type="pct"/>
                  <w:shd w:val="clear" w:color="auto" w:fill="FFFFFF"/>
                  <w:noWrap w:val="0"/>
                  <w:vAlign w:val="center"/>
                </w:tcPr>
                <w:p w14:paraId="0E2510B1">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压滤机</w:t>
                  </w:r>
                </w:p>
              </w:tc>
              <w:tc>
                <w:tcPr>
                  <w:tcW w:w="546" w:type="pct"/>
                  <w:shd w:val="clear" w:color="auto" w:fill="FFFFFF"/>
                  <w:noWrap w:val="0"/>
                  <w:vAlign w:val="center"/>
                </w:tcPr>
                <w:p w14:paraId="4424D918">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1</w:t>
                  </w:r>
                </w:p>
              </w:tc>
              <w:tc>
                <w:tcPr>
                  <w:tcW w:w="582" w:type="pct"/>
                  <w:shd w:val="clear" w:color="auto" w:fill="FFFFFF"/>
                  <w:noWrap w:val="0"/>
                  <w:vAlign w:val="center"/>
                </w:tcPr>
                <w:p w14:paraId="724863DB">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-86.03</w:t>
                  </w:r>
                </w:p>
              </w:tc>
              <w:tc>
                <w:tcPr>
                  <w:tcW w:w="562" w:type="pct"/>
                  <w:shd w:val="clear" w:color="auto" w:fill="FFFFFF"/>
                  <w:noWrap w:val="0"/>
                  <w:vAlign w:val="center"/>
                </w:tcPr>
                <w:p w14:paraId="7375106D">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33.58</w:t>
                  </w:r>
                </w:p>
              </w:tc>
              <w:tc>
                <w:tcPr>
                  <w:tcW w:w="560" w:type="pct"/>
                  <w:shd w:val="clear" w:color="auto" w:fill="FFFFFF"/>
                  <w:noWrap w:val="0"/>
                  <w:vAlign w:val="center"/>
                </w:tcPr>
                <w:p w14:paraId="1A61378F">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1</w:t>
                  </w:r>
                </w:p>
              </w:tc>
              <w:tc>
                <w:tcPr>
                  <w:tcW w:w="536" w:type="pct"/>
                  <w:shd w:val="clear" w:color="auto" w:fill="FFFFFF"/>
                  <w:noWrap w:val="0"/>
                  <w:vAlign w:val="center"/>
                </w:tcPr>
                <w:p w14:paraId="7BD76BB2">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80.00</w:t>
                  </w:r>
                </w:p>
              </w:tc>
              <w:tc>
                <w:tcPr>
                  <w:tcW w:w="586" w:type="pct"/>
                  <w:vMerge w:val="restart"/>
                  <w:shd w:val="clear" w:color="auto" w:fill="FFFFFF"/>
                  <w:noWrap w:val="0"/>
                  <w:vAlign w:val="center"/>
                </w:tcPr>
                <w:p w14:paraId="5C4757D9">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选用低噪声设备、基础减振、</w:t>
                  </w:r>
                  <w:r>
                    <w:rPr>
                      <w:rFonts w:hint="eastAsia" w:ascii="Times New Roman" w:hAnsi="Times New Roman" w:eastAsia="宋体" w:cs="Times New Roman"/>
                      <w:b w:val="0"/>
                      <w:bCs/>
                      <w:color w:val="000000" w:themeColor="text1"/>
                      <w:sz w:val="21"/>
                      <w:szCs w:val="21"/>
                      <w:lang w:eastAsia="zh-CN"/>
                      <w14:textFill>
                        <w14:solidFill>
                          <w14:schemeClr w14:val="tx1"/>
                        </w14:solidFill>
                      </w14:textFill>
                    </w:rPr>
                    <w:t>加强设备维护</w:t>
                  </w:r>
                </w:p>
              </w:tc>
              <w:tc>
                <w:tcPr>
                  <w:tcW w:w="582" w:type="pct"/>
                  <w:vMerge w:val="restart"/>
                  <w:tcBorders>
                    <w:right w:val="nil"/>
                  </w:tcBorders>
                  <w:shd w:val="clear" w:color="auto" w:fill="FFFFFF"/>
                  <w:noWrap w:val="0"/>
                  <w:vAlign w:val="center"/>
                </w:tcPr>
                <w:p w14:paraId="65D7EA8B">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昼间+夜间</w:t>
                  </w:r>
                </w:p>
              </w:tc>
            </w:tr>
            <w:tr w14:paraId="03A3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20" w:type="pct"/>
                  <w:tcBorders>
                    <w:left w:val="nil"/>
                    <w:bottom w:val="single" w:color="000000" w:sz="12" w:space="0"/>
                  </w:tcBorders>
                  <w:shd w:val="clear" w:color="auto" w:fill="FFFFFF"/>
                  <w:noWrap w:val="0"/>
                  <w:vAlign w:val="center"/>
                </w:tcPr>
                <w:p w14:paraId="76866803">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2</w:t>
                  </w:r>
                </w:p>
              </w:tc>
              <w:tc>
                <w:tcPr>
                  <w:tcW w:w="522" w:type="pct"/>
                  <w:tcBorders>
                    <w:bottom w:val="single" w:color="000000" w:sz="12" w:space="0"/>
                  </w:tcBorders>
                  <w:shd w:val="clear" w:color="auto" w:fill="FFFFFF"/>
                  <w:noWrap w:val="0"/>
                  <w:vAlign w:val="center"/>
                </w:tcPr>
                <w:p w14:paraId="0CC3891F">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风机</w:t>
                  </w:r>
                </w:p>
              </w:tc>
              <w:tc>
                <w:tcPr>
                  <w:tcW w:w="546" w:type="pct"/>
                  <w:tcBorders>
                    <w:bottom w:val="single" w:color="000000" w:sz="12" w:space="0"/>
                  </w:tcBorders>
                  <w:shd w:val="clear" w:color="auto" w:fill="FFFFFF"/>
                  <w:noWrap w:val="0"/>
                  <w:vAlign w:val="center"/>
                </w:tcPr>
                <w:p w14:paraId="02D92E89">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1</w:t>
                  </w:r>
                </w:p>
              </w:tc>
              <w:tc>
                <w:tcPr>
                  <w:tcW w:w="582" w:type="pct"/>
                  <w:tcBorders>
                    <w:bottom w:val="single" w:color="000000" w:sz="12" w:space="0"/>
                  </w:tcBorders>
                  <w:shd w:val="clear" w:color="auto" w:fill="FFFFFF"/>
                  <w:noWrap w:val="0"/>
                  <w:vAlign w:val="center"/>
                </w:tcPr>
                <w:p w14:paraId="0DF25ED7">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-87.57</w:t>
                  </w:r>
                </w:p>
              </w:tc>
              <w:tc>
                <w:tcPr>
                  <w:tcW w:w="562" w:type="pct"/>
                  <w:tcBorders>
                    <w:bottom w:val="single" w:color="000000" w:sz="12" w:space="0"/>
                  </w:tcBorders>
                  <w:shd w:val="clear" w:color="auto" w:fill="FFFFFF"/>
                  <w:noWrap w:val="0"/>
                  <w:vAlign w:val="center"/>
                </w:tcPr>
                <w:p w14:paraId="4F622541">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1.36</w:t>
                  </w:r>
                </w:p>
              </w:tc>
              <w:tc>
                <w:tcPr>
                  <w:tcW w:w="560" w:type="pct"/>
                  <w:tcBorders>
                    <w:bottom w:val="single" w:color="000000" w:sz="12" w:space="0"/>
                  </w:tcBorders>
                  <w:shd w:val="clear" w:color="auto" w:fill="FFFFFF"/>
                  <w:noWrap w:val="0"/>
                  <w:vAlign w:val="center"/>
                </w:tcPr>
                <w:p w14:paraId="2C84FD80">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1</w:t>
                  </w:r>
                </w:p>
              </w:tc>
              <w:tc>
                <w:tcPr>
                  <w:tcW w:w="536" w:type="pct"/>
                  <w:tcBorders>
                    <w:bottom w:val="single" w:color="000000" w:sz="12" w:space="0"/>
                  </w:tcBorders>
                  <w:shd w:val="clear" w:color="auto" w:fill="FFFFFF"/>
                  <w:noWrap w:val="0"/>
                  <w:vAlign w:val="center"/>
                </w:tcPr>
                <w:p w14:paraId="317874AB">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75.00</w:t>
                  </w:r>
                </w:p>
              </w:tc>
              <w:tc>
                <w:tcPr>
                  <w:tcW w:w="586" w:type="pct"/>
                  <w:vMerge w:val="continue"/>
                  <w:tcBorders>
                    <w:bottom w:val="single" w:color="000000" w:sz="12" w:space="0"/>
                  </w:tcBorders>
                  <w:shd w:val="clear" w:color="auto" w:fill="FFFFFF"/>
                  <w:noWrap w:val="0"/>
                  <w:vAlign w:val="center"/>
                </w:tcPr>
                <w:p w14:paraId="12BE5140">
                  <w:pPr>
                    <w:spacing w:line="240" w:lineRule="auto"/>
                    <w:jc w:val="center"/>
                    <w:rPr>
                      <w:rFonts w:hint="eastAsia" w:ascii="Times New Roman" w:hAnsi="Times New Roman" w:eastAsia="宋体" w:cs="宋体"/>
                      <w:b w:val="0"/>
                      <w:bCs w:val="0"/>
                      <w:color w:val="000000" w:themeColor="text1"/>
                      <w:sz w:val="21"/>
                      <w:szCs w:val="21"/>
                      <w:vertAlign w:val="baseline"/>
                      <w:lang w:val="en-US" w:eastAsia="zh-CN"/>
                      <w14:textFill>
                        <w14:solidFill>
                          <w14:schemeClr w14:val="tx1"/>
                        </w14:solidFill>
                      </w14:textFill>
                    </w:rPr>
                  </w:pPr>
                </w:p>
              </w:tc>
              <w:tc>
                <w:tcPr>
                  <w:tcW w:w="582" w:type="pct"/>
                  <w:vMerge w:val="continue"/>
                  <w:tcBorders>
                    <w:bottom w:val="single" w:color="000000" w:sz="12" w:space="0"/>
                    <w:right w:val="nil"/>
                  </w:tcBorders>
                  <w:shd w:val="clear" w:color="auto" w:fill="FFFFFF"/>
                  <w:noWrap w:val="0"/>
                  <w:vAlign w:val="center"/>
                </w:tcPr>
                <w:p w14:paraId="44450C46">
                  <w:pPr>
                    <w:spacing w:line="240" w:lineRule="auto"/>
                    <w:jc w:val="center"/>
                    <w:rPr>
                      <w:rFonts w:hint="eastAsia" w:ascii="Times New Roman" w:hAnsi="Times New Roman" w:eastAsia="宋体" w:cs="宋体"/>
                      <w:b w:val="0"/>
                      <w:bCs w:val="0"/>
                      <w:color w:val="000000" w:themeColor="text1"/>
                      <w:sz w:val="21"/>
                      <w:szCs w:val="21"/>
                      <w:vertAlign w:val="baseline"/>
                      <w:lang w:val="en-US" w:eastAsia="zh-CN"/>
                      <w14:textFill>
                        <w14:solidFill>
                          <w14:schemeClr w14:val="tx1"/>
                        </w14:solidFill>
                      </w14:textFill>
                    </w:rPr>
                  </w:pPr>
                </w:p>
              </w:tc>
            </w:tr>
          </w:tbl>
          <w:p w14:paraId="4A3C05AE">
            <w:pPr>
              <w:spacing w:line="360" w:lineRule="auto"/>
              <w:jc w:val="center"/>
              <w:rPr>
                <w:rFonts w:hint="eastAsia" w:ascii="Times New Roman" w:hAnsi="Times New Roman" w:eastAsia="宋体" w:cs="宋体"/>
                <w:b/>
                <w:bCs/>
                <w:color w:val="000000" w:themeColor="text1"/>
                <w:sz w:val="21"/>
                <w:szCs w:val="21"/>
                <w:lang w:eastAsia="zh-CN"/>
                <w14:textFill>
                  <w14:solidFill>
                    <w14:schemeClr w14:val="tx1"/>
                  </w14:solidFill>
                </w14:textFill>
              </w:rPr>
            </w:pPr>
            <w:r>
              <w:rPr>
                <w:rFonts w:hint="eastAsia" w:ascii="Times New Roman" w:hAnsi="Times New Roman" w:eastAsia="宋体" w:cs="宋体"/>
                <w:b/>
                <w:bCs/>
                <w:color w:val="000000" w:themeColor="text1"/>
                <w:sz w:val="21"/>
                <w:szCs w:val="21"/>
                <w:lang w:eastAsia="zh-CN"/>
                <w14:textFill>
                  <w14:solidFill>
                    <w14:schemeClr w14:val="tx1"/>
                  </w14:solidFill>
                </w14:textFill>
              </w:rPr>
              <w:t>表4-</w:t>
            </w:r>
            <w:r>
              <w:rPr>
                <w:rFonts w:hint="eastAsia" w:cs="宋体"/>
                <w:b/>
                <w:bCs/>
                <w:color w:val="000000" w:themeColor="text1"/>
                <w:sz w:val="21"/>
                <w:szCs w:val="21"/>
                <w:lang w:val="en-US" w:eastAsia="zh-CN"/>
                <w14:textFill>
                  <w14:solidFill>
                    <w14:schemeClr w14:val="tx1"/>
                  </w14:solidFill>
                </w14:textFill>
              </w:rPr>
              <w:t>9</w:t>
            </w:r>
            <w:r>
              <w:rPr>
                <w:rFonts w:hint="eastAsia" w:ascii="Times New Roman" w:hAnsi="Times New Roman" w:eastAsia="宋体" w:cs="宋体"/>
                <w:b/>
                <w:bCs/>
                <w:color w:val="000000" w:themeColor="text1"/>
                <w:sz w:val="21"/>
                <w:szCs w:val="21"/>
                <w:lang w:eastAsia="zh-CN"/>
                <w14:textFill>
                  <w14:solidFill>
                    <w14:schemeClr w14:val="tx1"/>
                  </w14:solidFill>
                </w14:textFill>
              </w:rPr>
              <w:t xml:space="preserve">  工业企业噪声源强调查清单（室内声源）</w:t>
            </w:r>
          </w:p>
          <w:tbl>
            <w:tblPr>
              <w:tblStyle w:val="43"/>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
              <w:gridCol w:w="380"/>
              <w:gridCol w:w="630"/>
              <w:gridCol w:w="576"/>
              <w:gridCol w:w="319"/>
              <w:gridCol w:w="536"/>
              <w:gridCol w:w="670"/>
              <w:gridCol w:w="399"/>
              <w:gridCol w:w="576"/>
              <w:gridCol w:w="576"/>
              <w:gridCol w:w="576"/>
              <w:gridCol w:w="576"/>
              <w:gridCol w:w="380"/>
              <w:gridCol w:w="670"/>
              <w:gridCol w:w="576"/>
              <w:gridCol w:w="576"/>
              <w:gridCol w:w="576"/>
              <w:gridCol w:w="576"/>
            </w:tblGrid>
            <w:tr w14:paraId="71BB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 w:type="pct"/>
                  <w:vMerge w:val="restart"/>
                  <w:tcBorders>
                    <w:top w:val="single" w:color="000000" w:sz="12" w:space="0"/>
                    <w:left w:val="nil"/>
                    <w:tl2br w:val="nil"/>
                  </w:tcBorders>
                  <w:shd w:val="clear" w:color="auto" w:fill="FFFFFF"/>
                  <w:vAlign w:val="center"/>
                </w:tcPr>
                <w:p w14:paraId="2098A774">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型号</w:t>
                  </w:r>
                </w:p>
              </w:tc>
              <w:tc>
                <w:tcPr>
                  <w:tcW w:w="212" w:type="pct"/>
                  <w:vMerge w:val="restart"/>
                  <w:tcBorders>
                    <w:top w:val="single" w:color="000000" w:sz="12" w:space="0"/>
                  </w:tcBorders>
                  <w:shd w:val="clear" w:color="auto" w:fill="FFFFFF"/>
                  <w:vAlign w:val="center"/>
                </w:tcPr>
                <w:p w14:paraId="1E3B40FA">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设备数量</w:t>
                  </w:r>
                </w:p>
              </w:tc>
              <w:tc>
                <w:tcPr>
                  <w:tcW w:w="796" w:type="pct"/>
                  <w:gridSpan w:val="3"/>
                  <w:vMerge w:val="restart"/>
                  <w:tcBorders>
                    <w:top w:val="single" w:color="000000" w:sz="12" w:space="0"/>
                  </w:tcBorders>
                  <w:shd w:val="clear" w:color="auto" w:fill="FFFFFF"/>
                  <w:vAlign w:val="center"/>
                </w:tcPr>
                <w:p w14:paraId="0B7E4230">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空间相对位置/m</w:t>
                  </w:r>
                </w:p>
              </w:tc>
              <w:tc>
                <w:tcPr>
                  <w:tcW w:w="279" w:type="pct"/>
                  <w:vMerge w:val="restart"/>
                  <w:tcBorders>
                    <w:top w:val="single" w:color="000000" w:sz="12" w:space="0"/>
                  </w:tcBorders>
                  <w:shd w:val="clear" w:color="auto" w:fill="FFFFFF"/>
                  <w:vAlign w:val="center"/>
                </w:tcPr>
                <w:p w14:paraId="5FA75A5A">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声源控制措施</w:t>
                  </w:r>
                </w:p>
              </w:tc>
              <w:tc>
                <w:tcPr>
                  <w:tcW w:w="560" w:type="pct"/>
                  <w:gridSpan w:val="2"/>
                  <w:vMerge w:val="restart"/>
                  <w:tcBorders>
                    <w:top w:val="single" w:color="000000" w:sz="12" w:space="0"/>
                  </w:tcBorders>
                  <w:shd w:val="clear" w:color="auto" w:fill="FFFFFF"/>
                  <w:vAlign w:val="center"/>
                </w:tcPr>
                <w:p w14:paraId="37DBE8D4">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声源源强</w:t>
                  </w:r>
                </w:p>
              </w:tc>
              <w:tc>
                <w:tcPr>
                  <w:tcW w:w="1193" w:type="pct"/>
                  <w:gridSpan w:val="4"/>
                  <w:vMerge w:val="restart"/>
                  <w:tcBorders>
                    <w:top w:val="single" w:color="000000" w:sz="12" w:space="0"/>
                  </w:tcBorders>
                  <w:shd w:val="clear" w:color="auto" w:fill="FFFFFF"/>
                  <w:vAlign w:val="center"/>
                </w:tcPr>
                <w:p w14:paraId="18F751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bCs/>
                      <w:i w:val="0"/>
                      <w:iCs w:val="0"/>
                      <w:color w:val="000000" w:themeColor="text1"/>
                      <w:kern w:val="0"/>
                      <w:sz w:val="16"/>
                      <w:szCs w:val="16"/>
                      <w:u w:val="none"/>
                      <w:lang w:val="en-US" w:eastAsia="zh-CN" w:bidi="ar"/>
                      <w14:textFill>
                        <w14:solidFill>
                          <w14:schemeClr w14:val="tx1"/>
                        </w14:solidFill>
                      </w14:textFill>
                    </w:rPr>
                    <w:t>距室内边界距离</w:t>
                  </w:r>
                  <w:r>
                    <w:rPr>
                      <w:rStyle w:val="256"/>
                      <w:rFonts w:ascii="Times New Roman" w:hAnsi="Times New Roman" w:eastAsia="宋体"/>
                      <w:b w:val="0"/>
                      <w:color w:val="000000" w:themeColor="text1"/>
                      <w:sz w:val="16"/>
                      <w:szCs w:val="16"/>
                      <w:lang w:val="en-US" w:eastAsia="zh-CN" w:bidi="ar"/>
                      <w14:textFill>
                        <w14:solidFill>
                          <w14:schemeClr w14:val="tx1"/>
                        </w14:solidFill>
                      </w14:textFill>
                    </w:rPr>
                    <w:t>/m</w:t>
                  </w:r>
                </w:p>
              </w:tc>
              <w:tc>
                <w:tcPr>
                  <w:tcW w:w="212" w:type="pct"/>
                  <w:vMerge w:val="restart"/>
                  <w:tcBorders>
                    <w:top w:val="single" w:color="000000" w:sz="12" w:space="0"/>
                  </w:tcBorders>
                  <w:shd w:val="clear" w:color="auto" w:fill="FFFFFF"/>
                  <w:vAlign w:val="center"/>
                </w:tcPr>
                <w:p w14:paraId="3A0821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bCs/>
                      <w:i w:val="0"/>
                      <w:iCs w:val="0"/>
                      <w:color w:val="000000" w:themeColor="text1"/>
                      <w:kern w:val="0"/>
                      <w:sz w:val="16"/>
                      <w:szCs w:val="16"/>
                      <w:u w:val="none"/>
                      <w:lang w:val="en-US" w:eastAsia="zh-CN" w:bidi="ar"/>
                      <w14:textFill>
                        <w14:solidFill>
                          <w14:schemeClr w14:val="tx1"/>
                        </w14:solidFill>
                      </w14:textFill>
                    </w:rPr>
                    <w:t>运行时段</w:t>
                  </w:r>
                </w:p>
              </w:tc>
              <w:tc>
                <w:tcPr>
                  <w:tcW w:w="331" w:type="pct"/>
                  <w:vMerge w:val="restart"/>
                  <w:tcBorders>
                    <w:top w:val="single" w:color="000000" w:sz="12" w:space="0"/>
                  </w:tcBorders>
                  <w:shd w:val="clear" w:color="auto" w:fill="FFFFFF"/>
                  <w:vAlign w:val="center"/>
                </w:tcPr>
                <w:p w14:paraId="323CBC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bCs/>
                      <w:i w:val="0"/>
                      <w:iCs w:val="0"/>
                      <w:color w:val="000000" w:themeColor="text1"/>
                      <w:kern w:val="0"/>
                      <w:sz w:val="16"/>
                      <w:szCs w:val="16"/>
                      <w:u w:val="none"/>
                      <w:lang w:val="en-US" w:eastAsia="zh-CN" w:bidi="ar"/>
                      <w14:textFill>
                        <w14:solidFill>
                          <w14:schemeClr w14:val="tx1"/>
                        </w14:solidFill>
                      </w14:textFill>
                    </w:rPr>
                    <w:t>建筑物插入损失</w:t>
                  </w:r>
                  <w:r>
                    <w:rPr>
                      <w:rFonts w:ascii="Times New Roman" w:hAnsi="Times New Roman" w:eastAsia="宋体" w:cs="Calibri"/>
                      <w:b w:val="0"/>
                      <w:bCs/>
                      <w:i w:val="0"/>
                      <w:iCs w:val="0"/>
                      <w:color w:val="000000" w:themeColor="text1"/>
                      <w:kern w:val="0"/>
                      <w:sz w:val="16"/>
                      <w:szCs w:val="16"/>
                      <w:u w:val="none"/>
                      <w:lang w:val="en-US" w:eastAsia="zh-CN" w:bidi="ar"/>
                      <w14:textFill>
                        <w14:solidFill>
                          <w14:schemeClr w14:val="tx1"/>
                        </w14:solidFill>
                      </w14:textFill>
                    </w:rPr>
                    <w:t>/dB(A)</w:t>
                  </w:r>
                </w:p>
              </w:tc>
              <w:tc>
                <w:tcPr>
                  <w:tcW w:w="1200" w:type="pct"/>
                  <w:gridSpan w:val="4"/>
                  <w:tcBorders>
                    <w:top w:val="single" w:color="000000" w:sz="12" w:space="0"/>
                    <w:right w:val="nil"/>
                  </w:tcBorders>
                  <w:shd w:val="clear" w:color="auto" w:fill="FFFFFF"/>
                  <w:vAlign w:val="center"/>
                </w:tcPr>
                <w:p w14:paraId="26D935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bCs/>
                      <w:i w:val="0"/>
                      <w:iCs w:val="0"/>
                      <w:color w:val="000000" w:themeColor="text1"/>
                      <w:kern w:val="0"/>
                      <w:sz w:val="16"/>
                      <w:szCs w:val="16"/>
                      <w:u w:val="none"/>
                      <w:lang w:val="en-US" w:eastAsia="zh-CN" w:bidi="ar"/>
                      <w14:textFill>
                        <w14:solidFill>
                          <w14:schemeClr w14:val="tx1"/>
                        </w14:solidFill>
                      </w14:textFill>
                    </w:rPr>
                    <w:t>建筑物外</w:t>
                  </w:r>
                  <w:r>
                    <w:rPr>
                      <w:rFonts w:hint="eastAsia" w:cs="宋体"/>
                      <w:b w:val="0"/>
                      <w:bCs/>
                      <w:i w:val="0"/>
                      <w:iCs w:val="0"/>
                      <w:color w:val="000000" w:themeColor="text1"/>
                      <w:kern w:val="0"/>
                      <w:sz w:val="16"/>
                      <w:szCs w:val="16"/>
                      <w:u w:val="none"/>
                      <w:lang w:val="en-US" w:eastAsia="zh-CN" w:bidi="ar"/>
                      <w14:textFill>
                        <w14:solidFill>
                          <w14:schemeClr w14:val="tx1"/>
                        </w14:solidFill>
                      </w14:textFill>
                    </w:rPr>
                    <w:t>噪声</w:t>
                  </w:r>
                </w:p>
              </w:tc>
            </w:tr>
            <w:tr w14:paraId="3C9A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 w:type="pct"/>
                  <w:vMerge w:val="continue"/>
                  <w:tcBorders>
                    <w:left w:val="nil"/>
                  </w:tcBorders>
                  <w:shd w:val="clear" w:color="auto" w:fill="FFFFFF"/>
                  <w:vAlign w:val="center"/>
                </w:tcPr>
                <w:p w14:paraId="2EA56353">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212" w:type="pct"/>
                  <w:vMerge w:val="continue"/>
                  <w:shd w:val="clear" w:color="auto" w:fill="FFFFFF"/>
                  <w:vAlign w:val="center"/>
                </w:tcPr>
                <w:p w14:paraId="4950A532">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796" w:type="pct"/>
                  <w:gridSpan w:val="3"/>
                  <w:vMerge w:val="continue"/>
                  <w:shd w:val="clear" w:color="auto" w:fill="FFFFFF"/>
                  <w:vAlign w:val="center"/>
                </w:tcPr>
                <w:p w14:paraId="51166052">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279" w:type="pct"/>
                  <w:vMerge w:val="continue"/>
                  <w:shd w:val="clear" w:color="auto" w:fill="FFFFFF"/>
                  <w:vAlign w:val="center"/>
                </w:tcPr>
                <w:p w14:paraId="7558D2A0">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560" w:type="pct"/>
                  <w:gridSpan w:val="2"/>
                  <w:vMerge w:val="continue"/>
                  <w:shd w:val="clear" w:color="auto" w:fill="FFFFFF"/>
                  <w:vAlign w:val="center"/>
                </w:tcPr>
                <w:p w14:paraId="6B6644CC">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1193" w:type="pct"/>
                  <w:gridSpan w:val="4"/>
                  <w:vMerge w:val="continue"/>
                  <w:shd w:val="clear" w:color="auto" w:fill="FFFFFF"/>
                  <w:vAlign w:val="center"/>
                </w:tcPr>
                <w:p w14:paraId="0A64FC1B">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212" w:type="pct"/>
                  <w:vMerge w:val="continue"/>
                  <w:shd w:val="clear" w:color="auto" w:fill="FFFFFF"/>
                  <w:vAlign w:val="center"/>
                </w:tcPr>
                <w:p w14:paraId="6DD162CF">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331" w:type="pct"/>
                  <w:vMerge w:val="continue"/>
                  <w:shd w:val="clear" w:color="auto" w:fill="FFFFFF"/>
                  <w:vAlign w:val="center"/>
                </w:tcPr>
                <w:p w14:paraId="72DD1C6F">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1200" w:type="pct"/>
                  <w:gridSpan w:val="4"/>
                  <w:tcBorders>
                    <w:right w:val="nil"/>
                  </w:tcBorders>
                  <w:shd w:val="clear" w:color="auto" w:fill="FFFFFF"/>
                  <w:vAlign w:val="center"/>
                </w:tcPr>
                <w:p w14:paraId="1DFDCB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bCs/>
                      <w:i w:val="0"/>
                      <w:iCs w:val="0"/>
                      <w:color w:val="000000" w:themeColor="text1"/>
                      <w:kern w:val="0"/>
                      <w:sz w:val="16"/>
                      <w:szCs w:val="16"/>
                      <w:u w:val="none"/>
                      <w:lang w:val="en-US" w:eastAsia="zh-CN" w:bidi="ar"/>
                      <w14:textFill>
                        <w14:solidFill>
                          <w14:schemeClr w14:val="tx1"/>
                        </w14:solidFill>
                      </w14:textFill>
                    </w:rPr>
                    <w:t>声压级</w:t>
                  </w:r>
                  <w:r>
                    <w:rPr>
                      <w:rFonts w:ascii="Times New Roman" w:hAnsi="Times New Roman" w:eastAsia="宋体" w:cs="Calibri"/>
                      <w:b w:val="0"/>
                      <w:bCs/>
                      <w:i w:val="0"/>
                      <w:iCs w:val="0"/>
                      <w:color w:val="000000" w:themeColor="text1"/>
                      <w:kern w:val="0"/>
                      <w:sz w:val="16"/>
                      <w:szCs w:val="16"/>
                      <w:u w:val="none"/>
                      <w:lang w:val="en-US" w:eastAsia="zh-CN" w:bidi="ar"/>
                      <w14:textFill>
                        <w14:solidFill>
                          <w14:schemeClr w14:val="tx1"/>
                        </w14:solidFill>
                      </w14:textFill>
                    </w:rPr>
                    <w:t>/dB(A)</w:t>
                  </w:r>
                </w:p>
              </w:tc>
            </w:tr>
            <w:tr w14:paraId="52CD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 w:type="pct"/>
                  <w:vMerge w:val="continue"/>
                  <w:tcBorders>
                    <w:left w:val="nil"/>
                  </w:tcBorders>
                  <w:shd w:val="clear" w:color="auto" w:fill="FFFFFF"/>
                  <w:vAlign w:val="center"/>
                </w:tcPr>
                <w:p w14:paraId="319DB533">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212" w:type="pct"/>
                  <w:vMerge w:val="continue"/>
                  <w:shd w:val="clear" w:color="auto" w:fill="FFFFFF"/>
                  <w:vAlign w:val="center"/>
                </w:tcPr>
                <w:p w14:paraId="33CDBB5E">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318" w:type="pct"/>
                  <w:shd w:val="clear" w:color="auto" w:fill="FFFFFF"/>
                  <w:vAlign w:val="center"/>
                </w:tcPr>
                <w:p w14:paraId="4D853F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bCs/>
                      <w:i w:val="0"/>
                      <w:iCs w:val="0"/>
                      <w:color w:val="000000" w:themeColor="text1"/>
                      <w:kern w:val="0"/>
                      <w:sz w:val="16"/>
                      <w:szCs w:val="16"/>
                      <w:u w:val="none"/>
                      <w:lang w:val="en-US" w:eastAsia="zh-CN" w:bidi="ar"/>
                      <w14:textFill>
                        <w14:solidFill>
                          <w14:schemeClr w14:val="tx1"/>
                        </w14:solidFill>
                      </w14:textFill>
                    </w:rPr>
                    <w:t>X</w:t>
                  </w:r>
                </w:p>
              </w:tc>
              <w:tc>
                <w:tcPr>
                  <w:tcW w:w="298" w:type="pct"/>
                  <w:shd w:val="clear" w:color="auto" w:fill="FFFFFF"/>
                  <w:vAlign w:val="center"/>
                </w:tcPr>
                <w:p w14:paraId="775C7F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bCs/>
                      <w:i w:val="0"/>
                      <w:iCs w:val="0"/>
                      <w:color w:val="000000" w:themeColor="text1"/>
                      <w:kern w:val="0"/>
                      <w:sz w:val="16"/>
                      <w:szCs w:val="16"/>
                      <w:u w:val="none"/>
                      <w:lang w:val="en-US" w:eastAsia="zh-CN" w:bidi="ar"/>
                      <w14:textFill>
                        <w14:solidFill>
                          <w14:schemeClr w14:val="tx1"/>
                        </w14:solidFill>
                      </w14:textFill>
                    </w:rPr>
                    <w:t>Y</w:t>
                  </w:r>
                </w:p>
              </w:tc>
              <w:tc>
                <w:tcPr>
                  <w:tcW w:w="179" w:type="pct"/>
                  <w:shd w:val="clear" w:color="auto" w:fill="FFFFFF"/>
                  <w:vAlign w:val="center"/>
                </w:tcPr>
                <w:p w14:paraId="0B528B3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bCs/>
                      <w:i w:val="0"/>
                      <w:iCs w:val="0"/>
                      <w:color w:val="000000" w:themeColor="text1"/>
                      <w:kern w:val="0"/>
                      <w:sz w:val="16"/>
                      <w:szCs w:val="16"/>
                      <w:u w:val="none"/>
                      <w:lang w:val="en-US" w:eastAsia="zh-CN" w:bidi="ar"/>
                      <w14:textFill>
                        <w14:solidFill>
                          <w14:schemeClr w14:val="tx1"/>
                        </w14:solidFill>
                      </w14:textFill>
                    </w:rPr>
                    <w:t>Z</w:t>
                  </w:r>
                </w:p>
              </w:tc>
              <w:tc>
                <w:tcPr>
                  <w:tcW w:w="279" w:type="pct"/>
                  <w:vMerge w:val="continue"/>
                  <w:shd w:val="clear" w:color="auto" w:fill="FFFFFF"/>
                  <w:vAlign w:val="center"/>
                </w:tcPr>
                <w:p w14:paraId="175F56F3">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338" w:type="pct"/>
                  <w:shd w:val="clear" w:color="auto" w:fill="FFFFFF"/>
                  <w:vAlign w:val="center"/>
                </w:tcPr>
                <w:p w14:paraId="56F641E3">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声压级/dB(A)</w:t>
                  </w:r>
                </w:p>
              </w:tc>
              <w:tc>
                <w:tcPr>
                  <w:tcW w:w="221" w:type="pct"/>
                  <w:shd w:val="clear" w:color="auto" w:fill="FFFFFF"/>
                  <w:vAlign w:val="center"/>
                </w:tcPr>
                <w:p w14:paraId="07F01DB4">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距声源距离/m</w:t>
                  </w:r>
                </w:p>
              </w:tc>
              <w:tc>
                <w:tcPr>
                  <w:tcW w:w="298" w:type="pct"/>
                  <w:shd w:val="clear" w:color="auto" w:fill="FFFFFF"/>
                  <w:vAlign w:val="center"/>
                </w:tcPr>
                <w:p w14:paraId="7AA63C59">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东</w:t>
                  </w:r>
                </w:p>
              </w:tc>
              <w:tc>
                <w:tcPr>
                  <w:tcW w:w="298" w:type="pct"/>
                  <w:shd w:val="clear" w:color="auto" w:fill="FFFFFF"/>
                  <w:vAlign w:val="center"/>
                </w:tcPr>
                <w:p w14:paraId="22B135CF">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南</w:t>
                  </w:r>
                </w:p>
              </w:tc>
              <w:tc>
                <w:tcPr>
                  <w:tcW w:w="298" w:type="pct"/>
                  <w:shd w:val="clear" w:color="auto" w:fill="FFFFFF"/>
                  <w:vAlign w:val="center"/>
                </w:tcPr>
                <w:p w14:paraId="32C91709">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西</w:t>
                  </w:r>
                </w:p>
              </w:tc>
              <w:tc>
                <w:tcPr>
                  <w:tcW w:w="298" w:type="pct"/>
                  <w:shd w:val="clear" w:color="auto" w:fill="FFFFFF"/>
                  <w:vAlign w:val="center"/>
                </w:tcPr>
                <w:p w14:paraId="78B55A95">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t>北</w:t>
                  </w:r>
                </w:p>
              </w:tc>
              <w:tc>
                <w:tcPr>
                  <w:tcW w:w="212" w:type="pct"/>
                  <w:vMerge w:val="continue"/>
                  <w:shd w:val="clear" w:color="auto" w:fill="FFFFFF"/>
                  <w:vAlign w:val="center"/>
                </w:tcPr>
                <w:p w14:paraId="7CED7001">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331" w:type="pct"/>
                  <w:vMerge w:val="continue"/>
                  <w:shd w:val="clear" w:color="auto" w:fill="FFFFFF"/>
                  <w:vAlign w:val="center"/>
                </w:tcPr>
                <w:p w14:paraId="6E131A90">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p>
              </w:tc>
              <w:tc>
                <w:tcPr>
                  <w:tcW w:w="298" w:type="pct"/>
                  <w:shd w:val="clear" w:color="auto" w:fill="FFFFFF"/>
                  <w:vAlign w:val="center"/>
                </w:tcPr>
                <w:p w14:paraId="5A509A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bCs/>
                      <w:i w:val="0"/>
                      <w:iCs w:val="0"/>
                      <w:color w:val="000000" w:themeColor="text1"/>
                      <w:kern w:val="0"/>
                      <w:sz w:val="16"/>
                      <w:szCs w:val="16"/>
                      <w:u w:val="none"/>
                      <w:lang w:val="en-US" w:eastAsia="zh-CN" w:bidi="ar"/>
                      <w14:textFill>
                        <w14:solidFill>
                          <w14:schemeClr w14:val="tx1"/>
                        </w14:solidFill>
                      </w14:textFill>
                    </w:rPr>
                    <w:t>东</w:t>
                  </w:r>
                </w:p>
              </w:tc>
              <w:tc>
                <w:tcPr>
                  <w:tcW w:w="298" w:type="pct"/>
                  <w:shd w:val="clear" w:color="auto" w:fill="FFFFFF"/>
                  <w:vAlign w:val="center"/>
                </w:tcPr>
                <w:p w14:paraId="0F108E1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b w:val="0"/>
                      <w:color w:val="000000" w:themeColor="text1"/>
                      <w:sz w:val="16"/>
                      <w:szCs w:val="16"/>
                      <w14:textFill>
                        <w14:solidFill>
                          <w14:schemeClr w14:val="tx1"/>
                        </w14:solidFill>
                      </w14:textFill>
                    </w:rPr>
                  </w:pPr>
                  <w:r>
                    <w:rPr>
                      <w:rFonts w:hint="eastAsia" w:ascii="Times New Roman" w:hAnsi="Times New Roman" w:eastAsia="宋体" w:cs="宋体"/>
                      <w:b w:val="0"/>
                      <w:bCs/>
                      <w:i w:val="0"/>
                      <w:iCs w:val="0"/>
                      <w:color w:val="000000" w:themeColor="text1"/>
                      <w:kern w:val="0"/>
                      <w:sz w:val="16"/>
                      <w:szCs w:val="16"/>
                      <w:u w:val="none"/>
                      <w:lang w:val="en-US" w:eastAsia="zh-CN" w:bidi="ar"/>
                      <w14:textFill>
                        <w14:solidFill>
                          <w14:schemeClr w14:val="tx1"/>
                        </w14:solidFill>
                      </w14:textFill>
                    </w:rPr>
                    <w:t>南</w:t>
                  </w:r>
                </w:p>
              </w:tc>
              <w:tc>
                <w:tcPr>
                  <w:tcW w:w="298" w:type="pct"/>
                  <w:shd w:val="clear" w:color="auto" w:fill="FFFFFF"/>
                  <w:vAlign w:val="center"/>
                </w:tcPr>
                <w:p w14:paraId="34CCE5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ascii="Times New Roman" w:hAnsi="Times New Roman" w:eastAsia="宋体"/>
                      <w:b w:val="0"/>
                      <w:color w:val="000000" w:themeColor="text1"/>
                      <w:sz w:val="16"/>
                      <w:szCs w:val="16"/>
                      <w14:textFill>
                        <w14:solidFill>
                          <w14:schemeClr w14:val="tx1"/>
                        </w14:solidFill>
                      </w14:textFill>
                    </w:rPr>
                  </w:pPr>
                  <w:r>
                    <w:rPr>
                      <w:rFonts w:hint="eastAsia" w:ascii="Times New Roman" w:hAnsi="Times New Roman" w:eastAsia="宋体" w:cs="宋体"/>
                      <w:b w:val="0"/>
                      <w:bCs/>
                      <w:i w:val="0"/>
                      <w:iCs w:val="0"/>
                      <w:color w:val="000000" w:themeColor="text1"/>
                      <w:kern w:val="0"/>
                      <w:sz w:val="16"/>
                      <w:szCs w:val="16"/>
                      <w:u w:val="none"/>
                      <w:lang w:val="en-US" w:eastAsia="zh-CN" w:bidi="ar"/>
                      <w14:textFill>
                        <w14:solidFill>
                          <w14:schemeClr w14:val="tx1"/>
                        </w14:solidFill>
                      </w14:textFill>
                    </w:rPr>
                    <w:t>西</w:t>
                  </w:r>
                </w:p>
              </w:tc>
              <w:tc>
                <w:tcPr>
                  <w:tcW w:w="303" w:type="pct"/>
                  <w:tcBorders>
                    <w:right w:val="nil"/>
                  </w:tcBorders>
                  <w:shd w:val="clear" w:color="auto" w:fill="FFFFFF"/>
                  <w:vAlign w:val="center"/>
                </w:tcPr>
                <w:p w14:paraId="355205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bCs/>
                      <w:i w:val="0"/>
                      <w:iCs w:val="0"/>
                      <w:color w:val="000000" w:themeColor="text1"/>
                      <w:kern w:val="0"/>
                      <w:sz w:val="16"/>
                      <w:szCs w:val="16"/>
                      <w:u w:val="none"/>
                      <w:lang w:val="en-US" w:eastAsia="zh-CN" w:bidi="ar"/>
                      <w14:textFill>
                        <w14:solidFill>
                          <w14:schemeClr w14:val="tx1"/>
                        </w14:solidFill>
                      </w14:textFill>
                    </w:rPr>
                    <w:t>北</w:t>
                  </w:r>
                </w:p>
              </w:tc>
            </w:tr>
            <w:tr w14:paraId="1167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 w:type="pct"/>
                  <w:tcBorders>
                    <w:left w:val="nil"/>
                  </w:tcBorders>
                  <w:shd w:val="clear" w:color="auto" w:fill="FFFFFF"/>
                  <w:vAlign w:val="center"/>
                </w:tcPr>
                <w:p w14:paraId="060895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振动筛</w:t>
                  </w:r>
                </w:p>
              </w:tc>
              <w:tc>
                <w:tcPr>
                  <w:tcW w:w="212" w:type="pct"/>
                  <w:shd w:val="clear" w:color="auto" w:fill="FFFFFF"/>
                  <w:vAlign w:val="center"/>
                </w:tcPr>
                <w:p w14:paraId="548FC0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318" w:type="pct"/>
                  <w:shd w:val="clear" w:color="auto" w:fill="FFFFFF"/>
                  <w:vAlign w:val="center"/>
                </w:tcPr>
                <w:p w14:paraId="149330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-68.25</w:t>
                  </w:r>
                </w:p>
              </w:tc>
              <w:tc>
                <w:tcPr>
                  <w:tcW w:w="298" w:type="pct"/>
                  <w:shd w:val="clear" w:color="auto" w:fill="FFFFFF"/>
                  <w:vAlign w:val="center"/>
                </w:tcPr>
                <w:p w14:paraId="664BFE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11.21</w:t>
                  </w:r>
                </w:p>
              </w:tc>
              <w:tc>
                <w:tcPr>
                  <w:tcW w:w="179" w:type="pct"/>
                  <w:shd w:val="clear" w:color="auto" w:fill="FFFFFF"/>
                  <w:vAlign w:val="center"/>
                </w:tcPr>
                <w:p w14:paraId="757C8A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279" w:type="pct"/>
                  <w:shd w:val="clear" w:color="auto" w:fill="FFFFFF"/>
                  <w:vAlign w:val="center"/>
                </w:tcPr>
                <w:p w14:paraId="635A72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距离衰减、减震措施</w:t>
                  </w:r>
                </w:p>
              </w:tc>
              <w:tc>
                <w:tcPr>
                  <w:tcW w:w="338" w:type="pct"/>
                  <w:shd w:val="clear" w:color="auto" w:fill="FFFFFF"/>
                  <w:vAlign w:val="center"/>
                </w:tcPr>
                <w:p w14:paraId="1AB4C0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85.00</w:t>
                  </w:r>
                </w:p>
              </w:tc>
              <w:tc>
                <w:tcPr>
                  <w:tcW w:w="221" w:type="pct"/>
                  <w:shd w:val="clear" w:color="auto" w:fill="FFFFFF"/>
                  <w:vAlign w:val="center"/>
                </w:tcPr>
                <w:p w14:paraId="576182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298" w:type="pct"/>
                  <w:shd w:val="clear" w:color="auto" w:fill="FFFFFF"/>
                  <w:vAlign w:val="center"/>
                </w:tcPr>
                <w:p w14:paraId="5C77FF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10.09</w:t>
                  </w:r>
                </w:p>
              </w:tc>
              <w:tc>
                <w:tcPr>
                  <w:tcW w:w="298" w:type="pct"/>
                  <w:shd w:val="clear" w:color="auto" w:fill="FFFFFF"/>
                  <w:vAlign w:val="center"/>
                </w:tcPr>
                <w:p w14:paraId="338544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10.01</w:t>
                  </w:r>
                </w:p>
              </w:tc>
              <w:tc>
                <w:tcPr>
                  <w:tcW w:w="298" w:type="pct"/>
                  <w:shd w:val="clear" w:color="auto" w:fill="FFFFFF"/>
                  <w:vAlign w:val="center"/>
                </w:tcPr>
                <w:p w14:paraId="14E267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9.41</w:t>
                  </w:r>
                </w:p>
              </w:tc>
              <w:tc>
                <w:tcPr>
                  <w:tcW w:w="298" w:type="pct"/>
                  <w:shd w:val="clear" w:color="auto" w:fill="FFFFFF"/>
                  <w:vAlign w:val="center"/>
                </w:tcPr>
                <w:p w14:paraId="7FF653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12.34</w:t>
                  </w:r>
                </w:p>
              </w:tc>
              <w:tc>
                <w:tcPr>
                  <w:tcW w:w="212" w:type="pct"/>
                  <w:shd w:val="clear" w:color="auto" w:fill="FFFFFF"/>
                  <w:vAlign w:val="center"/>
                </w:tcPr>
                <w:p w14:paraId="26F7EEC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昼间</w:t>
                  </w:r>
                  <w:r>
                    <w:rPr>
                      <w:rFonts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w:t>
                  </w:r>
                  <w:r>
                    <w:rPr>
                      <w:rStyle w:val="257"/>
                      <w:rFonts w:ascii="Times New Roman" w:hAnsi="Times New Roman" w:eastAsia="宋体"/>
                      <w:b w:val="0"/>
                      <w:color w:val="000000" w:themeColor="text1"/>
                      <w:sz w:val="16"/>
                      <w:szCs w:val="16"/>
                      <w:lang w:val="en-US" w:eastAsia="zh-CN" w:bidi="ar"/>
                      <w14:textFill>
                        <w14:solidFill>
                          <w14:schemeClr w14:val="tx1"/>
                        </w14:solidFill>
                      </w14:textFill>
                    </w:rPr>
                    <w:t>夜间</w:t>
                  </w:r>
                </w:p>
              </w:tc>
              <w:tc>
                <w:tcPr>
                  <w:tcW w:w="331" w:type="pct"/>
                  <w:shd w:val="clear" w:color="auto" w:fill="FFFFFF"/>
                  <w:vAlign w:val="center"/>
                </w:tcPr>
                <w:p w14:paraId="0F3740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20</w:t>
                  </w:r>
                </w:p>
              </w:tc>
              <w:tc>
                <w:tcPr>
                  <w:tcW w:w="298" w:type="pct"/>
                  <w:shd w:val="clear" w:color="auto" w:fill="FFFFFF"/>
                  <w:vAlign w:val="center"/>
                </w:tcPr>
                <w:p w14:paraId="327805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38.10</w:t>
                  </w:r>
                </w:p>
              </w:tc>
              <w:tc>
                <w:tcPr>
                  <w:tcW w:w="298" w:type="pct"/>
                  <w:shd w:val="clear" w:color="auto" w:fill="FFFFFF"/>
                  <w:vAlign w:val="center"/>
                </w:tcPr>
                <w:p w14:paraId="1422B3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38.16</w:t>
                  </w:r>
                </w:p>
              </w:tc>
              <w:tc>
                <w:tcPr>
                  <w:tcW w:w="298" w:type="pct"/>
                  <w:shd w:val="clear" w:color="auto" w:fill="FFFFFF"/>
                  <w:vAlign w:val="center"/>
                </w:tcPr>
                <w:p w14:paraId="2973232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38.65</w:t>
                  </w:r>
                </w:p>
              </w:tc>
              <w:tc>
                <w:tcPr>
                  <w:tcW w:w="303" w:type="pct"/>
                  <w:tcBorders>
                    <w:right w:val="nil"/>
                  </w:tcBorders>
                  <w:shd w:val="clear" w:color="auto" w:fill="FFFFFF"/>
                  <w:vAlign w:val="center"/>
                </w:tcPr>
                <w:p w14:paraId="19614C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36.50</w:t>
                  </w:r>
                </w:p>
              </w:tc>
            </w:tr>
            <w:tr w14:paraId="4CFC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 w:type="pct"/>
                  <w:tcBorders>
                    <w:left w:val="nil"/>
                  </w:tcBorders>
                  <w:shd w:val="clear" w:color="auto" w:fill="FFFFFF"/>
                  <w:vAlign w:val="center"/>
                </w:tcPr>
                <w:p w14:paraId="7C2DABA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滚筒筛</w:t>
                  </w:r>
                </w:p>
              </w:tc>
              <w:tc>
                <w:tcPr>
                  <w:tcW w:w="212" w:type="pct"/>
                  <w:shd w:val="clear" w:color="auto" w:fill="FFFFFF"/>
                  <w:vAlign w:val="center"/>
                </w:tcPr>
                <w:p w14:paraId="79A0B4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318" w:type="pct"/>
                  <w:shd w:val="clear" w:color="auto" w:fill="FFFFFF"/>
                  <w:vAlign w:val="center"/>
                </w:tcPr>
                <w:p w14:paraId="37E1F0A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-50.44</w:t>
                  </w:r>
                </w:p>
              </w:tc>
              <w:tc>
                <w:tcPr>
                  <w:tcW w:w="298" w:type="pct"/>
                  <w:shd w:val="clear" w:color="auto" w:fill="FFFFFF"/>
                  <w:vAlign w:val="center"/>
                </w:tcPr>
                <w:p w14:paraId="7969E0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32.36</w:t>
                  </w:r>
                </w:p>
              </w:tc>
              <w:tc>
                <w:tcPr>
                  <w:tcW w:w="179" w:type="pct"/>
                  <w:shd w:val="clear" w:color="auto" w:fill="FFFFFF"/>
                  <w:vAlign w:val="center"/>
                </w:tcPr>
                <w:p w14:paraId="227285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279" w:type="pct"/>
                  <w:shd w:val="clear" w:color="auto" w:fill="FFFFFF"/>
                  <w:vAlign w:val="center"/>
                </w:tcPr>
                <w:p w14:paraId="6A4631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距离衰减、减震措施</w:t>
                  </w:r>
                </w:p>
              </w:tc>
              <w:tc>
                <w:tcPr>
                  <w:tcW w:w="338" w:type="pct"/>
                  <w:shd w:val="clear" w:color="auto" w:fill="FFFFFF"/>
                  <w:vAlign w:val="center"/>
                </w:tcPr>
                <w:p w14:paraId="2CC156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85.00</w:t>
                  </w:r>
                </w:p>
              </w:tc>
              <w:tc>
                <w:tcPr>
                  <w:tcW w:w="221" w:type="pct"/>
                  <w:shd w:val="clear" w:color="auto" w:fill="FFFFFF"/>
                  <w:vAlign w:val="center"/>
                </w:tcPr>
                <w:p w14:paraId="4826E4B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298" w:type="pct"/>
                  <w:shd w:val="clear" w:color="auto" w:fill="FFFFFF"/>
                  <w:vAlign w:val="center"/>
                </w:tcPr>
                <w:p w14:paraId="66ED143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15.42</w:t>
                  </w:r>
                </w:p>
              </w:tc>
              <w:tc>
                <w:tcPr>
                  <w:tcW w:w="298" w:type="pct"/>
                  <w:shd w:val="clear" w:color="auto" w:fill="FFFFFF"/>
                  <w:vAlign w:val="center"/>
                </w:tcPr>
                <w:p w14:paraId="797A97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15.70</w:t>
                  </w:r>
                </w:p>
              </w:tc>
              <w:tc>
                <w:tcPr>
                  <w:tcW w:w="298" w:type="pct"/>
                  <w:shd w:val="clear" w:color="auto" w:fill="FFFFFF"/>
                  <w:vAlign w:val="center"/>
                </w:tcPr>
                <w:p w14:paraId="199F74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7.91</w:t>
                  </w:r>
                </w:p>
              </w:tc>
              <w:tc>
                <w:tcPr>
                  <w:tcW w:w="298" w:type="pct"/>
                  <w:shd w:val="clear" w:color="auto" w:fill="FFFFFF"/>
                  <w:vAlign w:val="center"/>
                </w:tcPr>
                <w:p w14:paraId="0D0E8D4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13.35</w:t>
                  </w:r>
                </w:p>
              </w:tc>
              <w:tc>
                <w:tcPr>
                  <w:tcW w:w="212" w:type="pct"/>
                  <w:shd w:val="clear" w:color="auto" w:fill="FFFFFF"/>
                  <w:vAlign w:val="center"/>
                </w:tcPr>
                <w:p w14:paraId="4AE65E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昼间</w:t>
                  </w:r>
                  <w:r>
                    <w:rPr>
                      <w:rFonts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w:t>
                  </w:r>
                  <w:r>
                    <w:rPr>
                      <w:rStyle w:val="257"/>
                      <w:rFonts w:ascii="Times New Roman" w:hAnsi="Times New Roman" w:eastAsia="宋体"/>
                      <w:b w:val="0"/>
                      <w:color w:val="000000" w:themeColor="text1"/>
                      <w:sz w:val="16"/>
                      <w:szCs w:val="16"/>
                      <w:lang w:val="en-US" w:eastAsia="zh-CN" w:bidi="ar"/>
                      <w14:textFill>
                        <w14:solidFill>
                          <w14:schemeClr w14:val="tx1"/>
                        </w14:solidFill>
                      </w14:textFill>
                    </w:rPr>
                    <w:t>夜间</w:t>
                  </w:r>
                </w:p>
              </w:tc>
              <w:tc>
                <w:tcPr>
                  <w:tcW w:w="331" w:type="pct"/>
                  <w:shd w:val="clear" w:color="auto" w:fill="FFFFFF"/>
                  <w:vAlign w:val="center"/>
                </w:tcPr>
                <w:p w14:paraId="4C77D1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20</w:t>
                  </w:r>
                </w:p>
              </w:tc>
              <w:tc>
                <w:tcPr>
                  <w:tcW w:w="298" w:type="pct"/>
                  <w:shd w:val="clear" w:color="auto" w:fill="FFFFFF"/>
                  <w:vAlign w:val="center"/>
                </w:tcPr>
                <w:p w14:paraId="25024AB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34.69</w:t>
                  </w:r>
                </w:p>
              </w:tc>
              <w:tc>
                <w:tcPr>
                  <w:tcW w:w="298" w:type="pct"/>
                  <w:shd w:val="clear" w:color="auto" w:fill="FFFFFF"/>
                  <w:vAlign w:val="center"/>
                </w:tcPr>
                <w:p w14:paraId="1FBBD4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34.54</w:t>
                  </w:r>
                </w:p>
              </w:tc>
              <w:tc>
                <w:tcPr>
                  <w:tcW w:w="298" w:type="pct"/>
                  <w:shd w:val="clear" w:color="auto" w:fill="FFFFFF"/>
                  <w:vAlign w:val="center"/>
                </w:tcPr>
                <w:p w14:paraId="76129B0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40.01</w:t>
                  </w:r>
                </w:p>
              </w:tc>
              <w:tc>
                <w:tcPr>
                  <w:tcW w:w="303" w:type="pct"/>
                  <w:tcBorders>
                    <w:right w:val="nil"/>
                  </w:tcBorders>
                  <w:shd w:val="clear" w:color="auto" w:fill="FFFFFF"/>
                  <w:vAlign w:val="center"/>
                </w:tcPr>
                <w:p w14:paraId="3B7F416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35.86</w:t>
                  </w:r>
                </w:p>
              </w:tc>
            </w:tr>
            <w:tr w14:paraId="7BDA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 w:type="pct"/>
                  <w:tcBorders>
                    <w:left w:val="nil"/>
                  </w:tcBorders>
                  <w:shd w:val="clear" w:color="auto" w:fill="FFFFFF"/>
                  <w:vAlign w:val="center"/>
                </w:tcPr>
                <w:p w14:paraId="59E87B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绞龙</w:t>
                  </w:r>
                </w:p>
              </w:tc>
              <w:tc>
                <w:tcPr>
                  <w:tcW w:w="212" w:type="pct"/>
                  <w:shd w:val="clear" w:color="auto" w:fill="FFFFFF"/>
                  <w:vAlign w:val="center"/>
                </w:tcPr>
                <w:p w14:paraId="4E31C1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318" w:type="pct"/>
                  <w:shd w:val="clear" w:color="auto" w:fill="FFFFFF"/>
                  <w:vAlign w:val="center"/>
                </w:tcPr>
                <w:p w14:paraId="59E4E5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-44.3</w:t>
                  </w:r>
                </w:p>
              </w:tc>
              <w:tc>
                <w:tcPr>
                  <w:tcW w:w="298" w:type="pct"/>
                  <w:shd w:val="clear" w:color="auto" w:fill="FFFFFF"/>
                  <w:vAlign w:val="center"/>
                </w:tcPr>
                <w:p w14:paraId="6B8BA9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31.74</w:t>
                  </w:r>
                </w:p>
              </w:tc>
              <w:tc>
                <w:tcPr>
                  <w:tcW w:w="179" w:type="pct"/>
                  <w:shd w:val="clear" w:color="auto" w:fill="FFFFFF"/>
                  <w:vAlign w:val="center"/>
                </w:tcPr>
                <w:p w14:paraId="5ED91A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279" w:type="pct"/>
                  <w:shd w:val="clear" w:color="auto" w:fill="FFFFFF"/>
                  <w:vAlign w:val="center"/>
                </w:tcPr>
                <w:p w14:paraId="750F755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距离衰减、减震措施</w:t>
                  </w:r>
                </w:p>
              </w:tc>
              <w:tc>
                <w:tcPr>
                  <w:tcW w:w="338" w:type="pct"/>
                  <w:shd w:val="clear" w:color="auto" w:fill="FFFFFF"/>
                  <w:vAlign w:val="center"/>
                </w:tcPr>
                <w:p w14:paraId="1CDFAC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80.00</w:t>
                  </w:r>
                </w:p>
              </w:tc>
              <w:tc>
                <w:tcPr>
                  <w:tcW w:w="221" w:type="pct"/>
                  <w:shd w:val="clear" w:color="auto" w:fill="FFFFFF"/>
                  <w:vAlign w:val="center"/>
                </w:tcPr>
                <w:p w14:paraId="185A55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298" w:type="pct"/>
                  <w:shd w:val="clear" w:color="auto" w:fill="FFFFFF"/>
                  <w:vAlign w:val="center"/>
                </w:tcPr>
                <w:p w14:paraId="7016F1A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9.25</w:t>
                  </w:r>
                </w:p>
              </w:tc>
              <w:tc>
                <w:tcPr>
                  <w:tcW w:w="298" w:type="pct"/>
                  <w:shd w:val="clear" w:color="auto" w:fill="FFFFFF"/>
                  <w:vAlign w:val="center"/>
                </w:tcPr>
                <w:p w14:paraId="25074A0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16.21</w:t>
                  </w:r>
                </w:p>
              </w:tc>
              <w:tc>
                <w:tcPr>
                  <w:tcW w:w="298" w:type="pct"/>
                  <w:shd w:val="clear" w:color="auto" w:fill="FFFFFF"/>
                  <w:vAlign w:val="center"/>
                </w:tcPr>
                <w:p w14:paraId="3D4A2B1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13.95</w:t>
                  </w:r>
                </w:p>
              </w:tc>
              <w:tc>
                <w:tcPr>
                  <w:tcW w:w="298" w:type="pct"/>
                  <w:shd w:val="clear" w:color="auto" w:fill="FFFFFF"/>
                  <w:vAlign w:val="center"/>
                </w:tcPr>
                <w:p w14:paraId="3EBA41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14.83</w:t>
                  </w:r>
                </w:p>
              </w:tc>
              <w:tc>
                <w:tcPr>
                  <w:tcW w:w="212" w:type="pct"/>
                  <w:shd w:val="clear" w:color="auto" w:fill="FFFFFF"/>
                  <w:vAlign w:val="center"/>
                </w:tcPr>
                <w:p w14:paraId="2B4068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昼间</w:t>
                  </w:r>
                  <w:r>
                    <w:rPr>
                      <w:rFonts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w:t>
                  </w:r>
                  <w:r>
                    <w:rPr>
                      <w:rStyle w:val="257"/>
                      <w:rFonts w:ascii="Times New Roman" w:hAnsi="Times New Roman" w:eastAsia="宋体"/>
                      <w:b w:val="0"/>
                      <w:color w:val="000000" w:themeColor="text1"/>
                      <w:sz w:val="16"/>
                      <w:szCs w:val="16"/>
                      <w:lang w:val="en-US" w:eastAsia="zh-CN" w:bidi="ar"/>
                      <w14:textFill>
                        <w14:solidFill>
                          <w14:schemeClr w14:val="tx1"/>
                        </w14:solidFill>
                      </w14:textFill>
                    </w:rPr>
                    <w:t>夜间</w:t>
                  </w:r>
                </w:p>
              </w:tc>
              <w:tc>
                <w:tcPr>
                  <w:tcW w:w="331" w:type="pct"/>
                  <w:shd w:val="clear" w:color="auto" w:fill="FFFFFF"/>
                  <w:vAlign w:val="center"/>
                </w:tcPr>
                <w:p w14:paraId="08C335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20</w:t>
                  </w:r>
                </w:p>
              </w:tc>
              <w:tc>
                <w:tcPr>
                  <w:tcW w:w="298" w:type="pct"/>
                  <w:shd w:val="clear" w:color="auto" w:fill="FFFFFF"/>
                  <w:vAlign w:val="center"/>
                </w:tcPr>
                <w:p w14:paraId="75E184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33.79</w:t>
                  </w:r>
                </w:p>
              </w:tc>
              <w:tc>
                <w:tcPr>
                  <w:tcW w:w="298" w:type="pct"/>
                  <w:shd w:val="clear" w:color="auto" w:fill="FFFFFF"/>
                  <w:vAlign w:val="center"/>
                </w:tcPr>
                <w:p w14:paraId="7238DB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29.29</w:t>
                  </w:r>
                </w:p>
              </w:tc>
              <w:tc>
                <w:tcPr>
                  <w:tcW w:w="298" w:type="pct"/>
                  <w:shd w:val="clear" w:color="auto" w:fill="FFFFFF"/>
                  <w:vAlign w:val="center"/>
                </w:tcPr>
                <w:p w14:paraId="25B78B3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30.50</w:t>
                  </w:r>
                </w:p>
              </w:tc>
              <w:tc>
                <w:tcPr>
                  <w:tcW w:w="303" w:type="pct"/>
                  <w:tcBorders>
                    <w:right w:val="nil"/>
                  </w:tcBorders>
                  <w:shd w:val="clear" w:color="auto" w:fill="FFFFFF"/>
                  <w:vAlign w:val="center"/>
                </w:tcPr>
                <w:p w14:paraId="4D4078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30.01</w:t>
                  </w:r>
                </w:p>
              </w:tc>
            </w:tr>
            <w:tr w14:paraId="653D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 w:type="pct"/>
                  <w:tcBorders>
                    <w:left w:val="nil"/>
                    <w:bottom w:val="single" w:color="000000" w:sz="12" w:space="0"/>
                  </w:tcBorders>
                  <w:shd w:val="clear" w:color="auto" w:fill="FFFFFF"/>
                  <w:vAlign w:val="center"/>
                </w:tcPr>
                <w:p w14:paraId="5E5FE7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捞沙机</w:t>
                  </w:r>
                </w:p>
              </w:tc>
              <w:tc>
                <w:tcPr>
                  <w:tcW w:w="212" w:type="pct"/>
                  <w:tcBorders>
                    <w:bottom w:val="single" w:color="000000" w:sz="12" w:space="0"/>
                  </w:tcBorders>
                  <w:shd w:val="clear" w:color="auto" w:fill="FFFFFF"/>
                  <w:vAlign w:val="center"/>
                </w:tcPr>
                <w:p w14:paraId="46DEF6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318" w:type="pct"/>
                  <w:tcBorders>
                    <w:bottom w:val="single" w:color="000000" w:sz="12" w:space="0"/>
                  </w:tcBorders>
                  <w:shd w:val="clear" w:color="auto" w:fill="FFFFFF"/>
                  <w:vAlign w:val="center"/>
                </w:tcPr>
                <w:p w14:paraId="1E955D8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-46.14</w:t>
                  </w:r>
                </w:p>
              </w:tc>
              <w:tc>
                <w:tcPr>
                  <w:tcW w:w="298" w:type="pct"/>
                  <w:tcBorders>
                    <w:bottom w:val="single" w:color="000000" w:sz="12" w:space="0"/>
                  </w:tcBorders>
                  <w:shd w:val="clear" w:color="auto" w:fill="FFFFFF"/>
                  <w:vAlign w:val="center"/>
                </w:tcPr>
                <w:p w14:paraId="21954E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28.37</w:t>
                  </w:r>
                </w:p>
              </w:tc>
              <w:tc>
                <w:tcPr>
                  <w:tcW w:w="179" w:type="pct"/>
                  <w:tcBorders>
                    <w:bottom w:val="single" w:color="000000" w:sz="12" w:space="0"/>
                  </w:tcBorders>
                  <w:shd w:val="clear" w:color="auto" w:fill="FFFFFF"/>
                  <w:vAlign w:val="center"/>
                </w:tcPr>
                <w:p w14:paraId="47847E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279" w:type="pct"/>
                  <w:tcBorders>
                    <w:bottom w:val="single" w:color="000000" w:sz="12" w:space="0"/>
                  </w:tcBorders>
                  <w:shd w:val="clear" w:color="auto" w:fill="FFFFFF"/>
                  <w:vAlign w:val="center"/>
                </w:tcPr>
                <w:p w14:paraId="142978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距离衰减、减震措施</w:t>
                  </w:r>
                </w:p>
              </w:tc>
              <w:tc>
                <w:tcPr>
                  <w:tcW w:w="338" w:type="pct"/>
                  <w:tcBorders>
                    <w:bottom w:val="single" w:color="000000" w:sz="12" w:space="0"/>
                  </w:tcBorders>
                  <w:shd w:val="clear" w:color="auto" w:fill="FFFFFF"/>
                  <w:vAlign w:val="center"/>
                </w:tcPr>
                <w:p w14:paraId="618994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80.00</w:t>
                  </w:r>
                </w:p>
              </w:tc>
              <w:tc>
                <w:tcPr>
                  <w:tcW w:w="221" w:type="pct"/>
                  <w:tcBorders>
                    <w:bottom w:val="single" w:color="000000" w:sz="12" w:space="0"/>
                  </w:tcBorders>
                  <w:shd w:val="clear" w:color="auto" w:fill="FFFFFF"/>
                  <w:vAlign w:val="center"/>
                </w:tcPr>
                <w:p w14:paraId="4F75DA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w:t>
                  </w:r>
                </w:p>
              </w:tc>
              <w:tc>
                <w:tcPr>
                  <w:tcW w:w="298" w:type="pct"/>
                  <w:tcBorders>
                    <w:bottom w:val="single" w:color="000000" w:sz="12" w:space="0"/>
                  </w:tcBorders>
                  <w:shd w:val="clear" w:color="auto" w:fill="FFFFFF"/>
                  <w:vAlign w:val="center"/>
                </w:tcPr>
                <w:p w14:paraId="4373027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10.97</w:t>
                  </w:r>
                </w:p>
              </w:tc>
              <w:tc>
                <w:tcPr>
                  <w:tcW w:w="298" w:type="pct"/>
                  <w:tcBorders>
                    <w:bottom w:val="single" w:color="000000" w:sz="12" w:space="0"/>
                  </w:tcBorders>
                  <w:shd w:val="clear" w:color="auto" w:fill="FFFFFF"/>
                  <w:vAlign w:val="center"/>
                </w:tcPr>
                <w:p w14:paraId="156B8F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12.50</w:t>
                  </w:r>
                </w:p>
              </w:tc>
              <w:tc>
                <w:tcPr>
                  <w:tcW w:w="298" w:type="pct"/>
                  <w:tcBorders>
                    <w:bottom w:val="single" w:color="000000" w:sz="12" w:space="0"/>
                  </w:tcBorders>
                  <w:shd w:val="clear" w:color="auto" w:fill="FFFFFF"/>
                  <w:vAlign w:val="center"/>
                </w:tcPr>
                <w:p w14:paraId="1DE257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11.57</w:t>
                  </w:r>
                </w:p>
              </w:tc>
              <w:tc>
                <w:tcPr>
                  <w:tcW w:w="298" w:type="pct"/>
                  <w:tcBorders>
                    <w:bottom w:val="single" w:color="000000" w:sz="12" w:space="0"/>
                  </w:tcBorders>
                  <w:shd w:val="clear" w:color="auto" w:fill="FFFFFF"/>
                  <w:vAlign w:val="center"/>
                </w:tcPr>
                <w:p w14:paraId="3589CB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17.94</w:t>
                  </w:r>
                </w:p>
              </w:tc>
              <w:tc>
                <w:tcPr>
                  <w:tcW w:w="212" w:type="pct"/>
                  <w:tcBorders>
                    <w:bottom w:val="single" w:color="000000" w:sz="12" w:space="0"/>
                  </w:tcBorders>
                  <w:shd w:val="clear" w:color="auto" w:fill="FFFFFF"/>
                  <w:vAlign w:val="center"/>
                </w:tcPr>
                <w:p w14:paraId="4ED668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eastAsia" w:ascii="Times New Roman" w:hAnsi="Times New Roman" w:eastAsia="宋体" w:cs="宋体"/>
                      <w:b w:val="0"/>
                      <w:i w:val="0"/>
                      <w:iCs w:val="0"/>
                      <w:color w:val="000000" w:themeColor="text1"/>
                      <w:kern w:val="0"/>
                      <w:sz w:val="16"/>
                      <w:szCs w:val="16"/>
                      <w:u w:val="none"/>
                      <w:lang w:val="en-US" w:eastAsia="zh-CN" w:bidi="ar"/>
                      <w14:textFill>
                        <w14:solidFill>
                          <w14:schemeClr w14:val="tx1"/>
                        </w14:solidFill>
                      </w14:textFill>
                    </w:rPr>
                    <w:t>昼间</w:t>
                  </w:r>
                  <w:r>
                    <w:rPr>
                      <w:rFonts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w:t>
                  </w:r>
                  <w:r>
                    <w:rPr>
                      <w:rStyle w:val="257"/>
                      <w:rFonts w:ascii="Times New Roman" w:hAnsi="Times New Roman" w:eastAsia="宋体"/>
                      <w:b w:val="0"/>
                      <w:color w:val="000000" w:themeColor="text1"/>
                      <w:sz w:val="16"/>
                      <w:szCs w:val="16"/>
                      <w:lang w:val="en-US" w:eastAsia="zh-CN" w:bidi="ar"/>
                      <w14:textFill>
                        <w14:solidFill>
                          <w14:schemeClr w14:val="tx1"/>
                        </w14:solidFill>
                      </w14:textFill>
                    </w:rPr>
                    <w:t>夜间</w:t>
                  </w:r>
                </w:p>
              </w:tc>
              <w:tc>
                <w:tcPr>
                  <w:tcW w:w="331" w:type="pct"/>
                  <w:tcBorders>
                    <w:bottom w:val="single" w:color="000000" w:sz="12" w:space="0"/>
                  </w:tcBorders>
                  <w:shd w:val="clear" w:color="auto" w:fill="FFFFFF"/>
                  <w:vAlign w:val="center"/>
                </w:tcPr>
                <w:p w14:paraId="030672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20</w:t>
                  </w:r>
                </w:p>
              </w:tc>
              <w:tc>
                <w:tcPr>
                  <w:tcW w:w="298" w:type="pct"/>
                  <w:tcBorders>
                    <w:bottom w:val="single" w:color="000000" w:sz="12" w:space="0"/>
                  </w:tcBorders>
                  <w:shd w:val="clear" w:color="auto" w:fill="FFFFFF"/>
                  <w:vAlign w:val="center"/>
                </w:tcPr>
                <w:p w14:paraId="1E9EFD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32.44</w:t>
                  </w:r>
                </w:p>
              </w:tc>
              <w:tc>
                <w:tcPr>
                  <w:tcW w:w="298" w:type="pct"/>
                  <w:tcBorders>
                    <w:bottom w:val="single" w:color="000000" w:sz="12" w:space="0"/>
                  </w:tcBorders>
                  <w:shd w:val="clear" w:color="auto" w:fill="FFFFFF"/>
                  <w:vAlign w:val="center"/>
                </w:tcPr>
                <w:p w14:paraId="23F2257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31.39</w:t>
                  </w:r>
                </w:p>
              </w:tc>
              <w:tc>
                <w:tcPr>
                  <w:tcW w:w="298" w:type="pct"/>
                  <w:tcBorders>
                    <w:bottom w:val="single" w:color="000000" w:sz="12" w:space="0"/>
                  </w:tcBorders>
                  <w:shd w:val="clear" w:color="auto" w:fill="FFFFFF"/>
                  <w:vAlign w:val="center"/>
                </w:tcPr>
                <w:p w14:paraId="0C45CB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32.02</w:t>
                  </w:r>
                </w:p>
              </w:tc>
              <w:tc>
                <w:tcPr>
                  <w:tcW w:w="303" w:type="pct"/>
                  <w:tcBorders>
                    <w:bottom w:val="single" w:color="000000" w:sz="12" w:space="0"/>
                    <w:right w:val="nil"/>
                  </w:tcBorders>
                  <w:shd w:val="clear" w:color="auto" w:fill="FFFFFF"/>
                  <w:vAlign w:val="center"/>
                </w:tcPr>
                <w:p w14:paraId="10B3A7B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imes New Roman" w:hAnsi="Times New Roman" w:eastAsia="宋体"/>
                      <w:b w:val="0"/>
                      <w:bCs/>
                      <w:color w:val="000000" w:themeColor="text1"/>
                      <w:sz w:val="16"/>
                      <w:szCs w:val="16"/>
                      <w:highlight w:val="none"/>
                      <w:vertAlign w:val="baseline"/>
                      <w:lang w:eastAsia="zh-CN"/>
                      <w14:textFill>
                        <w14:solidFill>
                          <w14:schemeClr w14:val="tx1"/>
                        </w14:solidFill>
                      </w14:textFill>
                    </w:rPr>
                  </w:pPr>
                  <w:r>
                    <w:rPr>
                      <w:rFonts w:hint="default" w:ascii="Times New Roman" w:hAnsi="Times New Roman" w:eastAsia="宋体" w:cs="Calibri"/>
                      <w:b w:val="0"/>
                      <w:i w:val="0"/>
                      <w:iCs w:val="0"/>
                      <w:color w:val="000000" w:themeColor="text1"/>
                      <w:kern w:val="0"/>
                      <w:sz w:val="16"/>
                      <w:szCs w:val="16"/>
                      <w:u w:val="none"/>
                      <w:lang w:val="en-US" w:eastAsia="zh-CN" w:bidi="ar"/>
                      <w14:textFill>
                        <w14:solidFill>
                          <w14:schemeClr w14:val="tx1"/>
                        </w14:solidFill>
                      </w14:textFill>
                    </w:rPr>
                    <w:t>28.45</w:t>
                  </w:r>
                </w:p>
              </w:tc>
            </w:tr>
          </w:tbl>
          <w:p w14:paraId="6B2B2DB5">
            <w:pPr>
              <w:spacing w:line="360" w:lineRule="auto"/>
              <w:ind w:firstLine="482" w:firstLineChars="200"/>
              <w:rPr>
                <w:rFonts w:hint="eastAsia" w:ascii="Times New Roman" w:hAnsi="Times New Roman" w:eastAsia="宋体" w:cs="宋体"/>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宋体"/>
                <w:b/>
                <w:bCs/>
                <w:color w:val="000000" w:themeColor="text1"/>
                <w:sz w:val="24"/>
                <w:szCs w:val="24"/>
                <w:highlight w:val="none"/>
                <w:lang w:val="en-US" w:eastAsia="zh-CN"/>
                <w14:textFill>
                  <w14:solidFill>
                    <w14:schemeClr w14:val="tx1"/>
                  </w14:solidFill>
                </w14:textFill>
              </w:rPr>
              <w:t>2.预测模式</w:t>
            </w:r>
          </w:p>
          <w:p w14:paraId="344DCA7B">
            <w:pPr>
              <w:keepNext w:val="0"/>
              <w:keepLines w:val="0"/>
              <w:pageBreakBefore w:val="0"/>
              <w:widowControl/>
              <w:numPr>
                <w:ilvl w:val="0"/>
                <w:numId w:val="0"/>
              </w:numPr>
              <w:kinsoku/>
              <w:wordWrap/>
              <w:overflowPunct/>
              <w:topLinePunct w:val="0"/>
              <w:autoSpaceDE/>
              <w:autoSpaceDN/>
              <w:bidi w:val="0"/>
              <w:adjustRightInd/>
              <w:snapToGrid/>
              <w:ind w:firstLine="480" w:firstLineChars="200"/>
              <w:jc w:val="left"/>
              <w:textAlignment w:val="auto"/>
              <w:rPr>
                <w:color w:val="000000" w:themeColor="text1"/>
                <w:position w:val="0"/>
                <w:sz w:val="24"/>
                <w14:textFill>
                  <w14:solidFill>
                    <w14:schemeClr w14:val="tx1"/>
                  </w14:solidFill>
                </w14:textFill>
              </w:rPr>
            </w:pPr>
            <w:r>
              <w:rPr>
                <w:rFonts w:hint="eastAsia" w:cs="宋体"/>
                <w:color w:val="000000" w:themeColor="text1"/>
                <w:kern w:val="0"/>
                <w:position w:val="0"/>
                <w:sz w:val="24"/>
                <w:lang w:bidi="ar"/>
                <w14:textFill>
                  <w14:solidFill>
                    <w14:schemeClr w14:val="tx1"/>
                  </w14:solidFill>
                </w14:textFill>
              </w:rPr>
              <w:t>以预测点为原点，选择一个坐标系，确定各噪声源位置，并测量各噪声源到预测点的距离，将各噪声源视为半自由状态噪声源，按声能量在空气传播中衰减模式可计算出某噪声源在预测点的声压级，预测模式如下：</w:t>
            </w:r>
          </w:p>
          <w:p w14:paraId="275DAE92">
            <w:pPr>
              <w:widowControl/>
              <w:ind w:firstLine="480"/>
              <w:jc w:val="left"/>
              <w:rPr>
                <w:color w:val="000000" w:themeColor="text1"/>
                <w:position w:val="0"/>
                <w:sz w:val="24"/>
                <w14:textFill>
                  <w14:solidFill>
                    <w14:schemeClr w14:val="tx1"/>
                  </w14:solidFill>
                </w14:textFill>
              </w:rPr>
            </w:pPr>
            <w:r>
              <w:rPr>
                <w:rFonts w:hint="eastAsia" w:cs="宋体"/>
                <w:color w:val="000000" w:themeColor="text1"/>
                <w:kern w:val="0"/>
                <w:position w:val="0"/>
                <w:sz w:val="24"/>
                <w:lang w:bidi="ar"/>
                <w14:textFill>
                  <w14:solidFill>
                    <w14:schemeClr w14:val="tx1"/>
                  </w14:solidFill>
                </w14:textFill>
              </w:rPr>
              <w:t>A</w:t>
            </w:r>
            <w:r>
              <w:rPr>
                <w:rFonts w:hint="eastAsia" w:cs="宋体"/>
                <w:color w:val="000000" w:themeColor="text1"/>
                <w:kern w:val="0"/>
                <w:position w:val="0"/>
                <w:sz w:val="24"/>
                <w:lang w:eastAsia="zh-CN" w:bidi="ar"/>
                <w14:textFill>
                  <w14:solidFill>
                    <w14:schemeClr w14:val="tx1"/>
                  </w14:solidFill>
                </w14:textFill>
              </w:rPr>
              <w:t>.</w:t>
            </w:r>
            <w:r>
              <w:rPr>
                <w:rFonts w:hint="eastAsia" w:cs="宋体"/>
                <w:color w:val="000000" w:themeColor="text1"/>
                <w:kern w:val="0"/>
                <w:position w:val="0"/>
                <w:sz w:val="24"/>
                <w:lang w:bidi="ar"/>
                <w14:textFill>
                  <w14:solidFill>
                    <w14:schemeClr w14:val="tx1"/>
                  </w14:solidFill>
                </w14:textFill>
              </w:rPr>
              <w:t xml:space="preserve">室内声源 </w:t>
            </w:r>
          </w:p>
          <w:p w14:paraId="4FFEE15E">
            <w:pPr>
              <w:widowControl/>
              <w:ind w:firstLine="480"/>
              <w:jc w:val="left"/>
              <w:rPr>
                <w:color w:val="000000" w:themeColor="text1"/>
                <w:position w:val="0"/>
                <w:sz w:val="24"/>
                <w14:textFill>
                  <w14:solidFill>
                    <w14:schemeClr w14:val="tx1"/>
                  </w14:solidFill>
                </w14:textFill>
              </w:rPr>
            </w:pPr>
            <w:r>
              <w:rPr>
                <w:rFonts w:hint="eastAsia"/>
                <w:color w:val="000000" w:themeColor="text1"/>
                <w:kern w:val="0"/>
                <w:position w:val="0"/>
                <w:sz w:val="24"/>
                <w:lang w:eastAsia="zh-CN" w:bidi="ar"/>
                <w14:textFill>
                  <w14:solidFill>
                    <w14:schemeClr w14:val="tx1"/>
                  </w14:solidFill>
                </w14:textFill>
              </w:rPr>
              <w:t>a.</w:t>
            </w:r>
            <w:r>
              <w:rPr>
                <w:rFonts w:hint="eastAsia" w:cs="宋体"/>
                <w:color w:val="000000" w:themeColor="text1"/>
                <w:kern w:val="0"/>
                <w:position w:val="0"/>
                <w:sz w:val="24"/>
                <w:lang w:bidi="ar"/>
                <w14:textFill>
                  <w14:solidFill>
                    <w14:schemeClr w14:val="tx1"/>
                  </w14:solidFill>
                </w14:textFill>
              </w:rPr>
              <w:t xml:space="preserve">首先计算出某个室内靠近围护结构处的倍频带声压级： </w:t>
            </w:r>
          </w:p>
          <w:p w14:paraId="0018B42F">
            <w:pPr>
              <w:widowControl/>
              <w:ind w:firstLine="480"/>
              <w:jc w:val="left"/>
              <w:rPr>
                <w:rFonts w:cs="宋体"/>
                <w:color w:val="000000" w:themeColor="text1"/>
                <w:kern w:val="0"/>
                <w:position w:val="0"/>
                <w:sz w:val="24"/>
                <w:lang w:bidi="ar"/>
                <w14:textFill>
                  <w14:solidFill>
                    <w14:schemeClr w14:val="tx1"/>
                  </w14:solidFill>
                </w14:textFill>
              </w:rPr>
            </w:pPr>
            <w:r>
              <w:rPr>
                <w:rFonts w:hint="eastAsia"/>
                <w:color w:val="000000" w:themeColor="text1"/>
                <w:position w:val="0"/>
                <w:sz w:val="24"/>
                <w:vertAlign w:val="subscript"/>
                <w14:textFill>
                  <w14:solidFill>
                    <w14:schemeClr w14:val="tx1"/>
                  </w14:solidFill>
                </w14:textFill>
              </w:rPr>
              <w:object>
                <v:shape id="_x0000_i1026" o:spt="75" type="#_x0000_t75" style="height:38.05pt;width:180.55pt;" o:ole="t" filled="f" o:preferrelative="t" stroked="f" coordsize="21600,21600">
                  <v:path/>
                  <v:fill on="f" focussize="0,0"/>
                  <v:stroke on="f" joinstyle="miter"/>
                  <v:imagedata r:id="rId17" o:title=""/>
                  <o:lock v:ext="edit" aspectratio="t"/>
                  <w10:wrap type="none"/>
                  <w10:anchorlock/>
                </v:shape>
                <o:OLEObject Type="Embed" ProgID="Equation.3" ShapeID="_x0000_i1026" DrawAspect="Content" ObjectID="_1468075726" r:id="rId16">
                  <o:LockedField>false</o:LockedField>
                </o:OLEObject>
              </w:object>
            </w:r>
          </w:p>
          <w:p w14:paraId="4EC52B2B">
            <w:pPr>
              <w:widowControl/>
              <w:ind w:firstLine="480"/>
              <w:jc w:val="left"/>
              <w:rPr>
                <w:color w:val="000000" w:themeColor="text1"/>
                <w:position w:val="0"/>
                <w:sz w:val="24"/>
                <w14:textFill>
                  <w14:solidFill>
                    <w14:schemeClr w14:val="tx1"/>
                  </w14:solidFill>
                </w14:textFill>
              </w:rPr>
            </w:pPr>
            <w:r>
              <w:rPr>
                <w:rFonts w:hint="eastAsia" w:cs="宋体"/>
                <w:color w:val="000000" w:themeColor="text1"/>
                <w:kern w:val="0"/>
                <w:position w:val="0"/>
                <w:sz w:val="24"/>
                <w:lang w:bidi="ar"/>
                <w14:textFill>
                  <w14:solidFill>
                    <w14:schemeClr w14:val="tx1"/>
                  </w14:solidFill>
                </w14:textFill>
              </w:rPr>
              <w:t>式中：</w:t>
            </w:r>
            <w:r>
              <w:rPr>
                <w:color w:val="000000" w:themeColor="text1"/>
                <w:kern w:val="0"/>
                <w:position w:val="0"/>
                <w:sz w:val="24"/>
                <w:lang w:bidi="ar"/>
                <w14:textFill>
                  <w14:solidFill>
                    <w14:schemeClr w14:val="tx1"/>
                  </w14:solidFill>
                </w14:textFill>
              </w:rPr>
              <w:t>L</w:t>
            </w:r>
            <w:r>
              <w:rPr>
                <w:color w:val="000000" w:themeColor="text1"/>
                <w:kern w:val="0"/>
                <w:position w:val="0"/>
                <w:sz w:val="24"/>
                <w:vertAlign w:val="subscript"/>
                <w:lang w:bidi="ar"/>
                <w14:textFill>
                  <w14:solidFill>
                    <w14:schemeClr w14:val="tx1"/>
                  </w14:solidFill>
                </w14:textFill>
              </w:rPr>
              <w:t>oct</w:t>
            </w:r>
            <w:r>
              <w:rPr>
                <w:rFonts w:hint="eastAsia" w:cs="宋体"/>
                <w:color w:val="000000" w:themeColor="text1"/>
                <w:kern w:val="0"/>
                <w:position w:val="0"/>
                <w:sz w:val="24"/>
                <w:vertAlign w:val="subscript"/>
                <w:lang w:bidi="ar"/>
                <w14:textFill>
                  <w14:solidFill>
                    <w14:schemeClr w14:val="tx1"/>
                  </w14:solidFill>
                </w14:textFill>
              </w:rPr>
              <w:t>,</w:t>
            </w:r>
            <w:r>
              <w:rPr>
                <w:color w:val="000000" w:themeColor="text1"/>
                <w:kern w:val="0"/>
                <w:position w:val="0"/>
                <w:sz w:val="24"/>
                <w:vertAlign w:val="subscript"/>
                <w:lang w:bidi="ar"/>
                <w14:textFill>
                  <w14:solidFill>
                    <w14:schemeClr w14:val="tx1"/>
                  </w14:solidFill>
                </w14:textFill>
              </w:rPr>
              <w:t>1</w:t>
            </w:r>
            <w:r>
              <w:rPr>
                <w:rFonts w:hint="eastAsia" w:cs="宋体"/>
                <w:color w:val="000000" w:themeColor="text1"/>
                <w:kern w:val="0"/>
                <w:position w:val="0"/>
                <w:sz w:val="24"/>
                <w:lang w:bidi="ar"/>
                <w14:textFill>
                  <w14:solidFill>
                    <w14:schemeClr w14:val="tx1"/>
                  </w14:solidFill>
                </w14:textFill>
              </w:rPr>
              <w:t>为某个室内声源在靠近围护结构处产生的倍频带声压级，</w:t>
            </w:r>
            <w:r>
              <w:rPr>
                <w:color w:val="000000" w:themeColor="text1"/>
                <w:kern w:val="0"/>
                <w:position w:val="0"/>
                <w:sz w:val="24"/>
                <w:lang w:bidi="ar"/>
                <w14:textFill>
                  <w14:solidFill>
                    <w14:schemeClr w14:val="tx1"/>
                  </w14:solidFill>
                </w14:textFill>
              </w:rPr>
              <w:t>L</w:t>
            </w:r>
            <w:r>
              <w:rPr>
                <w:color w:val="000000" w:themeColor="text1"/>
                <w:kern w:val="0"/>
                <w:position w:val="0"/>
                <w:sz w:val="24"/>
                <w:vertAlign w:val="subscript"/>
                <w:lang w:bidi="ar"/>
                <w14:textFill>
                  <w14:solidFill>
                    <w14:schemeClr w14:val="tx1"/>
                  </w14:solidFill>
                </w14:textFill>
              </w:rPr>
              <w:t>w oct</w:t>
            </w:r>
            <w:r>
              <w:rPr>
                <w:rFonts w:hint="eastAsia" w:cs="宋体"/>
                <w:color w:val="000000" w:themeColor="text1"/>
                <w:kern w:val="0"/>
                <w:position w:val="0"/>
                <w:sz w:val="24"/>
                <w:lang w:bidi="ar"/>
                <w14:textFill>
                  <w14:solidFill>
                    <w14:schemeClr w14:val="tx1"/>
                  </w14:solidFill>
                </w14:textFill>
              </w:rPr>
              <w:t>为某个声源的倍频带声功率级，</w:t>
            </w:r>
            <w:r>
              <w:rPr>
                <w:rFonts w:hint="eastAsia"/>
                <w:color w:val="000000" w:themeColor="text1"/>
                <w:kern w:val="0"/>
                <w:position w:val="0"/>
                <w:sz w:val="24"/>
                <w:lang w:bidi="ar"/>
                <w14:textFill>
                  <w14:solidFill>
                    <w14:schemeClr w14:val="tx1"/>
                  </w14:solidFill>
                </w14:textFill>
              </w:rPr>
              <w:t>r</w:t>
            </w:r>
            <w:r>
              <w:rPr>
                <w:color w:val="000000" w:themeColor="text1"/>
                <w:kern w:val="0"/>
                <w:position w:val="0"/>
                <w:sz w:val="24"/>
                <w:vertAlign w:val="subscript"/>
                <w:lang w:bidi="ar"/>
                <w14:textFill>
                  <w14:solidFill>
                    <w14:schemeClr w14:val="tx1"/>
                  </w14:solidFill>
                </w14:textFill>
              </w:rPr>
              <w:t>1</w:t>
            </w:r>
            <w:r>
              <w:rPr>
                <w:rFonts w:hint="eastAsia" w:cs="宋体"/>
                <w:color w:val="000000" w:themeColor="text1"/>
                <w:kern w:val="0"/>
                <w:position w:val="0"/>
                <w:sz w:val="24"/>
                <w:lang w:bidi="ar"/>
                <w14:textFill>
                  <w14:solidFill>
                    <w14:schemeClr w14:val="tx1"/>
                  </w14:solidFill>
                </w14:textFill>
              </w:rPr>
              <w:t>为室内某个声源与靠近围护结构处的距离，</w:t>
            </w:r>
            <w:r>
              <w:rPr>
                <w:color w:val="000000" w:themeColor="text1"/>
                <w:kern w:val="0"/>
                <w:position w:val="0"/>
                <w:sz w:val="24"/>
                <w:lang w:bidi="ar"/>
                <w14:textFill>
                  <w14:solidFill>
                    <w14:schemeClr w14:val="tx1"/>
                  </w14:solidFill>
                </w14:textFill>
              </w:rPr>
              <w:t>R</w:t>
            </w:r>
            <w:r>
              <w:rPr>
                <w:rFonts w:hint="eastAsia" w:cs="宋体"/>
                <w:color w:val="000000" w:themeColor="text1"/>
                <w:kern w:val="0"/>
                <w:position w:val="0"/>
                <w:sz w:val="24"/>
                <w:lang w:bidi="ar"/>
                <w14:textFill>
                  <w14:solidFill>
                    <w14:schemeClr w14:val="tx1"/>
                  </w14:solidFill>
                </w14:textFill>
              </w:rPr>
              <w:t>为房间常数，</w:t>
            </w:r>
            <w:r>
              <w:rPr>
                <w:color w:val="000000" w:themeColor="text1"/>
                <w:kern w:val="0"/>
                <w:position w:val="0"/>
                <w:sz w:val="24"/>
                <w:lang w:bidi="ar"/>
                <w14:textFill>
                  <w14:solidFill>
                    <w14:schemeClr w14:val="tx1"/>
                  </w14:solidFill>
                </w14:textFill>
              </w:rPr>
              <w:t>Q</w:t>
            </w:r>
            <w:r>
              <w:rPr>
                <w:rFonts w:hint="eastAsia" w:cs="宋体"/>
                <w:color w:val="000000" w:themeColor="text1"/>
                <w:kern w:val="0"/>
                <w:position w:val="0"/>
                <w:sz w:val="24"/>
                <w:lang w:bidi="ar"/>
                <w14:textFill>
                  <w14:solidFill>
                    <w14:schemeClr w14:val="tx1"/>
                  </w14:solidFill>
                </w14:textFill>
              </w:rPr>
              <w:t>为方向因子。</w:t>
            </w:r>
          </w:p>
          <w:p w14:paraId="7D15DE05">
            <w:pPr>
              <w:pStyle w:val="67"/>
              <w:spacing w:after="0"/>
              <w:ind w:left="0" w:leftChars="0" w:firstLine="480"/>
              <w:rPr>
                <w:color w:val="000000" w:themeColor="text1"/>
                <w:szCs w:val="24"/>
                <w14:textFill>
                  <w14:solidFill>
                    <w14:schemeClr w14:val="tx1"/>
                  </w14:solidFill>
                </w14:textFill>
              </w:rPr>
            </w:pP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drawing>
                <wp:inline distT="0" distB="0" distL="114300" distR="114300">
                  <wp:extent cx="1584960" cy="990600"/>
                  <wp:effectExtent l="0" t="0" r="15240" b="0"/>
                  <wp:docPr id="1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1"/>
                          <pic:cNvPicPr>
                            <a:picLocks noChangeAspect="1"/>
                          </pic:cNvPicPr>
                        </pic:nvPicPr>
                        <pic:blipFill>
                          <a:blip r:embed="rId18"/>
                          <a:stretch>
                            <a:fillRect/>
                          </a:stretch>
                        </pic:blipFill>
                        <pic:spPr>
                          <a:xfrm>
                            <a:off x="0" y="0"/>
                            <a:ext cx="1584960" cy="990600"/>
                          </a:xfrm>
                          <a:prstGeom prst="rect">
                            <a:avLst/>
                          </a:prstGeom>
                          <a:noFill/>
                          <a:ln>
                            <a:noFill/>
                          </a:ln>
                        </pic:spPr>
                      </pic:pic>
                    </a:graphicData>
                  </a:graphic>
                </wp:inline>
              </w:drawing>
            </w:r>
          </w:p>
          <w:p w14:paraId="4AF365A5">
            <w:pPr>
              <w:widowControl/>
              <w:ind w:firstLine="480"/>
              <w:jc w:val="left"/>
              <w:rPr>
                <w:color w:val="000000" w:themeColor="text1"/>
                <w14:textFill>
                  <w14:solidFill>
                    <w14:schemeClr w14:val="tx1"/>
                  </w14:solidFill>
                </w14:textFill>
              </w:rPr>
            </w:pPr>
            <w:r>
              <w:rPr>
                <w:rFonts w:hint="eastAsia"/>
                <w:color w:val="000000" w:themeColor="text1"/>
                <w:kern w:val="0"/>
                <w:lang w:eastAsia="zh-CN" w:bidi="ar"/>
                <w14:textFill>
                  <w14:solidFill>
                    <w14:schemeClr w14:val="tx1"/>
                  </w14:solidFill>
                </w14:textFill>
              </w:rPr>
              <w:t>b.</w:t>
            </w:r>
            <w:r>
              <w:rPr>
                <w:rFonts w:hint="eastAsia" w:cs="宋体"/>
                <w:color w:val="000000" w:themeColor="text1"/>
                <w:kern w:val="0"/>
                <w:lang w:bidi="ar"/>
                <w14:textFill>
                  <w14:solidFill>
                    <w14:schemeClr w14:val="tx1"/>
                  </w14:solidFill>
                </w14:textFill>
              </w:rPr>
              <w:t>计算出所有室内声源在靠近围护结构处产生的总倍频带声压级：</w:t>
            </w:r>
          </w:p>
          <w:p w14:paraId="768F4048">
            <w:pPr>
              <w:widowControl/>
              <w:ind w:firstLine="2160" w:firstLineChars="900"/>
              <w:jc w:val="left"/>
              <w:rPr>
                <w:color w:val="000000" w:themeColor="text1"/>
                <w:kern w:val="0"/>
                <w:lang w:bidi="ar"/>
                <w14:textFill>
                  <w14:solidFill>
                    <w14:schemeClr w14:val="tx1"/>
                  </w14:solidFill>
                </w14:textFill>
              </w:rPr>
            </w:pPr>
            <w:r>
              <w:rPr>
                <w:color w:val="000000" w:themeColor="text1"/>
                <w:kern w:val="0"/>
                <w:position w:val="-30"/>
                <w:lang w:bidi="ar"/>
                <w14:textFill>
                  <w14:solidFill>
                    <w14:schemeClr w14:val="tx1"/>
                  </w14:solidFill>
                </w14:textFill>
              </w:rPr>
              <w:object>
                <v:shape id="_x0000_i1027" o:spt="75" type="#_x0000_t75" style="height:47.4pt;width:167.15pt;" o:ole="t" filled="f" o:preferrelative="t" stroked="f" coordsize="21600,21600">
                  <v:path/>
                  <v:fill on="f" focussize="0,0"/>
                  <v:stroke on="f" joinstyle="miter"/>
                  <v:imagedata r:id="rId20" o:title=""/>
                  <o:lock v:ext="edit" aspectratio="t"/>
                  <w10:wrap type="none"/>
                  <w10:anchorlock/>
                </v:shape>
                <o:OLEObject Type="Embed" ProgID="Equation.3" ShapeID="_x0000_i1027" DrawAspect="Content" ObjectID="_1468075727" r:id="rId19">
                  <o:LockedField>false</o:LockedField>
                </o:OLEObject>
              </w:object>
            </w:r>
          </w:p>
          <w:p w14:paraId="70A20616">
            <w:pPr>
              <w:widowControl/>
              <w:ind w:firstLine="480"/>
              <w:jc w:val="left"/>
              <w:rPr>
                <w:color w:val="000000" w:themeColor="text1"/>
                <w14:textFill>
                  <w14:solidFill>
                    <w14:schemeClr w14:val="tx1"/>
                  </w14:solidFill>
                </w14:textFill>
              </w:rPr>
            </w:pPr>
            <w:r>
              <w:rPr>
                <w:rFonts w:hint="eastAsia"/>
                <w:color w:val="000000" w:themeColor="text1"/>
                <w:kern w:val="0"/>
                <w:lang w:eastAsia="zh-CN" w:bidi="ar"/>
                <w14:textFill>
                  <w14:solidFill>
                    <w14:schemeClr w14:val="tx1"/>
                  </w14:solidFill>
                </w14:textFill>
              </w:rPr>
              <w:t>c.</w:t>
            </w:r>
            <w:r>
              <w:rPr>
                <w:rFonts w:hint="eastAsia" w:cs="宋体"/>
                <w:color w:val="000000" w:themeColor="text1"/>
                <w:kern w:val="0"/>
                <w:lang w:bidi="ar"/>
                <w14:textFill>
                  <w14:solidFill>
                    <w14:schemeClr w14:val="tx1"/>
                  </w14:solidFill>
                </w14:textFill>
              </w:rPr>
              <w:t>计算出室外靠近围护结构处的声压级：</w:t>
            </w:r>
          </w:p>
          <w:p w14:paraId="12D0649E">
            <w:pPr>
              <w:pStyle w:val="67"/>
              <w:spacing w:after="0"/>
              <w:ind w:left="0" w:leftChars="0" w:firstLine="480"/>
              <w:rPr>
                <w:color w:val="000000" w:themeColor="text1"/>
                <w:szCs w:val="24"/>
                <w14:textFill>
                  <w14:solidFill>
                    <w14:schemeClr w14:val="tx1"/>
                  </w14:solidFill>
                </w14:textFill>
              </w:rPr>
            </w:pPr>
            <w:r>
              <w:rPr>
                <w:rFonts w:hint="eastAsia"/>
                <w:color w:val="000000" w:themeColor="text1"/>
                <w:position w:val="-10"/>
                <w:szCs w:val="24"/>
                <w14:textFill>
                  <w14:solidFill>
                    <w14:schemeClr w14:val="tx1"/>
                  </w14:solidFill>
                </w14:textFill>
              </w:rPr>
              <w:object>
                <v:shape id="_x0000_i1028" o:spt="75" type="#_x0000_t75" style="height:13.45pt;width:72pt;" o:ole="t" filled="f" o:preferrelative="t" stroked="f" coordsize="21600,21600">
                  <v:path/>
                  <v:fill on="f" focussize="0,0"/>
                  <v:stroke on="f" joinstyle="miter"/>
                  <v:imagedata r:id="rId22" o:title=""/>
                  <o:lock v:ext="edit" aspectratio="t"/>
                  <w10:wrap type="none"/>
                  <w10:anchorlock/>
                </v:shape>
                <o:OLEObject Type="Embed" ProgID="Equation.3" ShapeID="_x0000_i1028" DrawAspect="Content" ObjectID="_1468075728" r:id="rId21">
                  <o:LockedField>false</o:LockedField>
                </o:OLEObject>
              </w:object>
            </w:r>
            <w:r>
              <w:rPr>
                <w:rFonts w:hint="eastAsia"/>
                <w:color w:val="000000" w:themeColor="text1"/>
                <w:position w:val="-10"/>
                <w:szCs w:val="24"/>
                <w14:textFill>
                  <w14:solidFill>
                    <w14:schemeClr w14:val="tx1"/>
                  </w14:solidFill>
                </w14:textFill>
              </w:rPr>
              <w:object>
                <v:shape id="_x0000_i1029" o:spt="75" type="#_x0000_t75" style="height:21.65pt;width:195.5pt;" o:ole="t" filled="f" o:preferrelative="t" stroked="f" coordsize="21600,21600">
                  <v:path/>
                  <v:fill on="f" focussize="0,0"/>
                  <v:stroke on="f" joinstyle="miter"/>
                  <v:imagedata r:id="rId24" o:title=""/>
                  <o:lock v:ext="edit" aspectratio="t"/>
                  <w10:wrap type="none"/>
                  <w10:anchorlock/>
                </v:shape>
                <o:OLEObject Type="Embed" ProgID="Equation.3" ShapeID="_x0000_i1029" DrawAspect="Content" ObjectID="_1468075729" r:id="rId23">
                  <o:LockedField>false</o:LockedField>
                </o:OLEObject>
              </w:object>
            </w:r>
          </w:p>
          <w:p w14:paraId="5FB0C728">
            <w:pPr>
              <w:widowControl/>
              <w:ind w:firstLine="480"/>
              <w:jc w:val="left"/>
              <w:rPr>
                <w:color w:val="000000" w:themeColor="text1"/>
                <w14:textFill>
                  <w14:solidFill>
                    <w14:schemeClr w14:val="tx1"/>
                  </w14:solidFill>
                </w14:textFill>
              </w:rPr>
            </w:pPr>
            <w:r>
              <w:rPr>
                <w:rFonts w:hint="eastAsia"/>
                <w:color w:val="000000" w:themeColor="text1"/>
                <w:kern w:val="0"/>
                <w:lang w:eastAsia="zh-CN" w:bidi="ar"/>
                <w14:textFill>
                  <w14:solidFill>
                    <w14:schemeClr w14:val="tx1"/>
                  </w14:solidFill>
                </w14:textFill>
              </w:rPr>
              <w:t>d.</w:t>
            </w:r>
            <w:r>
              <w:rPr>
                <w:color w:val="000000" w:themeColor="text1"/>
                <w:kern w:val="0"/>
                <w:lang w:bidi="ar"/>
                <w14:textFill>
                  <w14:solidFill>
                    <w14:schemeClr w14:val="tx1"/>
                  </w14:solidFill>
                </w14:textFill>
              </w:rPr>
              <w:t>将室外声级L</w:t>
            </w:r>
            <w:r>
              <w:rPr>
                <w:color w:val="000000" w:themeColor="text1"/>
                <w:kern w:val="0"/>
                <w:vertAlign w:val="subscript"/>
                <w:lang w:bidi="ar"/>
                <w14:textFill>
                  <w14:solidFill>
                    <w14:schemeClr w14:val="tx1"/>
                  </w14:solidFill>
                </w14:textFill>
              </w:rPr>
              <w:t>oct，2（T）</w:t>
            </w:r>
            <w:r>
              <w:rPr>
                <w:color w:val="000000" w:themeColor="text1"/>
                <w:kern w:val="0"/>
                <w:lang w:bidi="ar"/>
                <w14:textFill>
                  <w14:solidFill>
                    <w14:schemeClr w14:val="tx1"/>
                  </w14:solidFill>
                </w14:textFill>
              </w:rPr>
              <w:t>和透声面积换算成等效的室外声源，计算出等效声源第i个倍频带的声功率级Lwoct：</w:t>
            </w:r>
          </w:p>
          <w:p w14:paraId="1BD5277E">
            <w:pPr>
              <w:pStyle w:val="67"/>
              <w:spacing w:after="0"/>
              <w:ind w:left="0" w:leftChars="0" w:firstLine="1920" w:firstLineChars="800"/>
              <w:rPr>
                <w:color w:val="000000" w:themeColor="text1"/>
                <w:szCs w:val="24"/>
                <w14:textFill>
                  <w14:solidFill>
                    <w14:schemeClr w14:val="tx1"/>
                  </w14:solidFill>
                </w14:textFill>
              </w:rPr>
            </w:pPr>
            <w:r>
              <w:rPr>
                <w:rFonts w:hint="eastAsia"/>
                <w:color w:val="000000" w:themeColor="text1"/>
                <w:position w:val="-12"/>
                <w:szCs w:val="24"/>
                <w14:textFill>
                  <w14:solidFill>
                    <w14:schemeClr w14:val="tx1"/>
                  </w14:solidFill>
                </w14:textFill>
              </w:rPr>
              <w:object>
                <v:shape id="_x0000_i1030" o:spt="75" type="#_x0000_t75" style="height:21.65pt;width:142.15pt;" o:ole="t" filled="f" o:preferrelative="t" stroked="f" coordsize="21600,21600">
                  <v:path/>
                  <v:fill on="f" focussize="0,0"/>
                  <v:stroke on="f" joinstyle="miter"/>
                  <v:imagedata r:id="rId26" o:title=""/>
                  <o:lock v:ext="edit" aspectratio="t"/>
                  <w10:wrap type="none"/>
                  <w10:anchorlock/>
                </v:shape>
                <o:OLEObject Type="Embed" ProgID="Equation.3" ShapeID="_x0000_i1030" DrawAspect="Content" ObjectID="_1468075730" r:id="rId25">
                  <o:LockedField>false</o:LockedField>
                </o:OLEObject>
              </w:object>
            </w:r>
          </w:p>
          <w:p w14:paraId="5B58DE12">
            <w:pPr>
              <w:widowControl/>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式中：</w:t>
            </w:r>
            <w:r>
              <w:rPr>
                <w:color w:val="000000" w:themeColor="text1"/>
                <w:kern w:val="0"/>
                <w:lang w:bidi="ar"/>
                <w14:textFill>
                  <w14:solidFill>
                    <w14:schemeClr w14:val="tx1"/>
                  </w14:solidFill>
                </w14:textFill>
              </w:rPr>
              <w:t>S</w:t>
            </w:r>
            <w:r>
              <w:rPr>
                <w:rFonts w:hint="eastAsia" w:cs="宋体"/>
                <w:color w:val="000000" w:themeColor="text1"/>
                <w:kern w:val="0"/>
                <w:lang w:bidi="ar"/>
                <w14:textFill>
                  <w14:solidFill>
                    <w14:schemeClr w14:val="tx1"/>
                  </w14:solidFill>
                </w14:textFill>
              </w:rPr>
              <w:t>为透声面积，</w:t>
            </w:r>
            <w:r>
              <w:rPr>
                <w:color w:val="000000" w:themeColor="text1"/>
                <w:kern w:val="0"/>
                <w:lang w:bidi="ar"/>
                <w14:textFill>
                  <w14:solidFill>
                    <w14:schemeClr w14:val="tx1"/>
                  </w14:solidFill>
                </w14:textFill>
              </w:rPr>
              <w:t>m</w:t>
            </w:r>
            <w:r>
              <w:rPr>
                <w:rFonts w:hint="eastAsia"/>
                <w:color w:val="000000" w:themeColor="text1"/>
                <w:kern w:val="0"/>
                <w:vertAlign w:val="superscript"/>
                <w:lang w:bidi="ar"/>
                <w14:textFill>
                  <w14:solidFill>
                    <w14:schemeClr w14:val="tx1"/>
                  </w14:solidFill>
                </w14:textFill>
              </w:rPr>
              <w:t>2</w:t>
            </w:r>
            <w:r>
              <w:rPr>
                <w:rFonts w:hint="eastAsia" w:cs="宋体"/>
                <w:color w:val="000000" w:themeColor="text1"/>
                <w:kern w:val="0"/>
                <w:lang w:bidi="ar"/>
                <w14:textFill>
                  <w14:solidFill>
                    <w14:schemeClr w14:val="tx1"/>
                  </w14:solidFill>
                </w14:textFill>
              </w:rPr>
              <w:t>。</w:t>
            </w:r>
          </w:p>
          <w:p w14:paraId="7B4C3572">
            <w:pPr>
              <w:widowControl/>
              <w:ind w:firstLine="480"/>
              <w:jc w:val="left"/>
              <w:rPr>
                <w:color w:val="000000" w:themeColor="text1"/>
                <w14:textFill>
                  <w14:solidFill>
                    <w14:schemeClr w14:val="tx1"/>
                  </w14:solidFill>
                </w14:textFill>
              </w:rPr>
            </w:pPr>
            <w:r>
              <w:rPr>
                <w:rFonts w:hint="eastAsia"/>
                <w:color w:val="000000" w:themeColor="text1"/>
                <w:kern w:val="0"/>
                <w:lang w:eastAsia="zh-CN" w:bidi="ar"/>
                <w14:textFill>
                  <w14:solidFill>
                    <w14:schemeClr w14:val="tx1"/>
                  </w14:solidFill>
                </w14:textFill>
              </w:rPr>
              <w:t>e.</w:t>
            </w:r>
            <w:r>
              <w:rPr>
                <w:rFonts w:hint="eastAsia" w:cs="宋体"/>
                <w:color w:val="000000" w:themeColor="text1"/>
                <w:kern w:val="0"/>
                <w:lang w:bidi="ar"/>
                <w14:textFill>
                  <w14:solidFill>
                    <w14:schemeClr w14:val="tx1"/>
                  </w14:solidFill>
                </w14:textFill>
              </w:rPr>
              <w:t>等效室外声源的位置为围护结构的位置，其倍频带声功率级为</w:t>
            </w:r>
            <w:r>
              <w:rPr>
                <w:color w:val="000000" w:themeColor="text1"/>
                <w:kern w:val="0"/>
                <w:lang w:bidi="ar"/>
                <w14:textFill>
                  <w14:solidFill>
                    <w14:schemeClr w14:val="tx1"/>
                  </w14:solidFill>
                </w14:textFill>
              </w:rPr>
              <w:t>L</w:t>
            </w:r>
            <w:r>
              <w:rPr>
                <w:color w:val="000000" w:themeColor="text1"/>
                <w:kern w:val="0"/>
                <w:vertAlign w:val="subscript"/>
                <w:lang w:bidi="ar"/>
                <w14:textFill>
                  <w14:solidFill>
                    <w14:schemeClr w14:val="tx1"/>
                  </w14:solidFill>
                </w14:textFill>
              </w:rPr>
              <w:t>w oct</w:t>
            </w:r>
            <w:r>
              <w:rPr>
                <w:rFonts w:hint="eastAsia" w:cs="宋体"/>
                <w:color w:val="000000" w:themeColor="text1"/>
                <w:kern w:val="0"/>
                <w:lang w:bidi="ar"/>
                <w14:textFill>
                  <w14:solidFill>
                    <w14:schemeClr w14:val="tx1"/>
                  </w14:solidFill>
                </w14:textFill>
              </w:rPr>
              <w:t>，由此按室外声源方法计算等效室外声源在预测点产生的声级。</w:t>
            </w:r>
          </w:p>
          <w:p w14:paraId="35AB5F9C">
            <w:pPr>
              <w:widowControl/>
              <w:ind w:firstLine="480"/>
              <w:jc w:val="left"/>
              <w:rPr>
                <w:color w:val="000000" w:themeColor="text1"/>
                <w14:textFill>
                  <w14:solidFill>
                    <w14:schemeClr w14:val="tx1"/>
                  </w14:solidFill>
                </w14:textFill>
              </w:rPr>
            </w:pPr>
            <w:r>
              <w:rPr>
                <w:rFonts w:hint="eastAsia" w:cs="宋体"/>
                <w:color w:val="000000" w:themeColor="text1"/>
                <w:kern w:val="0"/>
                <w:lang w:bidi="ar"/>
                <w14:textFill>
                  <w14:solidFill>
                    <w14:schemeClr w14:val="tx1"/>
                  </w14:solidFill>
                </w14:textFill>
              </w:rPr>
              <w:t>由上述各式可计算出周围声环境因该项目设备新增加的声级值，综合该区内的声环境背景值，再按声能量叠加模式预测出某点的总声压级值，预测模式如下：</w:t>
            </w:r>
          </w:p>
          <w:p w14:paraId="0A7FADA1">
            <w:pPr>
              <w:pStyle w:val="67"/>
              <w:spacing w:after="0"/>
              <w:ind w:left="0" w:leftChars="0" w:firstLine="1680" w:firstLineChars="700"/>
              <w:rPr>
                <w:color w:val="000000" w:themeColor="text1"/>
                <w:szCs w:val="24"/>
                <w14:textFill>
                  <w14:solidFill>
                    <w14:schemeClr w14:val="tx1"/>
                  </w14:solidFill>
                </w14:textFill>
              </w:rPr>
            </w:pPr>
            <w:r>
              <w:rPr>
                <w:rFonts w:hint="eastAsia"/>
                <w:color w:val="000000" w:themeColor="text1"/>
                <w:position w:val="-32"/>
                <w:szCs w:val="24"/>
                <w14:textFill>
                  <w14:solidFill>
                    <w14:schemeClr w14:val="tx1"/>
                  </w14:solidFill>
                </w14:textFill>
              </w:rPr>
              <w:object>
                <v:shape id="_x0000_i1031" o:spt="75" type="#_x0000_t75" style="height:50.35pt;width:270.85pt;" o:ole="t" filled="f" o:preferrelative="t" stroked="f" coordsize="21600,21600">
                  <v:path/>
                  <v:fill on="f" focussize="0,0"/>
                  <v:stroke on="f" joinstyle="miter"/>
                  <v:imagedata r:id="rId28" o:title=""/>
                  <o:lock v:ext="edit" aspectratio="t"/>
                  <w10:wrap type="none"/>
                  <w10:anchorlock/>
                </v:shape>
                <o:OLEObject Type="Embed" ProgID="Equation.3" ShapeID="_x0000_i1031" DrawAspect="Content" ObjectID="_1468075731" r:id="rId27">
                  <o:LockedField>false</o:LockedField>
                </o:OLEObject>
              </w:object>
            </w:r>
          </w:p>
          <w:p w14:paraId="5F34B7AD">
            <w:pPr>
              <w:widowControl/>
              <w:ind w:firstLine="480"/>
              <w:jc w:val="left"/>
              <w:rPr>
                <w:color w:val="000000" w:themeColor="text1"/>
                <w14:textFill>
                  <w14:solidFill>
                    <w14:schemeClr w14:val="tx1"/>
                  </w14:solidFill>
                </w14:textFill>
              </w:rPr>
            </w:pPr>
            <w:r>
              <w:rPr>
                <w:rFonts w:hint="eastAsia" w:cs="宋体"/>
                <w:color w:val="000000" w:themeColor="text1"/>
                <w:kern w:val="0"/>
                <w:lang w:bidi="ar"/>
                <w14:textFill>
                  <w14:solidFill>
                    <w14:schemeClr w14:val="tx1"/>
                  </w14:solidFill>
                </w14:textFill>
              </w:rPr>
              <w:t>式中：</w:t>
            </w:r>
            <w:r>
              <w:rPr>
                <w:color w:val="000000" w:themeColor="text1"/>
                <w:kern w:val="0"/>
                <w:lang w:bidi="ar"/>
                <w14:textFill>
                  <w14:solidFill>
                    <w14:schemeClr w14:val="tx1"/>
                  </w14:solidFill>
                </w14:textFill>
              </w:rPr>
              <w:t>Leq</w:t>
            </w:r>
            <w:r>
              <w:rPr>
                <w:rFonts w:hint="eastAsia" w:cs="宋体"/>
                <w:color w:val="000000" w:themeColor="text1"/>
                <w:kern w:val="0"/>
                <w:vertAlign w:val="subscript"/>
                <w:lang w:bidi="ar"/>
                <w14:textFill>
                  <w14:solidFill>
                    <w14:schemeClr w14:val="tx1"/>
                  </w14:solidFill>
                </w14:textFill>
              </w:rPr>
              <w:t>总</w:t>
            </w:r>
            <w:r>
              <w:rPr>
                <w:color w:val="000000" w:themeColor="text1"/>
                <w:kern w:val="0"/>
                <w:lang w:bidi="ar"/>
                <w14:textFill>
                  <w14:solidFill>
                    <w14:schemeClr w14:val="tx1"/>
                  </w14:solidFill>
                </w14:textFill>
              </w:rPr>
              <w:t>—</w:t>
            </w:r>
            <w:r>
              <w:rPr>
                <w:rFonts w:hint="eastAsia" w:cs="宋体"/>
                <w:color w:val="000000" w:themeColor="text1"/>
                <w:kern w:val="0"/>
                <w:lang w:bidi="ar"/>
                <w14:textFill>
                  <w14:solidFill>
                    <w14:schemeClr w14:val="tx1"/>
                  </w14:solidFill>
                </w14:textFill>
              </w:rPr>
              <w:t>某预测点总声压级，</w:t>
            </w:r>
            <w:r>
              <w:rPr>
                <w:color w:val="000000" w:themeColor="text1"/>
                <w:kern w:val="0"/>
                <w:lang w:bidi="ar"/>
                <w14:textFill>
                  <w14:solidFill>
                    <w14:schemeClr w14:val="tx1"/>
                  </w14:solidFill>
                </w14:textFill>
              </w:rPr>
              <w:t>dB</w:t>
            </w:r>
            <w:r>
              <w:rPr>
                <w:rFonts w:hint="eastAsia"/>
                <w:color w:val="000000" w:themeColor="text1"/>
                <w:kern w:val="0"/>
                <w:lang w:bidi="ar"/>
                <w14:textFill>
                  <w14:solidFill>
                    <w14:schemeClr w14:val="tx1"/>
                  </w14:solidFill>
                </w14:textFill>
              </w:rPr>
              <w:t>（</w:t>
            </w:r>
            <w:r>
              <w:rPr>
                <w:color w:val="000000" w:themeColor="text1"/>
                <w:kern w:val="0"/>
                <w:lang w:bidi="ar"/>
                <w14:textFill>
                  <w14:solidFill>
                    <w14:schemeClr w14:val="tx1"/>
                  </w14:solidFill>
                </w14:textFill>
              </w:rPr>
              <w:t>A</w:t>
            </w:r>
            <w:r>
              <w:rPr>
                <w:rFonts w:hint="eastAsia"/>
                <w:color w:val="000000" w:themeColor="text1"/>
                <w:kern w:val="0"/>
                <w:lang w:bidi="ar"/>
                <w14:textFill>
                  <w14:solidFill>
                    <w14:schemeClr w14:val="tx1"/>
                  </w14:solidFill>
                </w14:textFill>
              </w:rPr>
              <w:t>）</w:t>
            </w:r>
            <w:r>
              <w:rPr>
                <w:rFonts w:hint="eastAsia" w:cs="宋体"/>
                <w:color w:val="000000" w:themeColor="text1"/>
                <w:kern w:val="0"/>
                <w:lang w:bidi="ar"/>
                <w14:textFill>
                  <w14:solidFill>
                    <w14:schemeClr w14:val="tx1"/>
                  </w14:solidFill>
                </w14:textFill>
              </w:rPr>
              <w:t xml:space="preserve">； </w:t>
            </w:r>
          </w:p>
          <w:p w14:paraId="04775EEA">
            <w:pPr>
              <w:widowControl/>
              <w:ind w:firstLine="1200" w:firstLineChars="500"/>
              <w:jc w:val="left"/>
              <w:rPr>
                <w:color w:val="000000" w:themeColor="text1"/>
                <w14:textFill>
                  <w14:solidFill>
                    <w14:schemeClr w14:val="tx1"/>
                  </w14:solidFill>
                </w14:textFill>
              </w:rPr>
            </w:pPr>
            <w:r>
              <w:rPr>
                <w:color w:val="000000" w:themeColor="text1"/>
                <w:kern w:val="0"/>
                <w:lang w:bidi="ar"/>
                <w14:textFill>
                  <w14:solidFill>
                    <w14:schemeClr w14:val="tx1"/>
                  </w14:solidFill>
                </w14:textFill>
              </w:rPr>
              <w:t>n—</w:t>
            </w:r>
            <w:r>
              <w:rPr>
                <w:rFonts w:hint="eastAsia" w:cs="宋体"/>
                <w:color w:val="000000" w:themeColor="text1"/>
                <w:kern w:val="0"/>
                <w:lang w:bidi="ar"/>
                <w14:textFill>
                  <w14:solidFill>
                    <w14:schemeClr w14:val="tx1"/>
                  </w14:solidFill>
                </w14:textFill>
              </w:rPr>
              <w:t xml:space="preserve">为室外声源个数； </w:t>
            </w:r>
          </w:p>
          <w:p w14:paraId="7280DC2B">
            <w:pPr>
              <w:widowControl/>
              <w:ind w:firstLine="1200" w:firstLineChars="500"/>
              <w:jc w:val="left"/>
              <w:rPr>
                <w:color w:val="000000" w:themeColor="text1"/>
                <w14:textFill>
                  <w14:solidFill>
                    <w14:schemeClr w14:val="tx1"/>
                  </w14:solidFill>
                </w14:textFill>
              </w:rPr>
            </w:pPr>
            <w:r>
              <w:rPr>
                <w:color w:val="000000" w:themeColor="text1"/>
                <w:kern w:val="0"/>
                <w:lang w:bidi="ar"/>
                <w14:textFill>
                  <w14:solidFill>
                    <w14:schemeClr w14:val="tx1"/>
                  </w14:solidFill>
                </w14:textFill>
              </w:rPr>
              <w:t>m—</w:t>
            </w:r>
            <w:r>
              <w:rPr>
                <w:rFonts w:hint="eastAsia" w:cs="宋体"/>
                <w:color w:val="000000" w:themeColor="text1"/>
                <w:kern w:val="0"/>
                <w:lang w:bidi="ar"/>
                <w14:textFill>
                  <w14:solidFill>
                    <w14:schemeClr w14:val="tx1"/>
                  </w14:solidFill>
                </w14:textFill>
              </w:rPr>
              <w:t xml:space="preserve">为等效室外声源个数； </w:t>
            </w:r>
          </w:p>
          <w:p w14:paraId="548B616B">
            <w:pPr>
              <w:widowControl/>
              <w:ind w:firstLine="1200" w:firstLineChars="500"/>
              <w:jc w:val="left"/>
              <w:rPr>
                <w:color w:val="000000" w:themeColor="text1"/>
                <w14:textFill>
                  <w14:solidFill>
                    <w14:schemeClr w14:val="tx1"/>
                  </w14:solidFill>
                </w14:textFill>
              </w:rPr>
            </w:pPr>
            <w:r>
              <w:rPr>
                <w:color w:val="000000" w:themeColor="text1"/>
                <w:kern w:val="0"/>
                <w:lang w:bidi="ar"/>
                <w14:textFill>
                  <w14:solidFill>
                    <w14:schemeClr w14:val="tx1"/>
                  </w14:solidFill>
                </w14:textFill>
              </w:rPr>
              <w:t>T—</w:t>
            </w:r>
            <w:r>
              <w:rPr>
                <w:rFonts w:hint="eastAsia" w:cs="宋体"/>
                <w:color w:val="000000" w:themeColor="text1"/>
                <w:kern w:val="0"/>
                <w:lang w:bidi="ar"/>
                <w14:textFill>
                  <w14:solidFill>
                    <w14:schemeClr w14:val="tx1"/>
                  </w14:solidFill>
                </w14:textFill>
              </w:rPr>
              <w:t xml:space="preserve">为计算等效声级时间。 </w:t>
            </w:r>
          </w:p>
          <w:p w14:paraId="0225333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表4-</w:t>
            </w:r>
            <w:r>
              <w:rPr>
                <w:rFonts w:hint="eastAsia"/>
                <w:b/>
                <w:bCs/>
                <w:color w:val="000000" w:themeColor="text1"/>
                <w:sz w:val="21"/>
                <w:szCs w:val="21"/>
                <w:lang w:val="en-US" w:eastAsia="zh-CN"/>
                <w14:textFill>
                  <w14:solidFill>
                    <w14:schemeClr w14:val="tx1"/>
                  </w14:solidFill>
                </w14:textFill>
              </w:rPr>
              <w:t>10</w:t>
            </w:r>
            <w:r>
              <w:rPr>
                <w:rFonts w:hint="eastAsia"/>
                <w:b/>
                <w:bCs/>
                <w:color w:val="000000" w:themeColor="text1"/>
                <w:sz w:val="21"/>
                <w:szCs w:val="21"/>
                <w14:textFill>
                  <w14:solidFill>
                    <w14:schemeClr w14:val="tx1"/>
                  </w14:solidFill>
                </w14:textFill>
              </w:rPr>
              <w:t xml:space="preserve">    </w:t>
            </w:r>
            <w:r>
              <w:rPr>
                <w:b/>
                <w:bCs/>
                <w:color w:val="000000" w:themeColor="text1"/>
                <w:sz w:val="21"/>
                <w:szCs w:val="21"/>
                <w14:textFill>
                  <w14:solidFill>
                    <w14:schemeClr w14:val="tx1"/>
                  </w14:solidFill>
                </w14:textFill>
              </w:rPr>
              <w:t>噪声预测结果</w:t>
            </w:r>
          </w:p>
          <w:tbl>
            <w:tblPr>
              <w:tblStyle w:val="4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1359"/>
              <w:gridCol w:w="1360"/>
              <w:gridCol w:w="1361"/>
              <w:gridCol w:w="1361"/>
              <w:gridCol w:w="1361"/>
              <w:gridCol w:w="1361"/>
            </w:tblGrid>
            <w:tr w14:paraId="01F3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Merge w:val="restart"/>
                  <w:tcBorders>
                    <w:top w:val="single" w:color="000000" w:sz="12" w:space="0"/>
                    <w:left w:val="nil"/>
                    <w:tl2br w:val="nil"/>
                  </w:tcBorders>
                  <w:shd w:val="clear" w:color="auto" w:fill="FFFFFF"/>
                  <w:vAlign w:val="center"/>
                </w:tcPr>
                <w:p w14:paraId="130BF43C">
                  <w:pPr>
                    <w:ind w:left="0" w:leftChars="0" w:firstLine="0" w:firstLineChars="0"/>
                    <w:rPr>
                      <w:rFonts w:hint="eastAsia" w:eastAsia="宋体"/>
                      <w:b w:val="0"/>
                      <w:bCs/>
                      <w:color w:val="000000" w:themeColor="text1"/>
                      <w:sz w:val="21"/>
                      <w:szCs w:val="21"/>
                      <w:vertAlign w:val="baseline"/>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预测点位</w:t>
                  </w:r>
                </w:p>
              </w:tc>
              <w:tc>
                <w:tcPr>
                  <w:tcW w:w="2719" w:type="dxa"/>
                  <w:gridSpan w:val="2"/>
                  <w:tcBorders>
                    <w:top w:val="single" w:color="000000" w:sz="12" w:space="0"/>
                  </w:tcBorders>
                  <w:shd w:val="clear" w:color="auto" w:fill="FFFFFF"/>
                  <w:vAlign w:val="center"/>
                </w:tcPr>
                <w:p w14:paraId="1AE8534D">
                  <w:pPr>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噪声标准/dB(A)</w:t>
                  </w:r>
                </w:p>
              </w:tc>
              <w:tc>
                <w:tcPr>
                  <w:tcW w:w="2722" w:type="dxa"/>
                  <w:gridSpan w:val="2"/>
                  <w:tcBorders>
                    <w:top w:val="single" w:color="000000" w:sz="12" w:space="0"/>
                  </w:tcBorders>
                  <w:shd w:val="clear" w:color="auto" w:fill="FFFFFF"/>
                  <w:vAlign w:val="center"/>
                </w:tcPr>
                <w:p w14:paraId="0ECEBADB">
                  <w:pPr>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噪声贡献值/dB(A)</w:t>
                  </w:r>
                </w:p>
              </w:tc>
              <w:tc>
                <w:tcPr>
                  <w:tcW w:w="2722" w:type="dxa"/>
                  <w:gridSpan w:val="2"/>
                  <w:tcBorders>
                    <w:top w:val="single" w:color="000000" w:sz="12" w:space="0"/>
                    <w:right w:val="nil"/>
                  </w:tcBorders>
                  <w:shd w:val="clear" w:color="auto" w:fill="FFFFFF"/>
                  <w:vAlign w:val="center"/>
                </w:tcPr>
                <w:p w14:paraId="7FBCDE81">
                  <w:pPr>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超标和达标情况</w:t>
                  </w:r>
                </w:p>
              </w:tc>
            </w:tr>
            <w:tr w14:paraId="6121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Merge w:val="continue"/>
                  <w:tcBorders>
                    <w:left w:val="nil"/>
                  </w:tcBorders>
                  <w:shd w:val="clear" w:color="auto" w:fill="FFFFFF"/>
                  <w:vAlign w:val="center"/>
                </w:tcPr>
                <w:p w14:paraId="06E849F8">
                  <w:pPr>
                    <w:rPr>
                      <w:b w:val="0"/>
                      <w:bCs/>
                      <w:color w:val="000000" w:themeColor="text1"/>
                      <w:sz w:val="21"/>
                      <w:szCs w:val="21"/>
                      <w:vertAlign w:val="baseline"/>
                      <w14:textFill>
                        <w14:solidFill>
                          <w14:schemeClr w14:val="tx1"/>
                        </w14:solidFill>
                      </w14:textFill>
                    </w:rPr>
                  </w:pPr>
                </w:p>
              </w:tc>
              <w:tc>
                <w:tcPr>
                  <w:tcW w:w="1359" w:type="dxa"/>
                  <w:shd w:val="clear" w:color="auto" w:fill="FFFFFF"/>
                  <w:vAlign w:val="center"/>
                </w:tcPr>
                <w:p w14:paraId="0D7C37BD">
                  <w:pPr>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昼间</w:t>
                  </w:r>
                </w:p>
              </w:tc>
              <w:tc>
                <w:tcPr>
                  <w:tcW w:w="1360" w:type="dxa"/>
                  <w:shd w:val="clear" w:color="auto" w:fill="FFFFFF"/>
                  <w:vAlign w:val="center"/>
                </w:tcPr>
                <w:p w14:paraId="2DFAF58A">
                  <w:pPr>
                    <w:rPr>
                      <w:b w:val="0"/>
                      <w:bCs/>
                      <w:color w:val="000000" w:themeColor="text1"/>
                      <w:sz w:val="21"/>
                      <w:szCs w:val="21"/>
                      <w:vertAlign w:val="baseline"/>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夜间</w:t>
                  </w:r>
                </w:p>
              </w:tc>
              <w:tc>
                <w:tcPr>
                  <w:tcW w:w="1361" w:type="dxa"/>
                  <w:shd w:val="clear" w:color="auto" w:fill="FFFFFF"/>
                  <w:vAlign w:val="center"/>
                </w:tcPr>
                <w:p w14:paraId="0E6B707D">
                  <w:pPr>
                    <w:ind w:firstLine="420" w:firstLineChars="200"/>
                    <w:rPr>
                      <w:rFonts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昼间</w:t>
                  </w:r>
                </w:p>
              </w:tc>
              <w:tc>
                <w:tcPr>
                  <w:tcW w:w="1361" w:type="dxa"/>
                  <w:shd w:val="clear" w:color="auto" w:fill="FFFFFF"/>
                  <w:vAlign w:val="center"/>
                </w:tcPr>
                <w:p w14:paraId="036E897F">
                  <w:pPr>
                    <w:ind w:firstLine="420" w:firstLineChars="200"/>
                    <w:rPr>
                      <w:rFonts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夜间</w:t>
                  </w:r>
                </w:p>
              </w:tc>
              <w:tc>
                <w:tcPr>
                  <w:tcW w:w="1361" w:type="dxa"/>
                  <w:shd w:val="clear" w:color="auto" w:fill="FFFFFF"/>
                  <w:vAlign w:val="center"/>
                </w:tcPr>
                <w:p w14:paraId="41DA5E04">
                  <w:pPr>
                    <w:ind w:firstLine="420" w:firstLineChars="200"/>
                    <w:rPr>
                      <w:rFonts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昼间</w:t>
                  </w:r>
                </w:p>
              </w:tc>
              <w:tc>
                <w:tcPr>
                  <w:tcW w:w="1361" w:type="dxa"/>
                  <w:tcBorders>
                    <w:right w:val="nil"/>
                  </w:tcBorders>
                  <w:shd w:val="clear" w:color="auto" w:fill="FFFFFF"/>
                  <w:vAlign w:val="center"/>
                </w:tcPr>
                <w:p w14:paraId="7F239429">
                  <w:pPr>
                    <w:ind w:firstLine="420" w:firstLineChars="200"/>
                    <w:rPr>
                      <w:rFonts w:ascii="Times New Roman" w:hAnsi="Times New Roman" w:eastAsia="宋体" w:cs="Times New Roman"/>
                      <w:b w:val="0"/>
                      <w:bCs/>
                      <w:color w:val="000000" w:themeColor="text1"/>
                      <w:kern w:val="2"/>
                      <w:sz w:val="21"/>
                      <w:szCs w:val="21"/>
                      <w:vertAlign w:val="baseline"/>
                      <w:lang w:val="en-US" w:eastAsia="zh-CN" w:bidi="ar-SA"/>
                      <w14:textFill>
                        <w14:solidFill>
                          <w14:schemeClr w14:val="tx1"/>
                        </w14:solidFill>
                      </w14:textFill>
                    </w:rPr>
                  </w:pPr>
                  <w:r>
                    <w:rPr>
                      <w:rFonts w:hint="eastAsia"/>
                      <w:b w:val="0"/>
                      <w:bCs/>
                      <w:color w:val="000000" w:themeColor="text1"/>
                      <w:sz w:val="21"/>
                      <w:szCs w:val="21"/>
                      <w:vertAlign w:val="baseline"/>
                      <w14:textFill>
                        <w14:solidFill>
                          <w14:schemeClr w14:val="tx1"/>
                        </w14:solidFill>
                      </w14:textFill>
                    </w:rPr>
                    <w:t>夜间</w:t>
                  </w:r>
                </w:p>
              </w:tc>
            </w:tr>
            <w:tr w14:paraId="32F1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Borders>
                    <w:left w:val="nil"/>
                  </w:tcBorders>
                  <w:shd w:val="clear" w:color="auto" w:fill="FFFFFF"/>
                  <w:vAlign w:val="center"/>
                </w:tcPr>
                <w:p w14:paraId="4B7A0BCD">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东厂界</w:t>
                  </w:r>
                </w:p>
              </w:tc>
              <w:tc>
                <w:tcPr>
                  <w:tcW w:w="1359" w:type="dxa"/>
                  <w:shd w:val="clear" w:color="auto" w:fill="FFFFFF"/>
                  <w:vAlign w:val="center"/>
                </w:tcPr>
                <w:p w14:paraId="0EA91505">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60</w:t>
                  </w:r>
                </w:p>
              </w:tc>
              <w:tc>
                <w:tcPr>
                  <w:tcW w:w="1360" w:type="dxa"/>
                  <w:shd w:val="clear" w:color="auto" w:fill="FFFFFF"/>
                  <w:vAlign w:val="center"/>
                </w:tcPr>
                <w:p w14:paraId="7652F614">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50</w:t>
                  </w:r>
                </w:p>
              </w:tc>
              <w:tc>
                <w:tcPr>
                  <w:tcW w:w="1361" w:type="dxa"/>
                  <w:shd w:val="clear" w:color="auto" w:fill="FFFFFF"/>
                  <w:vAlign w:val="center"/>
                </w:tcPr>
                <w:p w14:paraId="554C2408">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35</w:t>
                  </w:r>
                </w:p>
              </w:tc>
              <w:tc>
                <w:tcPr>
                  <w:tcW w:w="1361" w:type="dxa"/>
                  <w:shd w:val="clear" w:color="auto" w:fill="FFFFFF"/>
                  <w:vAlign w:val="center"/>
                </w:tcPr>
                <w:p w14:paraId="02C93019">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35</w:t>
                  </w:r>
                </w:p>
              </w:tc>
              <w:tc>
                <w:tcPr>
                  <w:tcW w:w="1361" w:type="dxa"/>
                  <w:shd w:val="clear" w:color="auto" w:fill="FFFFFF"/>
                  <w:vAlign w:val="center"/>
                </w:tcPr>
                <w:p w14:paraId="1627DC2B">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达标</w:t>
                  </w:r>
                </w:p>
              </w:tc>
              <w:tc>
                <w:tcPr>
                  <w:tcW w:w="1361" w:type="dxa"/>
                  <w:tcBorders>
                    <w:right w:val="nil"/>
                  </w:tcBorders>
                  <w:shd w:val="clear" w:color="auto" w:fill="FFFFFF"/>
                  <w:vAlign w:val="center"/>
                </w:tcPr>
                <w:p w14:paraId="3B20E2A9">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达标</w:t>
                  </w:r>
                </w:p>
              </w:tc>
            </w:tr>
            <w:tr w14:paraId="2E70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Borders>
                    <w:left w:val="nil"/>
                  </w:tcBorders>
                  <w:shd w:val="clear" w:color="auto" w:fill="FFFFFF"/>
                  <w:vAlign w:val="center"/>
                </w:tcPr>
                <w:p w14:paraId="512F0BCB">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南厂界</w:t>
                  </w:r>
                </w:p>
              </w:tc>
              <w:tc>
                <w:tcPr>
                  <w:tcW w:w="1359" w:type="dxa"/>
                  <w:shd w:val="clear" w:color="auto" w:fill="FFFFFF"/>
                  <w:vAlign w:val="center"/>
                </w:tcPr>
                <w:p w14:paraId="286954AE">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60</w:t>
                  </w:r>
                </w:p>
              </w:tc>
              <w:tc>
                <w:tcPr>
                  <w:tcW w:w="1360" w:type="dxa"/>
                  <w:shd w:val="clear" w:color="auto" w:fill="FFFFFF"/>
                  <w:vAlign w:val="center"/>
                </w:tcPr>
                <w:p w14:paraId="78CB151E">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50</w:t>
                  </w:r>
                </w:p>
              </w:tc>
              <w:tc>
                <w:tcPr>
                  <w:tcW w:w="1361" w:type="dxa"/>
                  <w:shd w:val="clear" w:color="auto" w:fill="FFFFFF"/>
                  <w:vAlign w:val="center"/>
                </w:tcPr>
                <w:p w14:paraId="14C76B67">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37</w:t>
                  </w:r>
                </w:p>
              </w:tc>
              <w:tc>
                <w:tcPr>
                  <w:tcW w:w="1361" w:type="dxa"/>
                  <w:shd w:val="clear" w:color="auto" w:fill="FFFFFF"/>
                  <w:vAlign w:val="center"/>
                </w:tcPr>
                <w:p w14:paraId="7426FC18">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35</w:t>
                  </w:r>
                </w:p>
              </w:tc>
              <w:tc>
                <w:tcPr>
                  <w:tcW w:w="1361" w:type="dxa"/>
                  <w:shd w:val="clear" w:color="auto" w:fill="FFFFFF"/>
                  <w:vAlign w:val="center"/>
                </w:tcPr>
                <w:p w14:paraId="61A759BA">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达标</w:t>
                  </w:r>
                </w:p>
              </w:tc>
              <w:tc>
                <w:tcPr>
                  <w:tcW w:w="1361" w:type="dxa"/>
                  <w:tcBorders>
                    <w:right w:val="nil"/>
                  </w:tcBorders>
                  <w:shd w:val="clear" w:color="auto" w:fill="FFFFFF"/>
                  <w:vAlign w:val="center"/>
                </w:tcPr>
                <w:p w14:paraId="4B5C3500">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达标</w:t>
                  </w:r>
                </w:p>
              </w:tc>
            </w:tr>
            <w:tr w14:paraId="1528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Borders>
                    <w:left w:val="nil"/>
                  </w:tcBorders>
                  <w:shd w:val="clear" w:color="auto" w:fill="FFFFFF"/>
                  <w:vAlign w:val="center"/>
                </w:tcPr>
                <w:p w14:paraId="2B2E24EB">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西厂界</w:t>
                  </w:r>
                </w:p>
              </w:tc>
              <w:tc>
                <w:tcPr>
                  <w:tcW w:w="1359" w:type="dxa"/>
                  <w:shd w:val="clear" w:color="auto" w:fill="FFFFFF"/>
                  <w:vAlign w:val="center"/>
                </w:tcPr>
                <w:p w14:paraId="591661A7">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60</w:t>
                  </w:r>
                </w:p>
              </w:tc>
              <w:tc>
                <w:tcPr>
                  <w:tcW w:w="1360" w:type="dxa"/>
                  <w:shd w:val="clear" w:color="auto" w:fill="FFFFFF"/>
                  <w:vAlign w:val="center"/>
                </w:tcPr>
                <w:p w14:paraId="23977EC6">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50</w:t>
                  </w:r>
                </w:p>
              </w:tc>
              <w:tc>
                <w:tcPr>
                  <w:tcW w:w="1361" w:type="dxa"/>
                  <w:shd w:val="clear" w:color="auto" w:fill="FFFFFF"/>
                  <w:vAlign w:val="center"/>
                </w:tcPr>
                <w:p w14:paraId="3BAC3570">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46</w:t>
                  </w:r>
                </w:p>
              </w:tc>
              <w:tc>
                <w:tcPr>
                  <w:tcW w:w="1361" w:type="dxa"/>
                  <w:shd w:val="clear" w:color="auto" w:fill="FFFFFF"/>
                  <w:vAlign w:val="center"/>
                </w:tcPr>
                <w:p w14:paraId="36329DBE">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46</w:t>
                  </w:r>
                </w:p>
              </w:tc>
              <w:tc>
                <w:tcPr>
                  <w:tcW w:w="1361" w:type="dxa"/>
                  <w:shd w:val="clear" w:color="auto" w:fill="FFFFFF"/>
                  <w:vAlign w:val="center"/>
                </w:tcPr>
                <w:p w14:paraId="41A2E06F">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达标</w:t>
                  </w:r>
                </w:p>
              </w:tc>
              <w:tc>
                <w:tcPr>
                  <w:tcW w:w="1361" w:type="dxa"/>
                  <w:tcBorders>
                    <w:right w:val="nil"/>
                  </w:tcBorders>
                  <w:shd w:val="clear" w:color="auto" w:fill="FFFFFF"/>
                  <w:vAlign w:val="center"/>
                </w:tcPr>
                <w:p w14:paraId="534911F0">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达标</w:t>
                  </w:r>
                </w:p>
              </w:tc>
            </w:tr>
            <w:tr w14:paraId="22A8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tcBorders>
                    <w:left w:val="nil"/>
                    <w:bottom w:val="single" w:color="000000" w:sz="12" w:space="0"/>
                  </w:tcBorders>
                  <w:shd w:val="clear" w:color="auto" w:fill="FFFFFF"/>
                  <w:vAlign w:val="center"/>
                </w:tcPr>
                <w:p w14:paraId="21A7CF34">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北厂界</w:t>
                  </w:r>
                </w:p>
              </w:tc>
              <w:tc>
                <w:tcPr>
                  <w:tcW w:w="1359" w:type="dxa"/>
                  <w:tcBorders>
                    <w:bottom w:val="single" w:color="000000" w:sz="12" w:space="0"/>
                  </w:tcBorders>
                  <w:shd w:val="clear" w:color="auto" w:fill="FFFFFF"/>
                  <w:vAlign w:val="center"/>
                </w:tcPr>
                <w:p w14:paraId="3401944F">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60</w:t>
                  </w:r>
                </w:p>
              </w:tc>
              <w:tc>
                <w:tcPr>
                  <w:tcW w:w="1360" w:type="dxa"/>
                  <w:tcBorders>
                    <w:bottom w:val="single" w:color="000000" w:sz="12" w:space="0"/>
                  </w:tcBorders>
                  <w:shd w:val="clear" w:color="auto" w:fill="FFFFFF"/>
                  <w:vAlign w:val="center"/>
                </w:tcPr>
                <w:p w14:paraId="6E19AEF8">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50</w:t>
                  </w:r>
                </w:p>
              </w:tc>
              <w:tc>
                <w:tcPr>
                  <w:tcW w:w="1361" w:type="dxa"/>
                  <w:tcBorders>
                    <w:bottom w:val="single" w:color="000000" w:sz="12" w:space="0"/>
                  </w:tcBorders>
                  <w:shd w:val="clear" w:color="auto" w:fill="FFFFFF"/>
                  <w:vAlign w:val="center"/>
                </w:tcPr>
                <w:p w14:paraId="1B016AB2">
                  <w:pPr>
                    <w:pStyle w:val="250"/>
                    <w:spacing w:line="240" w:lineRule="auto"/>
                    <w:ind w:firstLine="0" w:firstLineChars="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42</w:t>
                  </w:r>
                </w:p>
              </w:tc>
              <w:tc>
                <w:tcPr>
                  <w:tcW w:w="1361" w:type="dxa"/>
                  <w:tcBorders>
                    <w:bottom w:val="single" w:color="000000" w:sz="12" w:space="0"/>
                  </w:tcBorders>
                  <w:shd w:val="clear" w:color="auto" w:fill="FFFFFF"/>
                  <w:vAlign w:val="center"/>
                </w:tcPr>
                <w:p w14:paraId="434B2A0B">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42</w:t>
                  </w:r>
                </w:p>
              </w:tc>
              <w:tc>
                <w:tcPr>
                  <w:tcW w:w="1361" w:type="dxa"/>
                  <w:tcBorders>
                    <w:bottom w:val="single" w:color="000000" w:sz="12" w:space="0"/>
                  </w:tcBorders>
                  <w:shd w:val="clear" w:color="auto" w:fill="FFFFFF"/>
                  <w:vAlign w:val="center"/>
                </w:tcPr>
                <w:p w14:paraId="2029C6B7">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达标</w:t>
                  </w:r>
                </w:p>
              </w:tc>
              <w:tc>
                <w:tcPr>
                  <w:tcW w:w="1361" w:type="dxa"/>
                  <w:tcBorders>
                    <w:bottom w:val="single" w:color="000000" w:sz="12" w:space="0"/>
                    <w:right w:val="nil"/>
                  </w:tcBorders>
                  <w:shd w:val="clear" w:color="auto" w:fill="FFFFFF"/>
                  <w:vAlign w:val="center"/>
                </w:tcPr>
                <w:p w14:paraId="0DAA4887">
                  <w:pPr>
                    <w:pStyle w:val="250"/>
                    <w:spacing w:line="240" w:lineRule="auto"/>
                    <w:ind w:firstLine="0" w:firstLineChars="0"/>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达标</w:t>
                  </w:r>
                </w:p>
              </w:tc>
            </w:tr>
          </w:tbl>
          <w:p w14:paraId="51DFB09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从表4-</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预测结果看，本项目各生产设备安装减振基础等降噪、减振措施，风机安装消声措施，产生的噪声再经墙体隔声和距离衰减，该项目正式投产后，东、南、西、北厂界噪声昼间预测值均满足《工业企业厂界环境噪声排放标准》（GB12348-2008）中的</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类标准，故本项目运营后设备噪声对周围的环境影响较小。</w:t>
            </w:r>
          </w:p>
          <w:p w14:paraId="0D85EDB8">
            <w:pPr>
              <w:pStyle w:val="200"/>
              <w:ind w:firstLine="482"/>
              <w:rPr>
                <w:b/>
                <w:bCs/>
                <w:color w:val="000000" w:themeColor="text1"/>
                <w:kern w:val="2"/>
                <w:sz w:val="24"/>
                <w:szCs w:val="24"/>
                <w14:textFill>
                  <w14:solidFill>
                    <w14:schemeClr w14:val="tx1"/>
                  </w14:solidFill>
                </w14:textFill>
              </w:rPr>
            </w:pPr>
            <w:r>
              <w:rPr>
                <w:b/>
                <w:bCs/>
                <w:color w:val="000000" w:themeColor="text1"/>
                <w:sz w:val="24"/>
                <w:szCs w:val="24"/>
                <w14:textFill>
                  <w14:solidFill>
                    <w14:schemeClr w14:val="tx1"/>
                  </w14:solidFill>
                </w14:textFill>
              </w:rPr>
              <w:t>（3）</w:t>
            </w:r>
            <w:r>
              <w:rPr>
                <w:b/>
                <w:bCs/>
                <w:color w:val="000000" w:themeColor="text1"/>
                <w:kern w:val="2"/>
                <w:sz w:val="24"/>
                <w:szCs w:val="24"/>
                <w14:textFill>
                  <w14:solidFill>
                    <w14:schemeClr w14:val="tx1"/>
                  </w14:solidFill>
                </w14:textFill>
              </w:rPr>
              <w:t>监测计划</w:t>
            </w:r>
          </w:p>
          <w:p w14:paraId="090A2470">
            <w:pPr>
              <w:ind w:firstLine="480"/>
              <w:rPr>
                <w:rFonts w:hint="eastAsia"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4"/>
                <w:szCs w:val="24"/>
                <w:shd w:val="clear" w:color="auto" w:fill="FFFFFF"/>
                <w:lang w:val="en-US" w:eastAsia="zh-CN"/>
                <w14:textFill>
                  <w14:solidFill>
                    <w14:schemeClr w14:val="tx1"/>
                  </w14:solidFill>
                </w14:textFill>
              </w:rPr>
              <w:t>本项目运营期噪声监测计划见表4-</w:t>
            </w:r>
            <w:r>
              <w:rPr>
                <w:rFonts w:hint="eastAsia" w:cs="Times New Roman"/>
                <w:color w:val="000000" w:themeColor="text1"/>
                <w:sz w:val="24"/>
                <w:szCs w:val="24"/>
                <w:shd w:val="clear" w:color="auto" w:fill="FFFFFF"/>
                <w:lang w:val="en-US" w:eastAsia="zh-CN"/>
                <w14:textFill>
                  <w14:solidFill>
                    <w14:schemeClr w14:val="tx1"/>
                  </w14:solidFill>
                </w14:textFill>
              </w:rPr>
              <w:t>11</w:t>
            </w:r>
            <w:r>
              <w:rPr>
                <w:rFonts w:hint="eastAsia" w:ascii="Times New Roman" w:hAnsi="Times New Roman" w:eastAsia="宋体" w:cs="Times New Roman"/>
                <w:color w:val="000000" w:themeColor="text1"/>
                <w14:textFill>
                  <w14:solidFill>
                    <w14:schemeClr w14:val="tx1"/>
                  </w14:solidFill>
                </w14:textFill>
              </w:rPr>
              <w:t>。</w:t>
            </w:r>
          </w:p>
          <w:p w14:paraId="4327CB01">
            <w:pPr>
              <w:pStyle w:val="2"/>
              <w:spacing w:before="0" w:beforeLines="0" w:after="0" w:afterLines="0"/>
              <w:jc w:val="center"/>
              <w:rPr>
                <w:b/>
                <w:bCs/>
                <w:color w:val="000000" w:themeColor="text1"/>
                <w:sz w:val="24"/>
                <w:szCs w:val="24"/>
                <w14:textFill>
                  <w14:solidFill>
                    <w14:schemeClr w14:val="tx1"/>
                  </w14:solidFill>
                </w14:textFill>
              </w:rPr>
            </w:pPr>
            <w:r>
              <w:rPr>
                <w:b/>
                <w:bCs/>
                <w:color w:val="000000" w:themeColor="text1"/>
                <w:sz w:val="21"/>
                <w:szCs w:val="21"/>
                <w14:textFill>
                  <w14:solidFill>
                    <w14:schemeClr w14:val="tx1"/>
                  </w14:solidFill>
                </w14:textFill>
              </w:rPr>
              <w:t>表4-</w:t>
            </w:r>
            <w:r>
              <w:rPr>
                <w:rFonts w:hint="eastAsia"/>
                <w:b/>
                <w:bCs/>
                <w:color w:val="000000" w:themeColor="text1"/>
                <w:sz w:val="21"/>
                <w:szCs w:val="21"/>
                <w:lang w:val="en-US" w:eastAsia="zh-CN"/>
                <w14:textFill>
                  <w14:solidFill>
                    <w14:schemeClr w14:val="tx1"/>
                  </w14:solidFill>
                </w14:textFill>
              </w:rPr>
              <w:t>11</w:t>
            </w:r>
            <w:r>
              <w:rPr>
                <w:b/>
                <w:bCs/>
                <w:color w:val="000000" w:themeColor="text1"/>
                <w:sz w:val="21"/>
                <w:szCs w:val="21"/>
                <w14:textFill>
                  <w14:solidFill>
                    <w14:schemeClr w14:val="tx1"/>
                  </w14:solidFill>
                </w14:textFill>
              </w:rPr>
              <w:t xml:space="preserve">   噪声污染源自行监测计划</w:t>
            </w:r>
          </w:p>
          <w:tbl>
            <w:tblPr>
              <w:tblStyle w:val="42"/>
              <w:tblW w:w="499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30"/>
              <w:gridCol w:w="1343"/>
              <w:gridCol w:w="1479"/>
              <w:gridCol w:w="1318"/>
              <w:gridCol w:w="1335"/>
              <w:gridCol w:w="2953"/>
            </w:tblGrid>
            <w:tr w14:paraId="201205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PrEx>
              <w:trPr>
                <w:trHeight w:val="340" w:hRule="atLeast"/>
                <w:tblHeader/>
                <w:jc w:val="center"/>
              </w:trPr>
              <w:tc>
                <w:tcPr>
                  <w:tcW w:w="591" w:type="pct"/>
                  <w:tcBorders>
                    <w:top w:val="single" w:color="000000" w:sz="12" w:space="0"/>
                    <w:tl2br w:val="nil"/>
                    <w:tr2bl w:val="nil"/>
                  </w:tcBorders>
                  <w:shd w:val="clear" w:color="auto" w:fill="FFFFFF"/>
                  <w:vAlign w:val="center"/>
                </w:tcPr>
                <w:p w14:paraId="68A3CED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污染</w:t>
                  </w:r>
                </w:p>
                <w:p w14:paraId="6F43C488">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类型</w:t>
                  </w:r>
                </w:p>
              </w:tc>
              <w:tc>
                <w:tcPr>
                  <w:tcW w:w="702" w:type="pct"/>
                  <w:tcBorders>
                    <w:top w:val="single" w:color="000000" w:sz="12" w:space="0"/>
                    <w:tl2br w:val="nil"/>
                    <w:tr2bl w:val="nil"/>
                  </w:tcBorders>
                  <w:shd w:val="clear" w:color="auto" w:fill="FFFFFF"/>
                  <w:vAlign w:val="center"/>
                </w:tcPr>
                <w:p w14:paraId="15D783DA">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监测点位</w:t>
                  </w:r>
                </w:p>
              </w:tc>
              <w:tc>
                <w:tcPr>
                  <w:tcW w:w="773" w:type="pct"/>
                  <w:tcBorders>
                    <w:top w:val="single" w:color="000000" w:sz="12" w:space="0"/>
                    <w:tl2br w:val="nil"/>
                    <w:tr2bl w:val="nil"/>
                  </w:tcBorders>
                  <w:shd w:val="clear" w:color="auto" w:fill="FFFFFF"/>
                  <w:vAlign w:val="center"/>
                </w:tcPr>
                <w:p w14:paraId="07EA122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eastAsia="宋体"/>
                      <w:b w:val="0"/>
                      <w:bCs/>
                      <w:color w:val="000000" w:themeColor="text1"/>
                      <w:lang w:val="en-US" w:eastAsia="zh-CN"/>
                      <w14:textFill>
                        <w14:solidFill>
                          <w14:schemeClr w14:val="tx1"/>
                        </w14:solidFill>
                      </w14:textFill>
                    </w:rPr>
                  </w:pPr>
                  <w:r>
                    <w:rPr>
                      <w:rFonts w:hint="eastAsia"/>
                      <w:b w:val="0"/>
                      <w:bCs/>
                      <w:color w:val="000000" w:themeColor="text1"/>
                      <w:lang w:val="en-US" w:eastAsia="zh-CN"/>
                      <w14:textFill>
                        <w14:solidFill>
                          <w14:schemeClr w14:val="tx1"/>
                        </w14:solidFill>
                      </w14:textFill>
                    </w:rPr>
                    <w:t>监测时段</w:t>
                  </w:r>
                </w:p>
              </w:tc>
              <w:tc>
                <w:tcPr>
                  <w:tcW w:w="689" w:type="pct"/>
                  <w:tcBorders>
                    <w:top w:val="single" w:color="000000" w:sz="12" w:space="0"/>
                    <w:tl2br w:val="nil"/>
                    <w:tr2bl w:val="nil"/>
                  </w:tcBorders>
                  <w:shd w:val="clear" w:color="auto" w:fill="FFFFFF"/>
                  <w:vAlign w:val="center"/>
                </w:tcPr>
                <w:p w14:paraId="39C6E80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监测项目</w:t>
                  </w:r>
                </w:p>
              </w:tc>
              <w:tc>
                <w:tcPr>
                  <w:tcW w:w="698" w:type="pct"/>
                  <w:tcBorders>
                    <w:top w:val="single" w:color="000000" w:sz="12" w:space="0"/>
                    <w:tl2br w:val="nil"/>
                    <w:tr2bl w:val="nil"/>
                  </w:tcBorders>
                  <w:shd w:val="clear" w:color="auto" w:fill="FFFFFF"/>
                  <w:vAlign w:val="center"/>
                </w:tcPr>
                <w:p w14:paraId="37B87503">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监测频次</w:t>
                  </w:r>
                </w:p>
              </w:tc>
              <w:tc>
                <w:tcPr>
                  <w:tcW w:w="1544" w:type="pct"/>
                  <w:tcBorders>
                    <w:top w:val="single" w:color="000000" w:sz="12" w:space="0"/>
                    <w:tl2br w:val="nil"/>
                    <w:tr2bl w:val="nil"/>
                  </w:tcBorders>
                  <w:shd w:val="clear" w:color="auto" w:fill="FFFFFF"/>
                  <w:vAlign w:val="center"/>
                </w:tcPr>
                <w:p w14:paraId="3A6DC45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bCs/>
                      <w:color w:val="000000" w:themeColor="text1"/>
                      <w14:textFill>
                        <w14:solidFill>
                          <w14:schemeClr w14:val="tx1"/>
                        </w14:solidFill>
                      </w14:textFill>
                    </w:rPr>
                  </w:pPr>
                  <w:r>
                    <w:rPr>
                      <w:b w:val="0"/>
                      <w:bCs/>
                      <w:color w:val="000000" w:themeColor="text1"/>
                      <w14:textFill>
                        <w14:solidFill>
                          <w14:schemeClr w14:val="tx1"/>
                        </w14:solidFill>
                      </w14:textFill>
                    </w:rPr>
                    <w:t>执行标准</w:t>
                  </w:r>
                </w:p>
              </w:tc>
            </w:tr>
            <w:tr w14:paraId="3D111BF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591" w:type="pct"/>
                  <w:tcBorders>
                    <w:bottom w:val="single" w:color="000000" w:sz="12" w:space="0"/>
                    <w:tl2br w:val="nil"/>
                    <w:tr2bl w:val="nil"/>
                  </w:tcBorders>
                  <w:shd w:val="clear" w:color="auto" w:fill="FFFFFF"/>
                  <w:vAlign w:val="center"/>
                </w:tcPr>
                <w:p w14:paraId="6E7100B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噪声</w:t>
                  </w:r>
                </w:p>
              </w:tc>
              <w:tc>
                <w:tcPr>
                  <w:tcW w:w="702" w:type="pct"/>
                  <w:tcBorders>
                    <w:bottom w:val="single" w:color="000000" w:sz="12" w:space="0"/>
                    <w:tl2br w:val="nil"/>
                    <w:tr2bl w:val="nil"/>
                  </w:tcBorders>
                  <w:shd w:val="clear" w:color="auto" w:fill="FFFFFF"/>
                  <w:vAlign w:val="center"/>
                </w:tcPr>
                <w:p w14:paraId="0036174C">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厂界四周</w:t>
                  </w:r>
                </w:p>
              </w:tc>
              <w:tc>
                <w:tcPr>
                  <w:tcW w:w="773" w:type="pct"/>
                  <w:tcBorders>
                    <w:bottom w:val="single" w:color="000000" w:sz="12" w:space="0"/>
                    <w:tl2br w:val="nil"/>
                    <w:tr2bl w:val="nil"/>
                  </w:tcBorders>
                  <w:shd w:val="clear" w:color="auto" w:fill="FFFFFF"/>
                  <w:vAlign w:val="center"/>
                </w:tcPr>
                <w:p w14:paraId="362880C6">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eastAsia="宋体"/>
                      <w:b w:val="0"/>
                      <w:color w:val="000000" w:themeColor="text1"/>
                      <w:lang w:val="en-US" w:eastAsia="zh-CN"/>
                      <w14:textFill>
                        <w14:solidFill>
                          <w14:schemeClr w14:val="tx1"/>
                        </w14:solidFill>
                      </w14:textFill>
                    </w:rPr>
                  </w:pPr>
                  <w:r>
                    <w:rPr>
                      <w:rFonts w:hint="eastAsia"/>
                      <w:b w:val="0"/>
                      <w:color w:val="000000" w:themeColor="text1"/>
                      <w:lang w:val="en-US" w:eastAsia="zh-CN"/>
                      <w14:textFill>
                        <w14:solidFill>
                          <w14:schemeClr w14:val="tx1"/>
                        </w14:solidFill>
                      </w14:textFill>
                    </w:rPr>
                    <w:t>昼间、夜间</w:t>
                  </w:r>
                </w:p>
              </w:tc>
              <w:tc>
                <w:tcPr>
                  <w:tcW w:w="689" w:type="pct"/>
                  <w:tcBorders>
                    <w:bottom w:val="single" w:color="000000" w:sz="12" w:space="0"/>
                    <w:tl2br w:val="nil"/>
                    <w:tr2bl w:val="nil"/>
                  </w:tcBorders>
                  <w:shd w:val="clear" w:color="auto" w:fill="FFFFFF"/>
                  <w:vAlign w:val="center"/>
                </w:tcPr>
                <w:p w14:paraId="4AE0EE51">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Leq</w:t>
                  </w:r>
                  <w:r>
                    <w:rPr>
                      <w:rFonts w:hint="eastAsia"/>
                      <w:b w:val="0"/>
                      <w:color w:val="000000" w:themeColor="text1"/>
                      <w:lang w:eastAsia="zh-CN"/>
                      <w14:textFill>
                        <w14:solidFill>
                          <w14:schemeClr w14:val="tx1"/>
                        </w14:solidFill>
                      </w14:textFill>
                    </w:rPr>
                    <w:t>(</w:t>
                  </w:r>
                  <w:r>
                    <w:rPr>
                      <w:b w:val="0"/>
                      <w:color w:val="000000" w:themeColor="text1"/>
                      <w14:textFill>
                        <w14:solidFill>
                          <w14:schemeClr w14:val="tx1"/>
                        </w14:solidFill>
                      </w14:textFill>
                    </w:rPr>
                    <w:t>A</w:t>
                  </w:r>
                  <w:r>
                    <w:rPr>
                      <w:rFonts w:hint="eastAsia"/>
                      <w:b w:val="0"/>
                      <w:color w:val="000000" w:themeColor="text1"/>
                      <w:lang w:eastAsia="zh-CN"/>
                      <w14:textFill>
                        <w14:solidFill>
                          <w14:schemeClr w14:val="tx1"/>
                        </w14:solidFill>
                      </w14:textFill>
                    </w:rPr>
                    <w:t>)</w:t>
                  </w:r>
                </w:p>
              </w:tc>
              <w:tc>
                <w:tcPr>
                  <w:tcW w:w="698" w:type="pct"/>
                  <w:tcBorders>
                    <w:bottom w:val="single" w:color="000000" w:sz="12" w:space="0"/>
                    <w:tl2br w:val="nil"/>
                    <w:tr2bl w:val="nil"/>
                  </w:tcBorders>
                  <w:shd w:val="clear" w:color="auto" w:fill="FFFFFF"/>
                  <w:vAlign w:val="center"/>
                </w:tcPr>
                <w:p w14:paraId="16CFF4F2">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b w:val="0"/>
                      <w:color w:val="000000" w:themeColor="text1"/>
                      <w14:textFill>
                        <w14:solidFill>
                          <w14:schemeClr w14:val="tx1"/>
                        </w14:solidFill>
                      </w14:textFill>
                    </w:rPr>
                  </w:pPr>
                  <w:r>
                    <w:rPr>
                      <w:b w:val="0"/>
                      <w:color w:val="000000" w:themeColor="text1"/>
                      <w14:textFill>
                        <w14:solidFill>
                          <w14:schemeClr w14:val="tx1"/>
                        </w14:solidFill>
                      </w14:textFill>
                    </w:rPr>
                    <w:t>1次/季度</w:t>
                  </w:r>
                </w:p>
              </w:tc>
              <w:tc>
                <w:tcPr>
                  <w:tcW w:w="1544" w:type="pct"/>
                  <w:tcBorders>
                    <w:bottom w:val="single" w:color="000000" w:sz="12" w:space="0"/>
                    <w:tl2br w:val="nil"/>
                    <w:tr2bl w:val="nil"/>
                  </w:tcBorders>
                  <w:shd w:val="clear" w:color="auto" w:fill="FFFFFF"/>
                  <w:vAlign w:val="center"/>
                </w:tcPr>
                <w:p w14:paraId="42F49BFD">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exact"/>
                    <w:textAlignment w:val="auto"/>
                    <w:rPr>
                      <w:rFonts w:hint="default" w:eastAsia="宋体"/>
                      <w:b w:val="0"/>
                      <w:color w:val="000000" w:themeColor="text1"/>
                      <w:lang w:val="en-US" w:eastAsia="zh-CN"/>
                      <w14:textFill>
                        <w14:solidFill>
                          <w14:schemeClr w14:val="tx1"/>
                        </w14:solidFill>
                      </w14:textFill>
                    </w:rPr>
                  </w:pPr>
                  <w:r>
                    <w:rPr>
                      <w:rFonts w:hint="eastAsia"/>
                      <w:b w:val="0"/>
                      <w:color w:val="000000" w:themeColor="text1"/>
                      <w:lang w:eastAsia="zh-CN"/>
                      <w14:textFill>
                        <w14:solidFill>
                          <w14:schemeClr w14:val="tx1"/>
                        </w14:solidFill>
                      </w14:textFill>
                    </w:rPr>
                    <w:t>《</w:t>
                  </w:r>
                  <w:r>
                    <w:rPr>
                      <w:b w:val="0"/>
                      <w:color w:val="000000" w:themeColor="text1"/>
                      <w14:textFill>
                        <w14:solidFill>
                          <w14:schemeClr w14:val="tx1"/>
                        </w14:solidFill>
                      </w14:textFill>
                    </w:rPr>
                    <w:t>工业企业厂界环境噪声排放标准》GB12348-2008</w:t>
                  </w:r>
                  <w:r>
                    <w:rPr>
                      <w:rFonts w:hint="eastAsia"/>
                      <w:b w:val="0"/>
                      <w:color w:val="000000" w:themeColor="text1"/>
                      <w:lang w:val="en-US" w:eastAsia="zh-CN"/>
                      <w14:textFill>
                        <w14:solidFill>
                          <w14:schemeClr w14:val="tx1"/>
                        </w14:solidFill>
                      </w14:textFill>
                    </w:rPr>
                    <w:t xml:space="preserve"> 2类标准</w:t>
                  </w:r>
                </w:p>
              </w:tc>
            </w:tr>
          </w:tbl>
          <w:p w14:paraId="3F555F84">
            <w:pPr>
              <w:pStyle w:val="249"/>
              <w:spacing w:line="360" w:lineRule="auto"/>
              <w:ind w:left="0" w:leftChars="0" w:firstLine="0" w:firstLineChars="0"/>
              <w:rPr>
                <w:rFonts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lang w:val="en-US" w:eastAsia="zh-CN"/>
                <w14:textFill>
                  <w14:solidFill>
                    <w14:schemeClr w14:val="tx1"/>
                  </w14:solidFill>
                </w14:textFill>
              </w:rPr>
              <w:t>四</w:t>
            </w: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14:textFill>
                  <w14:solidFill>
                    <w14:schemeClr w14:val="tx1"/>
                  </w14:solidFill>
                </w14:textFill>
              </w:rPr>
              <w:t>固废</w:t>
            </w:r>
          </w:p>
          <w:p w14:paraId="2FE9E41B">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本项目加工原料为砂厂分选后遗留砂石固废，原料进厂时已完成大块废石、杂质预先分选，进厂物料均为可加工砂石骨料，生产线</w:t>
            </w:r>
            <w:r>
              <w:rPr>
                <w:rFonts w:hint="eastAsia" w:cs="宋体"/>
                <w:color w:val="000000" w:themeColor="text1"/>
                <w:kern w:val="0"/>
                <w:sz w:val="24"/>
                <w:szCs w:val="24"/>
                <w:highlight w:val="none"/>
                <w:lang w:val="en-US" w:eastAsia="zh-CN" w:bidi="ar"/>
                <w14:textFill>
                  <w14:solidFill>
                    <w14:schemeClr w14:val="tx1"/>
                  </w14:solidFill>
                </w14:textFill>
              </w:rPr>
              <w:t>全过</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程仅对原料分级水洗、脱水加工，无不可利用废石分选排出，项目生产全过程不产生废弃废石；所有＞40mm大块石料经滚筛筛分后，全部返回生产线循环破碎加工，实现原料100%内部回用，不存在废石外排、堆存、丢弃情况。运营期固体废物主要为生活垃圾、一般工业固体废物和危险废物，项目各类固体废物分类收集、分区暂存，依托合规处置途径妥善处理，可实现固体废物减量化、资源化、无害化处置，具体固废产生及处置情况如下：</w:t>
            </w:r>
          </w:p>
          <w:p w14:paraId="4AF70D1C">
            <w:pPr>
              <w:pStyle w:val="200"/>
              <w:spacing w:line="360" w:lineRule="auto"/>
              <w:ind w:firstLine="482"/>
              <w:rPr>
                <w:rFonts w:hint="default" w:ascii="Times New Roman" w:hAnsi="Times New Roman" w:eastAsia="宋体"/>
                <w:b/>
                <w:color w:val="000000" w:themeColor="text1"/>
                <w:sz w:val="24"/>
                <w:szCs w:val="24"/>
                <w:highlight w:val="none"/>
                <w:lang w:val="en-US"/>
                <w14:textFill>
                  <w14:solidFill>
                    <w14:schemeClr w14:val="tx1"/>
                  </w14:solidFill>
                </w14:textFill>
              </w:rPr>
            </w:pPr>
            <w:r>
              <w:rPr>
                <w:rFonts w:hint="eastAsia" w:ascii="Times New Roman" w:hAnsi="Times New Roman" w:eastAsia="宋体"/>
                <w:b/>
                <w:color w:val="000000" w:themeColor="text1"/>
                <w:sz w:val="24"/>
                <w:szCs w:val="24"/>
                <w:highlight w:val="none"/>
                <w:lang w:val="en-US" w:eastAsia="zh-CN"/>
                <w14:textFill>
                  <w14:solidFill>
                    <w14:schemeClr w14:val="tx1"/>
                  </w14:solidFill>
                </w14:textFill>
              </w:rPr>
              <w:t>1.生活垃圾</w:t>
            </w:r>
          </w:p>
          <w:p w14:paraId="0CF5193F">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本</w:t>
            </w:r>
            <w:r>
              <w:rPr>
                <w:rFonts w:hint="eastAsia" w:cs="宋体"/>
                <w:color w:val="000000" w:themeColor="text1"/>
                <w:kern w:val="0"/>
                <w:sz w:val="24"/>
                <w:szCs w:val="24"/>
                <w:highlight w:val="none"/>
                <w:lang w:val="en-US" w:eastAsia="zh-CN" w:bidi="ar"/>
                <w14:textFill>
                  <w14:solidFill>
                    <w14:schemeClr w14:val="tx1"/>
                  </w14:solidFill>
                </w14:textFill>
              </w:rPr>
              <w:t>项目新增劳动人员5</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人，生活垃圾产生量按0.5kg/人.d计，则产生量为</w:t>
            </w:r>
            <w:r>
              <w:rPr>
                <w:rFonts w:hint="eastAsia" w:cs="宋体"/>
                <w:color w:val="000000" w:themeColor="text1"/>
                <w:kern w:val="0"/>
                <w:sz w:val="24"/>
                <w:szCs w:val="24"/>
                <w:highlight w:val="none"/>
                <w:lang w:val="en-US" w:eastAsia="zh-CN" w:bidi="ar"/>
                <w14:textFill>
                  <w14:solidFill>
                    <w14:schemeClr w14:val="tx1"/>
                  </w14:solidFill>
                </w14:textFill>
              </w:rPr>
              <w:t>2.5</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kg/d（</w:t>
            </w:r>
            <w:r>
              <w:rPr>
                <w:rFonts w:hint="eastAsia" w:cs="宋体"/>
                <w:color w:val="000000" w:themeColor="text1"/>
                <w:kern w:val="0"/>
                <w:sz w:val="24"/>
                <w:szCs w:val="24"/>
                <w:highlight w:val="none"/>
                <w:lang w:val="en-US" w:eastAsia="zh-CN" w:bidi="ar"/>
                <w14:textFill>
                  <w14:solidFill>
                    <w14:schemeClr w14:val="tx1"/>
                  </w14:solidFill>
                </w14:textFill>
              </w:rPr>
              <w:t>0.525</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t/a）。生活垃圾经垃圾袋分类收集后，由</w:t>
            </w:r>
            <w:r>
              <w:rPr>
                <w:rFonts w:hint="eastAsia"/>
                <w:color w:val="000000" w:themeColor="text1"/>
                <w14:textFill>
                  <w14:solidFill>
                    <w14:schemeClr w14:val="tx1"/>
                  </w14:solidFill>
                </w14:textFill>
              </w:rPr>
              <w:t>昌吉市三工镇常胜四队</w:t>
            </w:r>
            <w:r>
              <w:rPr>
                <w:rFonts w:hint="eastAsia"/>
                <w:color w:val="000000" w:themeColor="text1"/>
                <w:lang w:val="en-US" w:eastAsia="zh-CN"/>
                <w14:textFill>
                  <w14:solidFill>
                    <w14:schemeClr w14:val="tx1"/>
                  </w14:solidFill>
                </w14:textFill>
              </w:rPr>
              <w:t>村委会收集后统一交由</w:t>
            </w:r>
            <w:r>
              <w:rPr>
                <w:rFonts w:ascii="宋体" w:hAnsi="宋体" w:eastAsia="宋体" w:cs="宋体"/>
                <w:color w:val="000000" w:themeColor="text1"/>
                <w:sz w:val="24"/>
                <w:szCs w:val="24"/>
                <w14:textFill>
                  <w14:solidFill>
                    <w14:schemeClr w14:val="tx1"/>
                  </w14:solidFill>
                </w14:textFill>
              </w:rPr>
              <w:t>昌吉市市容环境卫生管理中心</w:t>
            </w:r>
            <w:r>
              <w:rPr>
                <w:rFonts w:hint="eastAsia" w:cs="宋体"/>
                <w:color w:val="000000" w:themeColor="text1"/>
                <w:kern w:val="0"/>
                <w:sz w:val="24"/>
                <w:szCs w:val="24"/>
                <w:highlight w:val="none"/>
                <w:lang w:val="en-US" w:eastAsia="zh-CN" w:bidi="ar"/>
                <w14:textFill>
                  <w14:solidFill>
                    <w14:schemeClr w14:val="tx1"/>
                  </w14:solidFill>
                </w14:textFill>
              </w:rPr>
              <w:t>处理</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处置。</w:t>
            </w:r>
          </w:p>
          <w:p w14:paraId="0A179A44">
            <w:pPr>
              <w:pStyle w:val="200"/>
              <w:spacing w:line="360" w:lineRule="auto"/>
              <w:ind w:firstLine="480"/>
              <w:rPr>
                <w:rFonts w:hint="default" w:ascii="Times New Roman" w:hAnsi="Times New Roman" w:eastAsia="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bCs w:val="0"/>
                <w:color w:val="000000" w:themeColor="text1"/>
                <w:sz w:val="24"/>
                <w:szCs w:val="24"/>
                <w:highlight w:val="none"/>
                <w:lang w:val="en-US" w:eastAsia="zh-CN"/>
                <w14:textFill>
                  <w14:solidFill>
                    <w14:schemeClr w14:val="tx1"/>
                  </w14:solidFill>
                </w14:textFill>
              </w:rPr>
              <w:t>2.一般工业固废</w:t>
            </w:r>
          </w:p>
          <w:p w14:paraId="251B46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olor w:val="000000" w:themeColor="text1"/>
                <w:highlight w:val="none"/>
                <w14:textFill>
                  <w14:solidFill>
                    <w14:schemeClr w14:val="tx1"/>
                  </w14:solidFill>
                </w14:textFill>
              </w:rPr>
            </w:pPr>
            <w:r>
              <w:rPr>
                <w:rFonts w:ascii="Times New Roman" w:hAnsi="Times New Roman" w:eastAsia="宋体" w:cs="宋体"/>
                <w:color w:val="000000" w:themeColor="text1"/>
                <w:kern w:val="0"/>
                <w:sz w:val="24"/>
                <w:szCs w:val="24"/>
                <w:highlight w:val="none"/>
                <w:lang w:val="en-US" w:eastAsia="zh-CN" w:bidi="ar"/>
                <w14:textFill>
                  <w14:solidFill>
                    <w14:schemeClr w14:val="tx1"/>
                  </w14:solidFill>
                </w14:textFill>
              </w:rPr>
              <w:t>本项目一般工业固体废物主要为生产过程中</w:t>
            </w:r>
            <w:r>
              <w:rPr>
                <w:rFonts w:hint="eastAsia" w:cs="宋体"/>
                <w:color w:val="000000" w:themeColor="text1"/>
                <w:kern w:val="0"/>
                <w:sz w:val="24"/>
                <w:szCs w:val="24"/>
                <w:highlight w:val="none"/>
                <w:lang w:val="en-US" w:eastAsia="zh-CN" w:bidi="ar"/>
                <w14:textFill>
                  <w14:solidFill>
                    <w14:schemeClr w14:val="tx1"/>
                  </w14:solidFill>
                </w14:textFill>
              </w:rPr>
              <w:t>原料以及产品覆盖过程中损坏的抑尘网和洗砂废水经过沉淀压滤后产生的泥饼以及洗车平台沉淀的污泥、布袋除尘器收集的粉尘和废布袋</w:t>
            </w:r>
            <w:r>
              <w:rPr>
                <w:rFonts w:ascii="Times New Roman" w:hAnsi="Times New Roman" w:eastAsia="宋体" w:cs="宋体"/>
                <w:color w:val="000000" w:themeColor="text1"/>
                <w:kern w:val="0"/>
                <w:sz w:val="24"/>
                <w:szCs w:val="24"/>
                <w:highlight w:val="none"/>
                <w:lang w:val="en-US" w:eastAsia="zh-CN" w:bidi="ar"/>
                <w14:textFill>
                  <w14:solidFill>
                    <w14:schemeClr w14:val="tx1"/>
                  </w14:solidFill>
                </w14:textFill>
              </w:rPr>
              <w:t>，无其他工艺固废产生。</w:t>
            </w:r>
          </w:p>
          <w:p w14:paraId="617CC848">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t>①</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根据建设单位提供的资料，本项目遮盖原料以及产品过程中损坏的防风抑尘网约1t/a,</w:t>
            </w:r>
          </w:p>
          <w:p w14:paraId="068ABF87">
            <w:pPr>
              <w:keepNext w:val="0"/>
              <w:keepLines w:val="0"/>
              <w:pageBreakBefore w:val="0"/>
              <w:widowControl/>
              <w:suppressLineNumbers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定期委托</w:t>
            </w:r>
            <w:r>
              <w:rPr>
                <w:rFonts w:ascii="宋体" w:hAnsi="宋体" w:eastAsia="宋体" w:cs="宋体"/>
                <w:color w:val="000000" w:themeColor="text1"/>
                <w:sz w:val="24"/>
                <w:szCs w:val="24"/>
                <w14:textFill>
                  <w14:solidFill>
                    <w14:schemeClr w14:val="tx1"/>
                  </w14:solidFill>
                </w14:textFill>
              </w:rPr>
              <w:t>具备相应主体资格及综合利用技术能力的回收企业回收综合利用</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，回收单位签订处置协议，留存转移台账、回收单据，做到去向可追溯。</w:t>
            </w:r>
          </w:p>
          <w:p w14:paraId="087CB645">
            <w:pPr>
              <w:widowControl/>
              <w:spacing w:line="360" w:lineRule="auto"/>
              <w:ind w:firstLine="480" w:firstLineChars="200"/>
              <w:jc w:val="both"/>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②本项目洗砂用水经过沉淀罐以及二沉池沉淀后产生的污泥经过压滤机压滤后产生泥饼约2061.64t/a（含水率约55%），泥饼经过车辆运输至泥饼堆场堆放，通过自然蒸发含水率降低至40%后外售到砖厂作为原材料使用，则本项目最终产生的泥饼量为1546.23t/a（含水率40%）。注：污泥干基量为927.74t/a，</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压滤后泥饼初始夹带水量1133.</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90t/a</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；堆场自然蒸发脱除水量515.</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41t/a</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；风干外销泥饼留存水量618.</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49t/a</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w:t>
            </w:r>
          </w:p>
          <w:p w14:paraId="583D6E78">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处置措施可行性分析：本项目洗沙污泥处置工艺成熟可行，整体遵循分级脱水、资源化利用的处置原则，符合环保管控要求。项目洗沙废水经沉淀罐、二沉池固液分离后，污泥通过压滤机处理，产出含水率55%的泥饼，年产量</w:t>
            </w:r>
            <w:r>
              <w:rPr>
                <w:rFonts w:hint="eastAsia" w:cs="宋体"/>
                <w:color w:val="000000" w:themeColor="text1"/>
                <w:kern w:val="0"/>
                <w:sz w:val="24"/>
                <w:szCs w:val="24"/>
                <w:highlight w:val="none"/>
                <w:lang w:val="en-US" w:eastAsia="zh-CN" w:bidi="ar"/>
                <w14:textFill>
                  <w14:solidFill>
                    <w14:schemeClr w14:val="tx1"/>
                  </w14:solidFill>
                </w14:textFill>
              </w:rPr>
              <w:t>2061.64</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t/a，泥饼转运至专用堆场堆放。经自然蒸发脱水后，泥饼含水率稳定降至40%，最终外运量为</w:t>
            </w:r>
            <w:r>
              <w:rPr>
                <w:rFonts w:hint="eastAsia" w:cs="宋体"/>
                <w:color w:val="000000" w:themeColor="text1"/>
                <w:kern w:val="0"/>
                <w:sz w:val="24"/>
                <w:szCs w:val="24"/>
                <w:highlight w:val="none"/>
                <w:lang w:val="en-US" w:eastAsia="zh-CN" w:bidi="ar"/>
                <w14:textFill>
                  <w14:solidFill>
                    <w14:schemeClr w14:val="tx1"/>
                  </w14:solidFill>
                </w14:textFill>
              </w:rPr>
              <w:t>1546.23</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t/a，脱水工艺适配洗沙污泥物理特性，技术成熟可靠。泥饼主要成分为无机砂石黏土，无有毒有害污染物，属于一般工业固废，可作为砖厂制砖原材料，资源化利用途径合规合法。该处置方式实现污泥100%综合利用，杜绝固废随意倾倒、填埋问题，有效实现固废减量化、资源化。堆场通过防渗、防雨、截排水及抑尘管控，可有效防范二次污染，运输过程采用密闭车辆，规避洒落、滴漏及扬尘问题。综上，本项目污泥处置方案技术合理、环保可控、处置渠道稳定，具备良好的可行性与合规性。</w:t>
            </w:r>
          </w:p>
          <w:p w14:paraId="26BAAD37">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t>③</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车辆冲洗沉淀池沉淀污泥：</w:t>
            </w:r>
            <w:r>
              <w:rPr>
                <w:rFonts w:hint="eastAsia" w:cs="宋体"/>
                <w:color w:val="000000" w:themeColor="text1"/>
                <w:kern w:val="0"/>
                <w:sz w:val="24"/>
                <w:szCs w:val="24"/>
                <w:highlight w:val="none"/>
                <w:lang w:val="en-US" w:eastAsia="zh-CN" w:bidi="ar"/>
                <w14:textFill>
                  <w14:solidFill>
                    <w14:schemeClr w14:val="tx1"/>
                  </w14:solidFill>
                </w14:textFill>
              </w:rPr>
              <w:t>参考一期建设项目</w:t>
            </w:r>
            <w:r>
              <w:rPr>
                <w:rFonts w:ascii="宋体" w:hAnsi="宋体" w:eastAsia="宋体" w:cs="宋体"/>
                <w:color w:val="000000" w:themeColor="text1"/>
                <w:sz w:val="24"/>
                <w:szCs w:val="24"/>
                <w14:textFill>
                  <w14:solidFill>
                    <w14:schemeClr w14:val="tx1"/>
                  </w14:solidFill>
                </w14:textFill>
              </w:rPr>
              <w:t>车辆冲洗废水沉淀截留砂石泥沙，定期清淤产生污泥约</w:t>
            </w:r>
            <w:r>
              <w:rPr>
                <w:rFonts w:hint="default" w:ascii="Times New Roman" w:hAnsi="Times New Roman" w:eastAsia="宋体" w:cs="Times New Roman"/>
                <w:color w:val="000000" w:themeColor="text1"/>
                <w:sz w:val="24"/>
                <w:szCs w:val="24"/>
                <w14:textFill>
                  <w14:solidFill>
                    <w14:schemeClr w14:val="tx1"/>
                  </w14:solidFill>
                </w14:textFill>
              </w:rPr>
              <w:t>2.8t/a</w:t>
            </w:r>
            <w:r>
              <w:rPr>
                <w:rFonts w:ascii="宋体" w:hAnsi="宋体" w:eastAsia="宋体" w:cs="宋体"/>
                <w:color w:val="000000" w:themeColor="text1"/>
                <w:sz w:val="24"/>
                <w:szCs w:val="24"/>
                <w14:textFill>
                  <w14:solidFill>
                    <w14:schemeClr w14:val="tx1"/>
                  </w14:solidFill>
                </w14:textFill>
              </w:rPr>
              <w:t>，产生量较少，污泥所含水分忽略不计；污泥统一转运至泥饼堆场晾晒脱水，完成后和洗砂泥饼一并外售至砖厂作为制砖原料综合利用</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w:t>
            </w:r>
          </w:p>
          <w:p w14:paraId="713CBCB8">
            <w:pPr>
              <w:keepNext w:val="0"/>
              <w:keepLines w:val="0"/>
              <w:pageBreakBefore w:val="0"/>
              <w:widowControl/>
              <w:suppressLineNumbers w:val="0"/>
              <w:kinsoku/>
              <w:wordWrap w:val="0"/>
              <w:overflowPunct/>
              <w:topLinePunct w:val="0"/>
              <w:autoSpaceDE/>
              <w:autoSpaceDN/>
              <w:bidi w:val="0"/>
              <w:adjustRightInd/>
              <w:snapToGrid/>
              <w:spacing w:line="360" w:lineRule="auto"/>
              <w:ind w:firstLine="480" w:firstLineChars="200"/>
              <w:jc w:val="both"/>
              <w:textAlignment w:val="auto"/>
              <w:rPr>
                <w:rFonts w:hint="eastAsia"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④</w:t>
            </w:r>
            <w: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t>根据项目物料衡算，本项目布袋除尘器收集粉尘量为21.47t/a，</w:t>
            </w:r>
            <w:r>
              <w:rPr>
                <w:rFonts w:hint="eastAsia"/>
                <w:color w:val="000000" w:themeColor="text1"/>
                <w:lang w:val="en-US" w:eastAsia="zh-CN"/>
                <w14:textFill>
                  <w14:solidFill>
                    <w14:schemeClr w14:val="tx1"/>
                  </w14:solidFill>
                </w14:textFill>
              </w:rPr>
              <w:t>直接经编织袋密封包装后</w:t>
            </w:r>
            <w:r>
              <w:rPr>
                <w:rFonts w:hint="default" w:ascii="Times New Roman" w:hAnsi="Times New Roman" w:eastAsia="宋体" w:cs="宋体"/>
                <w:color w:val="000000" w:themeColor="text1"/>
                <w:kern w:val="0"/>
                <w:sz w:val="24"/>
                <w:szCs w:val="24"/>
                <w:highlight w:val="none"/>
                <w:lang w:val="en-US" w:eastAsia="zh-CN" w:bidi="ar"/>
                <w14:textFill>
                  <w14:solidFill>
                    <w14:schemeClr w14:val="tx1"/>
                  </w14:solidFill>
                </w14:textFill>
              </w:rPr>
              <w:t>统一外售砖厂作为制砖原料</w:t>
            </w:r>
            <w:r>
              <w:rPr>
                <w:rFonts w:hint="eastAsia" w:cs="宋体"/>
                <w:color w:val="000000" w:themeColor="text1"/>
                <w:kern w:val="0"/>
                <w:sz w:val="24"/>
                <w:szCs w:val="24"/>
                <w:highlight w:val="none"/>
                <w:lang w:val="en-US" w:eastAsia="zh-CN" w:bidi="ar"/>
                <w14:textFill>
                  <w14:solidFill>
                    <w14:schemeClr w14:val="tx1"/>
                  </w14:solidFill>
                </w14:textFill>
              </w:rPr>
              <w:t>。</w:t>
            </w:r>
          </w:p>
          <w:p w14:paraId="2CC3D0D9">
            <w:pPr>
              <w:pStyle w:val="245"/>
              <w:spacing w:after="0" w:line="360" w:lineRule="auto"/>
              <w:ind w:firstLine="480" w:firstLineChars="200"/>
              <w:jc w:val="both"/>
              <w:rPr>
                <w:rFonts w:hint="eastAsia"/>
                <w:color w:val="000000" w:themeColor="text1"/>
                <w:lang w:val="en-US" w:eastAsia="zh-CN"/>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⑤</w:t>
            </w:r>
            <w:r>
              <w:rPr>
                <w:rFonts w:ascii="Times New Roman" w:hAnsi="Times New Roman" w:eastAsia="宋体" w:cs="Times New Roman"/>
                <w:color w:val="000000" w:themeColor="text1"/>
                <w:sz w:val="24"/>
                <w:szCs w:val="24"/>
                <w14:textFill>
                  <w14:solidFill>
                    <w14:schemeClr w14:val="tx1"/>
                  </w14:solidFill>
                </w14:textFill>
              </w:rPr>
              <w:t>项目布袋除尘器需定期更换布袋，确保废气治理设施的正常运行，废布袋产生量约0.5</w:t>
            </w:r>
            <w:r>
              <w:rPr>
                <w:rFonts w:hint="eastAsia" w:ascii="Times New Roman" w:hAnsi="Times New Roman" w:eastAsia="宋体" w:cs="Times New Roman"/>
                <w:color w:val="000000" w:themeColor="text1"/>
                <w:sz w:val="24"/>
                <w:szCs w:val="24"/>
                <w14:textFill>
                  <w14:solidFill>
                    <w14:schemeClr w14:val="tx1"/>
                  </w14:solidFill>
                </w14:textFill>
              </w:rPr>
              <w:t>吨/年</w:t>
            </w:r>
            <w:r>
              <w:rPr>
                <w:rFonts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由厂家更换回收</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14:paraId="4EE5745A">
            <w:pPr>
              <w:pStyle w:val="245"/>
              <w:spacing w:after="0" w:line="360" w:lineRule="auto"/>
              <w:ind w:firstLine="480" w:firstLineChars="200"/>
              <w:jc w:val="both"/>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本项目洗</w:t>
            </w:r>
            <w:r>
              <w:rPr>
                <w:rFonts w:hint="eastAsia" w:eastAsia="宋体" w:cs="宋体"/>
                <w:color w:val="000000" w:themeColor="text1"/>
                <w:kern w:val="0"/>
                <w:sz w:val="24"/>
                <w:szCs w:val="24"/>
                <w:highlight w:val="none"/>
                <w:lang w:val="en-US" w:eastAsia="zh-CN" w:bidi="ar"/>
                <w14:textFill>
                  <w14:solidFill>
                    <w14:schemeClr w14:val="tx1"/>
                  </w14:solidFill>
                </w14:textFill>
              </w:rPr>
              <w:t>砂</w:t>
            </w:r>
            <w:r>
              <w:rPr>
                <w:rFonts w:hint="eastAsia" w:ascii="Times New Roman" w:hAnsi="Times New Roman" w:eastAsia="宋体" w:cs="宋体"/>
                <w:color w:val="000000" w:themeColor="text1"/>
                <w:kern w:val="0"/>
                <w:sz w:val="24"/>
                <w:szCs w:val="24"/>
                <w:highlight w:val="none"/>
                <w:lang w:val="en-US" w:eastAsia="zh-CN" w:bidi="ar"/>
                <w14:textFill>
                  <w14:solidFill>
                    <w14:schemeClr w14:val="tx1"/>
                  </w14:solidFill>
                </w14:textFill>
              </w:rPr>
              <w:t>产生的泥饼、冲洗污泥、除尘粉尘单独设置专用堆场收集、晾晒脱水后外售砖厂综合利用。项目损坏抑尘网（1t/a）、废布袋（0.5t/a）依托厂区现有合规一般固废暂存间分类存放。原有暂存间库容充足，可容纳本项目少量新增固废，贮存物料品类、性质高度匹配，设施配套完善、符合国标要求，且厂区具备成熟的固废管控及回收体系，可实现两类固废规范暂存、资源化回收，全程台账完善、去向可溯，依托方案合规可行。</w:t>
            </w:r>
          </w:p>
          <w:p w14:paraId="09E7E590">
            <w:pPr>
              <w:pStyle w:val="200"/>
              <w:spacing w:line="360" w:lineRule="auto"/>
              <w:ind w:firstLine="480"/>
              <w:rPr>
                <w:rFonts w:hint="eastAsia"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4"/>
                <w:szCs w:val="24"/>
                <w:highlight w:val="none"/>
                <w:lang w:val="en-US" w:eastAsia="zh-CN"/>
                <w14:textFill>
                  <w14:solidFill>
                    <w14:schemeClr w14:val="tx1"/>
                  </w14:solidFill>
                </w14:textFill>
              </w:rPr>
              <w:t>3. 危险废物</w:t>
            </w:r>
          </w:p>
          <w:p w14:paraId="1E925E8F">
            <w:pPr>
              <w:keepNext w:val="0"/>
              <w:keepLines w:val="0"/>
              <w:widowControl/>
              <w:suppressLineNumbers w:val="0"/>
              <w:jc w:val="left"/>
              <w:rPr>
                <w:color w:val="000000" w:themeColor="text1"/>
                <w:highlight w:val="none"/>
                <w14:textFill>
                  <w14:solidFill>
                    <w14:schemeClr w14:val="tx1"/>
                  </w14:solidFill>
                </w14:textFill>
              </w:rPr>
            </w:pPr>
            <w:r>
              <w:rPr>
                <w:rFonts w:ascii="宋体" w:hAnsi="宋体" w:eastAsia="宋体" w:cs="宋体"/>
                <w:color w:val="000000" w:themeColor="text1"/>
                <w:kern w:val="0"/>
                <w:sz w:val="24"/>
                <w:szCs w:val="24"/>
                <w:highlight w:val="none"/>
                <w:lang w:val="en-US" w:eastAsia="zh-CN" w:bidi="ar"/>
                <w14:textFill>
                  <w14:solidFill>
                    <w14:schemeClr w14:val="tx1"/>
                  </w14:solidFill>
                </w14:textFill>
              </w:rPr>
              <w:t>结合项目生产工艺、设备运维及废气治理工序，本项目运营期产生的危险废物主要为废润滑油、废润滑油包装桶，所有危险废物均严格按照危废管理要求，分区密闭暂存于厂区专用危废</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贮存库</w:t>
            </w:r>
            <w:r>
              <w:rPr>
                <w:rFonts w:ascii="宋体" w:hAnsi="宋体" w:eastAsia="宋体" w:cs="宋体"/>
                <w:color w:val="000000" w:themeColor="text1"/>
                <w:kern w:val="0"/>
                <w:sz w:val="24"/>
                <w:szCs w:val="24"/>
                <w:highlight w:val="none"/>
                <w:lang w:val="en-US" w:eastAsia="zh-CN" w:bidi="ar"/>
                <w14:textFill>
                  <w14:solidFill>
                    <w14:schemeClr w14:val="tx1"/>
                  </w14:solidFill>
                </w14:textFill>
              </w:rPr>
              <w:t>，定期</w:t>
            </w:r>
            <w:r>
              <w:rPr>
                <w:rFonts w:hint="eastAsia" w:ascii="Times New Roman" w:hAnsi="Times New Roman" w:eastAsia="宋体" w:cs="宋体"/>
                <w:snapToGrid w:val="0"/>
                <w:color w:val="000000" w:themeColor="text1"/>
                <w:kern w:val="0"/>
                <w:sz w:val="24"/>
                <w:szCs w:val="24"/>
                <w:highlight w:val="none"/>
                <w:lang w:val="en-US" w:eastAsia="zh-CN" w:bidi="ar"/>
                <w14:textFill>
                  <w14:solidFill>
                    <w14:schemeClr w14:val="tx1"/>
                  </w14:solidFill>
                </w14:textFill>
              </w:rPr>
              <w:t>交由持有相应类别危废经营许可证的单位处理</w:t>
            </w:r>
            <w:r>
              <w:rPr>
                <w:rFonts w:ascii="宋体" w:hAnsi="宋体" w:eastAsia="宋体" w:cs="宋体"/>
                <w:color w:val="000000" w:themeColor="text1"/>
                <w:kern w:val="0"/>
                <w:sz w:val="24"/>
                <w:szCs w:val="24"/>
                <w:highlight w:val="none"/>
                <w:lang w:val="en-US" w:eastAsia="zh-CN" w:bidi="ar"/>
                <w14:textFill>
                  <w14:solidFill>
                    <w14:schemeClr w14:val="tx1"/>
                  </w14:solidFill>
                </w14:textFill>
              </w:rPr>
              <w:t>，具体如下：</w:t>
            </w:r>
          </w:p>
          <w:p w14:paraId="2A3BBB5D">
            <w:pPr>
              <w:tabs>
                <w:tab w:val="left" w:pos="2395"/>
              </w:tabs>
              <w:spacing w:line="360" w:lineRule="auto"/>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color w:val="000000" w:themeColor="text1"/>
                <w:highlight w:val="none"/>
                <w14:textFill>
                  <w14:solidFill>
                    <w14:schemeClr w14:val="tx1"/>
                  </w14:solidFill>
                </w14:textFill>
              </w:rPr>
              <w:t>（1）</w:t>
            </w:r>
            <w:r>
              <w:rPr>
                <w:rFonts w:hint="eastAsia" w:ascii="Times New Roman" w:hAnsi="Times New Roman" w:eastAsia="宋体" w:cs="Times New Roman"/>
                <w:color w:val="000000" w:themeColor="text1"/>
                <w:lang w:val="en-US" w:eastAsia="zh-CN"/>
                <w14:textFill>
                  <w14:solidFill>
                    <w14:schemeClr w14:val="tx1"/>
                  </w14:solidFill>
                </w14:textFill>
              </w:rPr>
              <w:t>废润滑油及废油桶</w:t>
            </w:r>
          </w:p>
          <w:p w14:paraId="18D58BF1">
            <w:pPr>
              <w:tabs>
                <w:tab w:val="left" w:pos="2395"/>
              </w:tabs>
              <w:spacing w:line="360" w:lineRule="auto"/>
              <w:ind w:firstLine="480"/>
              <w:rPr>
                <w:rFonts w:ascii="Times New Roman" w:hAnsi="Times New Roman" w:eastAsia="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本</w:t>
            </w:r>
            <w:r>
              <w:rPr>
                <w:rFonts w:hint="eastAsia" w:cs="Times New Roman"/>
                <w:color w:val="000000" w:themeColor="text1"/>
                <w:lang w:val="en-US" w:eastAsia="zh-CN"/>
                <w14:textFill>
                  <w14:solidFill>
                    <w14:schemeClr w14:val="tx1"/>
                  </w14:solidFill>
                </w14:textFill>
              </w:rPr>
              <w:t>项目</w:t>
            </w:r>
            <w:r>
              <w:rPr>
                <w:rFonts w:hint="eastAsia" w:ascii="Times New Roman" w:hAnsi="Times New Roman" w:eastAsia="宋体" w:cs="Times New Roman"/>
                <w:color w:val="000000" w:themeColor="text1"/>
                <w:sz w:val="24"/>
                <w:szCs w:val="24"/>
                <w14:textFill>
                  <w14:solidFill>
                    <w14:schemeClr w14:val="tx1"/>
                  </w14:solidFill>
                </w14:textFill>
              </w:rPr>
              <w:t>机械设备在日常运行及维护过程中会使用润滑油</w:t>
            </w:r>
            <w:r>
              <w:rPr>
                <w:rFonts w:hint="eastAsia" w:ascii="Times New Roman" w:hAnsi="Times New Roman" w:eastAsia="宋体" w:cs="Times New Roman"/>
                <w:color w:val="000000" w:themeColor="text1"/>
                <w:lang w:val="en-US" w:eastAsia="zh-CN"/>
                <w14:textFill>
                  <w14:solidFill>
                    <w14:schemeClr w14:val="tx1"/>
                  </w14:solidFill>
                </w14:textFill>
              </w:rPr>
              <w:t>，机械润滑油定期添加的过程中会产生少量废机械润滑油及废油桶，根据《国家危险废物名录（2025年版）》，废机械润滑油及废油桶属于该名录中HW08（废矿物油与含矿物油废物）危废代码为900-2</w:t>
            </w:r>
            <w:r>
              <w:rPr>
                <w:rFonts w:hint="eastAsia" w:ascii="Times New Roman" w:hAnsi="Times New Roman" w:cs="Times New Roman"/>
                <w:color w:val="000000" w:themeColor="text1"/>
                <w:lang w:val="en-US" w:eastAsia="zh-CN"/>
                <w14:textFill>
                  <w14:solidFill>
                    <w14:schemeClr w14:val="tx1"/>
                  </w14:solidFill>
                </w14:textFill>
              </w:rPr>
              <w:t>14</w:t>
            </w:r>
            <w:r>
              <w:rPr>
                <w:rFonts w:hint="eastAsia" w:ascii="Times New Roman" w:hAnsi="Times New Roman" w:eastAsia="宋体" w:cs="Times New Roman"/>
                <w:color w:val="000000" w:themeColor="text1"/>
                <w:lang w:val="en-US" w:eastAsia="zh-CN"/>
                <w14:textFill>
                  <w14:solidFill>
                    <w14:schemeClr w14:val="tx1"/>
                  </w14:solidFill>
                </w14:textFill>
              </w:rPr>
              <w:t>-08</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eastAsia="宋体" w:cs="Times New Roman"/>
                <w:color w:val="000000" w:themeColor="text1"/>
                <w:lang w:val="en-US" w:eastAsia="zh-CN"/>
                <w14:textFill>
                  <w14:solidFill>
                    <w14:schemeClr w14:val="tx1"/>
                  </w14:solidFill>
                </w14:textFill>
              </w:rPr>
              <w:t>900-249-08。本</w:t>
            </w:r>
            <w:r>
              <w:rPr>
                <w:color w:val="000000" w:themeColor="text1"/>
                <w:spacing w:val="-1"/>
                <w14:textFill>
                  <w14:solidFill>
                    <w14:schemeClr w14:val="tx1"/>
                  </w14:solidFill>
                </w14:textFill>
              </w:rPr>
              <w:t>项目</w:t>
            </w:r>
            <w:r>
              <w:rPr>
                <w:rFonts w:hint="eastAsia" w:ascii="Times New Roman" w:hAnsi="Times New Roman" w:cs="Times New Roman"/>
                <w:color w:val="000000" w:themeColor="text1"/>
                <w:szCs w:val="22"/>
                <w:lang w:val="en-US" w:eastAsia="zh-CN"/>
                <w14:textFill>
                  <w14:solidFill>
                    <w14:schemeClr w14:val="tx1"/>
                  </w14:solidFill>
                </w14:textFill>
              </w:rPr>
              <w:t>年产生</w:t>
            </w:r>
            <w:r>
              <w:rPr>
                <w:rFonts w:hint="eastAsia" w:ascii="Times New Roman" w:hAnsi="Times New Roman" w:eastAsia="宋体" w:cs="Times New Roman"/>
                <w:color w:val="000000" w:themeColor="text1"/>
                <w:lang w:val="en-US" w:eastAsia="zh-CN"/>
                <w14:textFill>
                  <w14:solidFill>
                    <w14:schemeClr w14:val="tx1"/>
                  </w14:solidFill>
                </w14:textFill>
              </w:rPr>
              <w:t>废机械润滑油</w:t>
            </w:r>
            <w:r>
              <w:rPr>
                <w:rFonts w:hint="eastAsia" w:ascii="Times New Roman" w:hAnsi="Times New Roman" w:cs="Times New Roman"/>
                <w:color w:val="000000" w:themeColor="text1"/>
                <w:szCs w:val="22"/>
                <w:lang w:val="en-US" w:eastAsia="zh-CN"/>
                <w14:textFill>
                  <w14:solidFill>
                    <w14:schemeClr w14:val="tx1"/>
                  </w14:solidFill>
                </w14:textFill>
              </w:rPr>
              <w:t>量约为0.1t/a，</w:t>
            </w:r>
            <w:r>
              <w:rPr>
                <w:rFonts w:hint="eastAsia" w:ascii="Times New Roman" w:hAnsi="Times New Roman" w:eastAsia="宋体" w:cs="Times New Roman"/>
                <w:color w:val="000000" w:themeColor="text1"/>
                <w:lang w:val="en-US" w:eastAsia="zh-CN"/>
                <w14:textFill>
                  <w14:solidFill>
                    <w14:schemeClr w14:val="tx1"/>
                  </w14:solidFill>
                </w14:textFill>
              </w:rPr>
              <w:t>废油桶</w:t>
            </w:r>
            <w:r>
              <w:rPr>
                <w:rFonts w:hint="eastAsia" w:ascii="Times New Roman" w:hAnsi="Times New Roman" w:cs="Times New Roman"/>
                <w:color w:val="000000" w:themeColor="text1"/>
                <w:lang w:val="en-US" w:eastAsia="zh-CN"/>
                <w14:textFill>
                  <w14:solidFill>
                    <w14:schemeClr w14:val="tx1"/>
                  </w14:solidFill>
                </w14:textFill>
              </w:rPr>
              <w:t>量为0.1</w:t>
            </w:r>
            <w:r>
              <w:rPr>
                <w:rFonts w:hint="eastAsia" w:ascii="Times New Roman" w:hAnsi="Times New Roman" w:cs="Times New Roman"/>
                <w:color w:val="000000" w:themeColor="text1"/>
                <w:szCs w:val="22"/>
                <w:lang w:val="en-US" w:eastAsia="zh-CN"/>
                <w14:textFill>
                  <w14:solidFill>
                    <w14:schemeClr w14:val="tx1"/>
                  </w14:solidFill>
                </w14:textFill>
              </w:rPr>
              <w:t>t/a，经收集暂存于危废贮存库，</w:t>
            </w:r>
            <w:r>
              <w:rPr>
                <w:rFonts w:hint="eastAsia"/>
                <w:color w:val="000000" w:themeColor="text1"/>
                <w:spacing w:val="3"/>
                <w:lang w:val="en-US" w:eastAsia="zh-CN"/>
                <w14:textFill>
                  <w14:solidFill>
                    <w14:schemeClr w14:val="tx1"/>
                  </w14:solidFill>
                </w14:textFill>
              </w:rPr>
              <w:t>定期</w:t>
            </w:r>
            <w:r>
              <w:rPr>
                <w:rFonts w:hint="eastAsia" w:ascii="Times New Roman" w:hAnsi="Times New Roman" w:eastAsia="宋体" w:cs="Times New Roman"/>
                <w:color w:val="000000" w:themeColor="text1"/>
                <w:spacing w:val="-1"/>
                <w:lang w:eastAsia="zh-CN"/>
                <w14:textFill>
                  <w14:solidFill>
                    <w14:schemeClr w14:val="tx1"/>
                  </w14:solidFill>
                </w14:textFill>
              </w:rPr>
              <w:t>交由持有相应类别危废经营许可证的单位处理</w:t>
            </w:r>
            <w:r>
              <w:rPr>
                <w:rFonts w:ascii="Times New Roman" w:hAnsi="Times New Roman" w:eastAsia="宋体" w:cs="Times New Roman"/>
                <w:color w:val="000000" w:themeColor="text1"/>
                <w:spacing w:val="-1"/>
                <w14:textFill>
                  <w14:solidFill>
                    <w14:schemeClr w14:val="tx1"/>
                  </w14:solidFill>
                </w14:textFill>
              </w:rPr>
              <w:t>。</w:t>
            </w:r>
          </w:p>
          <w:p w14:paraId="59235A27">
            <w:pPr>
              <w:keepNext w:val="0"/>
              <w:keepLines w:val="0"/>
              <w:widowControl/>
              <w:suppressLineNumbers w:val="0"/>
              <w:jc w:val="left"/>
              <w:rPr>
                <w:rFonts w:ascii="Times New Roman" w:hAnsi="Times New Roman" w:eastAsia="宋体"/>
                <w:color w:val="000000" w:themeColor="text1"/>
                <w:highlight w:val="none"/>
                <w14:textFill>
                  <w14:solidFill>
                    <w14:schemeClr w14:val="tx1"/>
                  </w14:solidFill>
                </w14:textFill>
              </w:rPr>
            </w:pPr>
            <w:r>
              <w:rPr>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本项目危险废物相关信息汇总情况见下表。</w:t>
            </w:r>
          </w:p>
          <w:p w14:paraId="2C1AB1A4">
            <w:pPr>
              <w:pStyle w:val="2"/>
              <w:spacing w:line="360" w:lineRule="auto"/>
              <w:ind w:left="0"/>
              <w:jc w:val="center"/>
              <w:rPr>
                <w:rFonts w:ascii="Times New Roman" w:hAnsi="Times New Roman" w:eastAsia="宋体"/>
                <w:b/>
                <w:color w:val="000000" w:themeColor="text1"/>
                <w:sz w:val="21"/>
                <w:szCs w:val="21"/>
                <w:highlight w:val="none"/>
                <w:lang w:eastAsia="zh-CN"/>
                <w14:textFill>
                  <w14:solidFill>
                    <w14:schemeClr w14:val="tx1"/>
                  </w14:solidFill>
                </w14:textFill>
              </w:rPr>
            </w:pPr>
            <w:r>
              <w:rPr>
                <w:rFonts w:hint="eastAsia" w:ascii="Times New Roman" w:hAnsi="Times New Roman" w:eastAsia="宋体"/>
                <w:b/>
                <w:color w:val="000000" w:themeColor="text1"/>
                <w:sz w:val="21"/>
                <w:szCs w:val="21"/>
                <w:highlight w:val="none"/>
                <w:lang w:eastAsia="zh-CN" w:bidi="ar-SA"/>
                <w14:textFill>
                  <w14:solidFill>
                    <w14:schemeClr w14:val="tx1"/>
                  </w14:solidFill>
                </w14:textFill>
              </w:rPr>
              <w:t>表4-</w:t>
            </w:r>
            <w:r>
              <w:rPr>
                <w:rFonts w:hint="eastAsia" w:ascii="Times New Roman" w:hAnsi="Times New Roman" w:eastAsia="宋体"/>
                <w:b/>
                <w:color w:val="000000" w:themeColor="text1"/>
                <w:sz w:val="21"/>
                <w:szCs w:val="21"/>
                <w:highlight w:val="none"/>
                <w:lang w:val="en-US" w:eastAsia="zh-CN" w:bidi="ar-SA"/>
                <w14:textFill>
                  <w14:solidFill>
                    <w14:schemeClr w14:val="tx1"/>
                  </w14:solidFill>
                </w14:textFill>
              </w:rPr>
              <w:t>1</w:t>
            </w:r>
            <w:r>
              <w:rPr>
                <w:rFonts w:hint="eastAsia"/>
                <w:b/>
                <w:color w:val="000000" w:themeColor="text1"/>
                <w:sz w:val="21"/>
                <w:szCs w:val="21"/>
                <w:highlight w:val="none"/>
                <w:lang w:val="en-US" w:eastAsia="zh-CN" w:bidi="ar-SA"/>
                <w14:textFill>
                  <w14:solidFill>
                    <w14:schemeClr w14:val="tx1"/>
                  </w14:solidFill>
                </w14:textFill>
              </w:rPr>
              <w:t>2</w:t>
            </w:r>
            <w:r>
              <w:rPr>
                <w:rFonts w:hint="eastAsia" w:ascii="Times New Roman" w:hAnsi="Times New Roman" w:eastAsia="宋体"/>
                <w:b/>
                <w:color w:val="000000" w:themeColor="text1"/>
                <w:sz w:val="21"/>
                <w:szCs w:val="21"/>
                <w:highlight w:val="none"/>
                <w:lang w:eastAsia="zh-CN" w:bidi="ar-SA"/>
                <w14:textFill>
                  <w14:solidFill>
                    <w14:schemeClr w14:val="tx1"/>
                  </w14:solidFill>
                </w14:textFill>
              </w:rPr>
              <w:t xml:space="preserve">  本项目危险废物相关信息汇总一览表</w:t>
            </w:r>
          </w:p>
          <w:tbl>
            <w:tblPr>
              <w:tblStyle w:val="42"/>
              <w:tblW w:w="49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28" w:type="dxa"/>
                <w:bottom w:w="28" w:type="dxa"/>
                <w:right w:w="28" w:type="dxa"/>
              </w:tblCellMar>
            </w:tblPr>
            <w:tblGrid>
              <w:gridCol w:w="940"/>
              <w:gridCol w:w="777"/>
              <w:gridCol w:w="1118"/>
              <w:gridCol w:w="743"/>
              <w:gridCol w:w="936"/>
              <w:gridCol w:w="680"/>
              <w:gridCol w:w="832"/>
              <w:gridCol w:w="691"/>
              <w:gridCol w:w="494"/>
              <w:gridCol w:w="868"/>
              <w:gridCol w:w="1383"/>
            </w:tblGrid>
            <w:tr w14:paraId="7474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340" w:hRule="atLeast"/>
                <w:jc w:val="center"/>
              </w:trPr>
              <w:tc>
                <w:tcPr>
                  <w:tcW w:w="497" w:type="pct"/>
                  <w:tcBorders>
                    <w:top w:val="single" w:color="000000" w:sz="12" w:space="0"/>
                    <w:left w:val="nil"/>
                    <w:tl2br w:val="nil"/>
                  </w:tcBorders>
                  <w:shd w:val="clear" w:color="auto" w:fill="FFFFFF"/>
                  <w:noWrap w:val="0"/>
                  <w:vAlign w:val="center"/>
                </w:tcPr>
                <w:p w14:paraId="3C24E6F3">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危险废物名称</w:t>
                  </w:r>
                </w:p>
              </w:tc>
              <w:tc>
                <w:tcPr>
                  <w:tcW w:w="410" w:type="pct"/>
                  <w:tcBorders>
                    <w:top w:val="single" w:color="000000" w:sz="12" w:space="0"/>
                  </w:tcBorders>
                  <w:shd w:val="clear" w:color="auto" w:fill="FFFFFF"/>
                  <w:noWrap w:val="0"/>
                  <w:vAlign w:val="center"/>
                </w:tcPr>
                <w:p w14:paraId="31711F33">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危险废物类别</w:t>
                  </w:r>
                </w:p>
              </w:tc>
              <w:tc>
                <w:tcPr>
                  <w:tcW w:w="590" w:type="pct"/>
                  <w:tcBorders>
                    <w:top w:val="single" w:color="000000" w:sz="12" w:space="0"/>
                  </w:tcBorders>
                  <w:shd w:val="clear" w:color="auto" w:fill="FFFFFF"/>
                  <w:noWrap w:val="0"/>
                  <w:vAlign w:val="center"/>
                </w:tcPr>
                <w:p w14:paraId="3F4C5696">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危险废物代码</w:t>
                  </w:r>
                </w:p>
              </w:tc>
              <w:tc>
                <w:tcPr>
                  <w:tcW w:w="392" w:type="pct"/>
                  <w:tcBorders>
                    <w:top w:val="single" w:color="000000" w:sz="12" w:space="0"/>
                  </w:tcBorders>
                  <w:shd w:val="clear" w:color="auto" w:fill="FFFFFF"/>
                  <w:noWrap w:val="0"/>
                  <w:vAlign w:val="center"/>
                </w:tcPr>
                <w:p w14:paraId="0E71FFB9">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产生量t/a</w:t>
                  </w:r>
                </w:p>
              </w:tc>
              <w:tc>
                <w:tcPr>
                  <w:tcW w:w="494" w:type="pct"/>
                  <w:tcBorders>
                    <w:top w:val="single" w:color="000000" w:sz="12" w:space="0"/>
                  </w:tcBorders>
                  <w:shd w:val="clear" w:color="auto" w:fill="FFFFFF"/>
                  <w:noWrap w:val="0"/>
                  <w:vAlign w:val="center"/>
                </w:tcPr>
                <w:p w14:paraId="5A252722">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产生工序及装置</w:t>
                  </w:r>
                </w:p>
              </w:tc>
              <w:tc>
                <w:tcPr>
                  <w:tcW w:w="359" w:type="pct"/>
                  <w:tcBorders>
                    <w:top w:val="single" w:color="000000" w:sz="12" w:space="0"/>
                  </w:tcBorders>
                  <w:shd w:val="clear" w:color="auto" w:fill="FFFFFF"/>
                  <w:noWrap w:val="0"/>
                  <w:vAlign w:val="center"/>
                </w:tcPr>
                <w:p w14:paraId="64F89B0B">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形态</w:t>
                  </w:r>
                </w:p>
              </w:tc>
              <w:tc>
                <w:tcPr>
                  <w:tcW w:w="439" w:type="pct"/>
                  <w:tcBorders>
                    <w:top w:val="single" w:color="000000" w:sz="12" w:space="0"/>
                  </w:tcBorders>
                  <w:shd w:val="clear" w:color="auto" w:fill="FFFFFF"/>
                  <w:noWrap w:val="0"/>
                  <w:vAlign w:val="center"/>
                </w:tcPr>
                <w:p w14:paraId="55DA34E3">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主要成分</w:t>
                  </w:r>
                </w:p>
              </w:tc>
              <w:tc>
                <w:tcPr>
                  <w:tcW w:w="365" w:type="pct"/>
                  <w:tcBorders>
                    <w:top w:val="single" w:color="000000" w:sz="12" w:space="0"/>
                  </w:tcBorders>
                  <w:shd w:val="clear" w:color="auto" w:fill="FFFFFF"/>
                  <w:noWrap w:val="0"/>
                  <w:vAlign w:val="center"/>
                </w:tcPr>
                <w:p w14:paraId="1ACB4D5B">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有害</w:t>
                  </w:r>
                </w:p>
                <w:p w14:paraId="1D2F5B9B">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成分</w:t>
                  </w:r>
                </w:p>
              </w:tc>
              <w:tc>
                <w:tcPr>
                  <w:tcW w:w="261" w:type="pct"/>
                  <w:tcBorders>
                    <w:top w:val="single" w:color="000000" w:sz="12" w:space="0"/>
                  </w:tcBorders>
                  <w:shd w:val="clear" w:color="auto" w:fill="FFFFFF"/>
                  <w:noWrap w:val="0"/>
                  <w:vAlign w:val="center"/>
                </w:tcPr>
                <w:p w14:paraId="0855714D">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产废周期</w:t>
                  </w:r>
                </w:p>
              </w:tc>
              <w:tc>
                <w:tcPr>
                  <w:tcW w:w="458" w:type="pct"/>
                  <w:tcBorders>
                    <w:top w:val="single" w:color="000000" w:sz="12" w:space="0"/>
                  </w:tcBorders>
                  <w:shd w:val="clear" w:color="auto" w:fill="FFFFFF"/>
                  <w:noWrap w:val="0"/>
                  <w:vAlign w:val="center"/>
                </w:tcPr>
                <w:p w14:paraId="36BAB48C">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危险</w:t>
                  </w:r>
                </w:p>
                <w:p w14:paraId="1101E6D9">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特性</w:t>
                  </w:r>
                </w:p>
              </w:tc>
              <w:tc>
                <w:tcPr>
                  <w:tcW w:w="730" w:type="pct"/>
                  <w:tcBorders>
                    <w:top w:val="single" w:color="000000" w:sz="12" w:space="0"/>
                    <w:right w:val="nil"/>
                  </w:tcBorders>
                  <w:shd w:val="clear" w:color="auto" w:fill="FFFFFF"/>
                  <w:noWrap w:val="0"/>
                  <w:vAlign w:val="center"/>
                </w:tcPr>
                <w:p w14:paraId="4B6D4B88">
                  <w:pPr>
                    <w:pStyle w:val="2"/>
                    <w:spacing w:line="360" w:lineRule="exact"/>
                    <w:ind w:left="0"/>
                    <w:rPr>
                      <w:rFonts w:ascii="Times New Roman" w:hAnsi="Times New Roman" w:eastAsia="宋体"/>
                      <w:b w:val="0"/>
                      <w:color w:val="000000" w:themeColor="text1"/>
                      <w:sz w:val="21"/>
                      <w:szCs w:val="21"/>
                      <w:highlight w:val="none"/>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污染防治措施</w:t>
                  </w:r>
                </w:p>
              </w:tc>
            </w:tr>
            <w:tr w14:paraId="4D8C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628" w:hRule="atLeast"/>
                <w:jc w:val="center"/>
              </w:trPr>
              <w:tc>
                <w:tcPr>
                  <w:tcW w:w="497" w:type="pct"/>
                  <w:tcBorders>
                    <w:left w:val="nil"/>
                  </w:tcBorders>
                  <w:shd w:val="clear" w:color="auto" w:fill="FFFFFF"/>
                  <w:noWrap w:val="0"/>
                  <w:vAlign w:val="center"/>
                </w:tcPr>
                <w:p w14:paraId="3A66B861">
                  <w:pPr>
                    <w:pStyle w:val="200"/>
                    <w:spacing w:line="360" w:lineRule="exact"/>
                    <w:ind w:firstLine="0" w:firstLineChars="0"/>
                    <w:jc w:val="center"/>
                    <w:rPr>
                      <w:rFonts w:ascii="Times New Roman" w:hAnsi="Times New Roman" w:eastAsia="宋体"/>
                      <w:b w:val="0"/>
                      <w:color w:val="000000" w:themeColor="text1"/>
                      <w:sz w:val="21"/>
                      <w:szCs w:val="21"/>
                      <w:highlight w:val="none"/>
                      <w14:textFill>
                        <w14:solidFill>
                          <w14:schemeClr w14:val="tx1"/>
                        </w14:solidFill>
                      </w14:textFill>
                    </w:rPr>
                  </w:pPr>
                  <w:r>
                    <w:rPr>
                      <w:rFonts w:hint="eastAsia" w:ascii="Times New Roman" w:hAnsi="Times New Roman" w:eastAsia="宋体"/>
                      <w:b w:val="0"/>
                      <w:color w:val="000000" w:themeColor="text1"/>
                      <w:sz w:val="21"/>
                      <w:szCs w:val="21"/>
                      <w:highlight w:val="none"/>
                      <w14:textFill>
                        <w14:solidFill>
                          <w14:schemeClr w14:val="tx1"/>
                        </w14:solidFill>
                      </w14:textFill>
                    </w:rPr>
                    <w:t>废</w:t>
                  </w:r>
                  <w:r>
                    <w:rPr>
                      <w:rFonts w:hint="eastAsia" w:ascii="Times New Roman" w:hAnsi="Times New Roman" w:eastAsia="宋体" w:cs="Times New Roman"/>
                      <w:b w:val="0"/>
                      <w:color w:val="000000" w:themeColor="text1"/>
                      <w:sz w:val="21"/>
                      <w:szCs w:val="21"/>
                      <w:highlight w:val="none"/>
                      <w:vertAlign w:val="baseline"/>
                      <w:lang w:val="en-US" w:eastAsia="zh-CN" w:bidi="ar-SA"/>
                      <w14:textFill>
                        <w14:solidFill>
                          <w14:schemeClr w14:val="tx1"/>
                        </w14:solidFill>
                      </w14:textFill>
                    </w:rPr>
                    <w:t>润滑油</w:t>
                  </w:r>
                </w:p>
              </w:tc>
              <w:tc>
                <w:tcPr>
                  <w:tcW w:w="410" w:type="pct"/>
                  <w:vMerge w:val="restart"/>
                  <w:shd w:val="clear" w:color="auto" w:fill="FFFFFF"/>
                  <w:noWrap w:val="0"/>
                  <w:vAlign w:val="center"/>
                </w:tcPr>
                <w:p w14:paraId="442E9C77">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14:textFill>
                        <w14:solidFill>
                          <w14:schemeClr w14:val="tx1"/>
                        </w14:solidFill>
                      </w14:textFill>
                    </w:rPr>
                    <w:t>HW</w:t>
                  </w: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08</w:t>
                  </w:r>
                </w:p>
              </w:tc>
              <w:tc>
                <w:tcPr>
                  <w:tcW w:w="590" w:type="pct"/>
                  <w:shd w:val="clear" w:color="auto" w:fill="FFFFFF"/>
                  <w:noWrap w:val="0"/>
                  <w:vAlign w:val="center"/>
                </w:tcPr>
                <w:p w14:paraId="6C709416">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900-2</w:t>
                  </w:r>
                  <w:r>
                    <w:rPr>
                      <w:rFonts w:hint="eastAsia" w:ascii="Times New Roman" w:hAnsi="Times New Roman"/>
                      <w:b w:val="0"/>
                      <w:color w:val="000000" w:themeColor="text1"/>
                      <w:sz w:val="21"/>
                      <w:szCs w:val="21"/>
                      <w:highlight w:val="none"/>
                      <w:lang w:val="en-US" w:eastAsia="zh-CN"/>
                      <w14:textFill>
                        <w14:solidFill>
                          <w14:schemeClr w14:val="tx1"/>
                        </w14:solidFill>
                      </w14:textFill>
                    </w:rPr>
                    <w:t>14</w:t>
                  </w: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-08</w:t>
                  </w:r>
                </w:p>
              </w:tc>
              <w:tc>
                <w:tcPr>
                  <w:tcW w:w="392" w:type="pct"/>
                  <w:shd w:val="clear" w:color="auto" w:fill="FFFFFF"/>
                  <w:noWrap w:val="0"/>
                  <w:vAlign w:val="center"/>
                </w:tcPr>
                <w:p w14:paraId="7ABF9C4F">
                  <w:pPr>
                    <w:pStyle w:val="2"/>
                    <w:spacing w:line="360" w:lineRule="exact"/>
                    <w:ind w:left="0" w:leftChars="0" w:firstLine="0" w:firstLineChars="0"/>
                    <w:rPr>
                      <w:rFonts w:hint="default" w:ascii="Times New Roman" w:hAnsi="Times New Roman" w:eastAsia="宋体"/>
                      <w:b w:val="0"/>
                      <w:color w:val="000000" w:themeColor="text1"/>
                      <w:sz w:val="21"/>
                      <w:szCs w:val="21"/>
                      <w:highlight w:val="none"/>
                      <w:lang w:val="en-US" w:eastAsia="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0.1</w:t>
                  </w:r>
                </w:p>
              </w:tc>
              <w:tc>
                <w:tcPr>
                  <w:tcW w:w="494" w:type="pct"/>
                  <w:vMerge w:val="restart"/>
                  <w:shd w:val="clear" w:color="auto" w:fill="FFFFFF"/>
                  <w:noWrap w:val="0"/>
                  <w:vAlign w:val="center"/>
                </w:tcPr>
                <w:p w14:paraId="2EEAC77E">
                  <w:pPr>
                    <w:pStyle w:val="2"/>
                    <w:spacing w:line="360" w:lineRule="exact"/>
                    <w:ind w:left="0" w:leftChars="0" w:firstLine="0" w:firstLineChars="0"/>
                    <w:rPr>
                      <w:rFonts w:ascii="Times New Roman" w:hAnsi="Times New Roman" w:eastAsia="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设备维护维修</w:t>
                  </w:r>
                </w:p>
              </w:tc>
              <w:tc>
                <w:tcPr>
                  <w:tcW w:w="359" w:type="pct"/>
                  <w:shd w:val="clear" w:color="auto" w:fill="FFFFFF"/>
                  <w:noWrap w:val="0"/>
                  <w:vAlign w:val="center"/>
                </w:tcPr>
                <w:p w14:paraId="20E2E548">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液</w:t>
                  </w:r>
                  <w:r>
                    <w:rPr>
                      <w:rFonts w:ascii="Times New Roman" w:hAnsi="Times New Roman" w:eastAsia="宋体"/>
                      <w:b w:val="0"/>
                      <w:color w:val="000000" w:themeColor="text1"/>
                      <w:sz w:val="21"/>
                      <w:szCs w:val="21"/>
                      <w:highlight w:val="none"/>
                      <w14:textFill>
                        <w14:solidFill>
                          <w14:schemeClr w14:val="tx1"/>
                        </w14:solidFill>
                      </w14:textFill>
                    </w:rPr>
                    <w:t>态</w:t>
                  </w:r>
                </w:p>
              </w:tc>
              <w:tc>
                <w:tcPr>
                  <w:tcW w:w="439" w:type="pct"/>
                  <w:vMerge w:val="restart"/>
                  <w:shd w:val="clear" w:color="auto" w:fill="FFFFFF"/>
                  <w:noWrap w:val="0"/>
                  <w:vAlign w:val="center"/>
                </w:tcPr>
                <w:p w14:paraId="3589040C">
                  <w:pPr>
                    <w:pStyle w:val="2"/>
                    <w:spacing w:line="360" w:lineRule="exact"/>
                    <w:ind w:left="0" w:leftChars="0" w:firstLine="0" w:firstLineChars="0"/>
                    <w:rPr>
                      <w:rFonts w:hint="default" w:ascii="Times New Roman" w:hAnsi="Times New Roman" w:eastAsia="宋体"/>
                      <w:b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val="en-US" w:eastAsia="zh-CN"/>
                      <w14:textFill>
                        <w14:solidFill>
                          <w14:schemeClr w14:val="tx1"/>
                        </w14:solidFill>
                      </w14:textFill>
                    </w:rPr>
                    <w:t>矿物油</w:t>
                  </w:r>
                </w:p>
              </w:tc>
              <w:tc>
                <w:tcPr>
                  <w:tcW w:w="365" w:type="pct"/>
                  <w:vMerge w:val="restart"/>
                  <w:shd w:val="clear" w:color="auto" w:fill="FFFFFF"/>
                  <w:noWrap w:val="0"/>
                  <w:vAlign w:val="center"/>
                </w:tcPr>
                <w:p w14:paraId="098FE34D">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矿物油</w:t>
                  </w:r>
                </w:p>
              </w:tc>
              <w:tc>
                <w:tcPr>
                  <w:tcW w:w="261" w:type="pct"/>
                  <w:vMerge w:val="restart"/>
                  <w:shd w:val="clear" w:color="auto" w:fill="FFFFFF"/>
                  <w:noWrap w:val="0"/>
                  <w:vAlign w:val="center"/>
                </w:tcPr>
                <w:p w14:paraId="1FED2355">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1年</w:t>
                  </w:r>
                </w:p>
              </w:tc>
              <w:tc>
                <w:tcPr>
                  <w:tcW w:w="458" w:type="pct"/>
                  <w:vMerge w:val="restart"/>
                  <w:shd w:val="clear" w:color="auto" w:fill="FFFFFF"/>
                  <w:noWrap w:val="0"/>
                  <w:vAlign w:val="center"/>
                </w:tcPr>
                <w:p w14:paraId="45B22DC7">
                  <w:pPr>
                    <w:pStyle w:val="2"/>
                    <w:spacing w:line="360" w:lineRule="exact"/>
                    <w:ind w:left="0" w:leftChars="0" w:firstLine="0" w:firstLineChars="0"/>
                    <w:rPr>
                      <w:rFonts w:ascii="Times New Roman" w:hAnsi="Times New Roman" w:eastAsia="宋体"/>
                      <w:b w:val="0"/>
                      <w:color w:val="000000" w:themeColor="text1"/>
                      <w:sz w:val="21"/>
                      <w:szCs w:val="21"/>
                      <w:highlight w:val="none"/>
                      <w:lang w:eastAsia="zh-CN"/>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T</w:t>
                  </w: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 xml:space="preserve">, </w:t>
                  </w:r>
                  <w:r>
                    <w:rPr>
                      <w:rFonts w:ascii="Times New Roman" w:hAnsi="Times New Roman" w:eastAsia="宋体"/>
                      <w:b w:val="0"/>
                      <w:color w:val="000000" w:themeColor="text1"/>
                      <w:sz w:val="21"/>
                      <w:szCs w:val="21"/>
                      <w:highlight w:val="none"/>
                      <w14:textFill>
                        <w14:solidFill>
                          <w14:schemeClr w14:val="tx1"/>
                        </w14:solidFill>
                      </w14:textFill>
                    </w:rPr>
                    <w:t>I</w:t>
                  </w:r>
                </w:p>
              </w:tc>
              <w:tc>
                <w:tcPr>
                  <w:tcW w:w="730" w:type="pct"/>
                  <w:vMerge w:val="restart"/>
                  <w:tcBorders>
                    <w:right w:val="nil"/>
                  </w:tcBorders>
                  <w:shd w:val="clear" w:color="auto" w:fill="FFFFFF"/>
                  <w:noWrap w:val="0"/>
                  <w:vAlign w:val="center"/>
                </w:tcPr>
                <w:p w14:paraId="19BB3662">
                  <w:pPr>
                    <w:pStyle w:val="2"/>
                    <w:spacing w:line="360" w:lineRule="exact"/>
                    <w:ind w:left="0"/>
                    <w:rPr>
                      <w:rFonts w:ascii="Times New Roman" w:hAnsi="Times New Roman" w:eastAsia="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交由持有相应类别危废经营许可证的单位处理</w:t>
                  </w:r>
                </w:p>
              </w:tc>
            </w:tr>
            <w:tr w14:paraId="40E8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cantSplit/>
                <w:trHeight w:val="1628" w:hRule="atLeast"/>
                <w:jc w:val="center"/>
              </w:trPr>
              <w:tc>
                <w:tcPr>
                  <w:tcW w:w="497" w:type="pct"/>
                  <w:tcBorders>
                    <w:left w:val="nil"/>
                    <w:bottom w:val="single" w:color="000000" w:sz="12" w:space="0"/>
                  </w:tcBorders>
                  <w:shd w:val="clear" w:color="auto" w:fill="FFFFFF"/>
                  <w:noWrap w:val="0"/>
                  <w:vAlign w:val="center"/>
                </w:tcPr>
                <w:p w14:paraId="24F44C73">
                  <w:pPr>
                    <w:pStyle w:val="200"/>
                    <w:keepNext w:val="0"/>
                    <w:keepLines w:val="0"/>
                    <w:pageBreakBefore w:val="0"/>
                    <w:widowControl w:val="0"/>
                    <w:kinsoku/>
                    <w:wordWrap/>
                    <w:overflowPunct/>
                    <w:topLinePunct w:val="0"/>
                    <w:autoSpaceDE/>
                    <w:autoSpaceDN/>
                    <w:bidi w:val="0"/>
                    <w:spacing w:line="36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vertAlign w:val="baseline"/>
                      <w:lang w:val="en-US" w:eastAsia="zh-CN" w:bidi="ar-SA"/>
                      <w14:textFill>
                        <w14:solidFill>
                          <w14:schemeClr w14:val="tx1"/>
                        </w14:solidFill>
                      </w14:textFill>
                    </w:rPr>
                    <w:t>润滑油废包装桶</w:t>
                  </w:r>
                </w:p>
              </w:tc>
              <w:tc>
                <w:tcPr>
                  <w:tcW w:w="410" w:type="pct"/>
                  <w:vMerge w:val="continue"/>
                  <w:tcBorders>
                    <w:bottom w:val="single" w:color="000000" w:sz="12" w:space="0"/>
                  </w:tcBorders>
                  <w:shd w:val="clear" w:color="auto" w:fill="FFFFFF"/>
                  <w:noWrap w:val="0"/>
                  <w:vAlign w:val="center"/>
                </w:tcPr>
                <w:p w14:paraId="596EA953">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14:textFill>
                        <w14:solidFill>
                          <w14:schemeClr w14:val="tx1"/>
                        </w14:solidFill>
                      </w14:textFill>
                    </w:rPr>
                  </w:pPr>
                </w:p>
              </w:tc>
              <w:tc>
                <w:tcPr>
                  <w:tcW w:w="590" w:type="pct"/>
                  <w:tcBorders>
                    <w:bottom w:val="single" w:color="000000" w:sz="12" w:space="0"/>
                  </w:tcBorders>
                  <w:shd w:val="clear" w:color="auto" w:fill="FFFFFF"/>
                  <w:noWrap w:val="0"/>
                  <w:vAlign w:val="center"/>
                </w:tcPr>
                <w:p w14:paraId="25A8EB31">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900-2</w:t>
                  </w:r>
                  <w:r>
                    <w:rPr>
                      <w:rFonts w:hint="eastAsia" w:ascii="Times New Roman" w:hAnsi="Times New Roman"/>
                      <w:b w:val="0"/>
                      <w:color w:val="000000" w:themeColor="text1"/>
                      <w:sz w:val="21"/>
                      <w:szCs w:val="21"/>
                      <w:highlight w:val="none"/>
                      <w:lang w:val="en-US" w:eastAsia="zh-CN"/>
                      <w14:textFill>
                        <w14:solidFill>
                          <w14:schemeClr w14:val="tx1"/>
                        </w14:solidFill>
                      </w14:textFill>
                    </w:rPr>
                    <w:t>49</w:t>
                  </w: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-08</w:t>
                  </w:r>
                </w:p>
              </w:tc>
              <w:tc>
                <w:tcPr>
                  <w:tcW w:w="392" w:type="pct"/>
                  <w:tcBorders>
                    <w:bottom w:val="single" w:color="000000" w:sz="12" w:space="0"/>
                  </w:tcBorders>
                  <w:shd w:val="clear" w:color="auto" w:fill="FFFFFF"/>
                  <w:noWrap w:val="0"/>
                  <w:vAlign w:val="center"/>
                </w:tcPr>
                <w:p w14:paraId="6AA0BADA">
                  <w:pPr>
                    <w:pStyle w:val="2"/>
                    <w:spacing w:line="360" w:lineRule="exact"/>
                    <w:ind w:left="0" w:leftChars="0" w:firstLine="0" w:firstLineChars="0"/>
                    <w:rPr>
                      <w:rFonts w:hint="default"/>
                      <w:b w:val="0"/>
                      <w:color w:val="000000" w:themeColor="text1"/>
                      <w:sz w:val="21"/>
                      <w:szCs w:val="21"/>
                      <w:highlight w:val="none"/>
                      <w:lang w:val="en-US" w:eastAsia="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0.1</w:t>
                  </w:r>
                </w:p>
              </w:tc>
              <w:tc>
                <w:tcPr>
                  <w:tcW w:w="494" w:type="pct"/>
                  <w:vMerge w:val="continue"/>
                  <w:tcBorders>
                    <w:bottom w:val="single" w:color="000000" w:sz="12" w:space="0"/>
                  </w:tcBorders>
                  <w:shd w:val="clear" w:color="auto" w:fill="FFFFFF"/>
                  <w:noWrap w:val="0"/>
                  <w:vAlign w:val="center"/>
                </w:tcPr>
                <w:p w14:paraId="2E3FE3A4">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p>
              </w:tc>
              <w:tc>
                <w:tcPr>
                  <w:tcW w:w="359" w:type="pct"/>
                  <w:tcBorders>
                    <w:bottom w:val="single" w:color="000000" w:sz="12" w:space="0"/>
                  </w:tcBorders>
                  <w:shd w:val="clear" w:color="auto" w:fill="FFFFFF"/>
                  <w:noWrap w:val="0"/>
                  <w:vAlign w:val="center"/>
                </w:tcPr>
                <w:p w14:paraId="5B6AB64A">
                  <w:pPr>
                    <w:pStyle w:val="2"/>
                    <w:spacing w:line="360" w:lineRule="exact"/>
                    <w:ind w:left="0" w:leftChars="0" w:firstLine="0" w:firstLineChars="0"/>
                    <w:rPr>
                      <w:rFonts w:hint="default" w:ascii="Times New Roman" w:hAnsi="Times New Roman" w:eastAsia="宋体"/>
                      <w:b w:val="0"/>
                      <w:color w:val="000000" w:themeColor="text1"/>
                      <w:sz w:val="21"/>
                      <w:szCs w:val="21"/>
                      <w:highlight w:val="none"/>
                      <w:lang w:val="en-US" w:eastAsia="zh-CN"/>
                      <w14:textFill>
                        <w14:solidFill>
                          <w14:schemeClr w14:val="tx1"/>
                        </w14:solidFill>
                      </w14:textFill>
                    </w:rPr>
                  </w:pPr>
                  <w:r>
                    <w:rPr>
                      <w:rFonts w:hint="eastAsia" w:ascii="Times New Roman" w:hAnsi="Times New Roman"/>
                      <w:b w:val="0"/>
                      <w:color w:val="000000" w:themeColor="text1"/>
                      <w:sz w:val="21"/>
                      <w:szCs w:val="21"/>
                      <w:highlight w:val="none"/>
                      <w:lang w:val="en-US" w:eastAsia="zh-CN"/>
                      <w14:textFill>
                        <w14:solidFill>
                          <w14:schemeClr w14:val="tx1"/>
                        </w14:solidFill>
                      </w14:textFill>
                    </w:rPr>
                    <w:t>固态</w:t>
                  </w:r>
                </w:p>
              </w:tc>
              <w:tc>
                <w:tcPr>
                  <w:tcW w:w="439" w:type="pct"/>
                  <w:vMerge w:val="continue"/>
                  <w:tcBorders>
                    <w:bottom w:val="single" w:color="000000" w:sz="12" w:space="0"/>
                  </w:tcBorders>
                  <w:shd w:val="clear" w:color="auto" w:fill="FFFFFF"/>
                  <w:noWrap w:val="0"/>
                  <w:vAlign w:val="center"/>
                </w:tcPr>
                <w:p w14:paraId="36BE16DB">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val="en-US" w:eastAsia="zh-CN"/>
                      <w14:textFill>
                        <w14:solidFill>
                          <w14:schemeClr w14:val="tx1"/>
                        </w14:solidFill>
                      </w14:textFill>
                    </w:rPr>
                  </w:pPr>
                </w:p>
              </w:tc>
              <w:tc>
                <w:tcPr>
                  <w:tcW w:w="365" w:type="pct"/>
                  <w:vMerge w:val="continue"/>
                  <w:tcBorders>
                    <w:bottom w:val="single" w:color="000000" w:sz="12" w:space="0"/>
                  </w:tcBorders>
                  <w:shd w:val="clear" w:color="auto" w:fill="FFFFFF"/>
                  <w:noWrap w:val="0"/>
                  <w:vAlign w:val="center"/>
                </w:tcPr>
                <w:p w14:paraId="2D924155">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p>
              </w:tc>
              <w:tc>
                <w:tcPr>
                  <w:tcW w:w="261" w:type="pct"/>
                  <w:vMerge w:val="continue"/>
                  <w:tcBorders>
                    <w:bottom w:val="single" w:color="000000" w:sz="12" w:space="0"/>
                  </w:tcBorders>
                  <w:shd w:val="clear" w:color="auto" w:fill="FFFFFF"/>
                  <w:noWrap w:val="0"/>
                  <w:vAlign w:val="center"/>
                </w:tcPr>
                <w:p w14:paraId="74578F44">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p>
              </w:tc>
              <w:tc>
                <w:tcPr>
                  <w:tcW w:w="458" w:type="pct"/>
                  <w:vMerge w:val="continue"/>
                  <w:tcBorders>
                    <w:bottom w:val="single" w:color="000000" w:sz="12" w:space="0"/>
                  </w:tcBorders>
                  <w:shd w:val="clear" w:color="auto" w:fill="FFFFFF"/>
                  <w:noWrap w:val="0"/>
                  <w:vAlign w:val="center"/>
                </w:tcPr>
                <w:p w14:paraId="1D77FBC3">
                  <w:pPr>
                    <w:pStyle w:val="2"/>
                    <w:spacing w:line="360" w:lineRule="exact"/>
                    <w:ind w:left="0" w:leftChars="0" w:firstLine="0" w:firstLineChars="0"/>
                    <w:rPr>
                      <w:rFonts w:ascii="Times New Roman" w:hAnsi="Times New Roman" w:eastAsia="宋体"/>
                      <w:b w:val="0"/>
                      <w:color w:val="000000" w:themeColor="text1"/>
                      <w:sz w:val="21"/>
                      <w:szCs w:val="21"/>
                      <w:highlight w:val="none"/>
                      <w14:textFill>
                        <w14:solidFill>
                          <w14:schemeClr w14:val="tx1"/>
                        </w14:solidFill>
                      </w14:textFill>
                    </w:rPr>
                  </w:pPr>
                </w:p>
              </w:tc>
              <w:tc>
                <w:tcPr>
                  <w:tcW w:w="730" w:type="pct"/>
                  <w:vMerge w:val="continue"/>
                  <w:tcBorders>
                    <w:bottom w:val="single" w:color="000000" w:sz="12" w:space="0"/>
                    <w:right w:val="nil"/>
                  </w:tcBorders>
                  <w:shd w:val="clear" w:color="auto" w:fill="FFFFFF"/>
                  <w:noWrap w:val="0"/>
                  <w:vAlign w:val="center"/>
                </w:tcPr>
                <w:p w14:paraId="2240AB04">
                  <w:pPr>
                    <w:pStyle w:val="2"/>
                    <w:spacing w:line="360" w:lineRule="exact"/>
                    <w:ind w:left="0"/>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p>
              </w:tc>
            </w:tr>
          </w:tbl>
          <w:p w14:paraId="79D78177">
            <w:pPr>
              <w:pStyle w:val="200"/>
              <w:spacing w:line="360" w:lineRule="auto"/>
              <w:ind w:firstLine="480"/>
              <w:rPr>
                <w:rFonts w:ascii="Times New Roman" w:hAnsi="Times New Roman" w:eastAsia="宋体"/>
                <w:color w:val="000000" w:themeColor="text1"/>
                <w:sz w:val="24"/>
                <w:szCs w:val="24"/>
                <w:highlight w:val="none"/>
                <w14:textFill>
                  <w14:solidFill>
                    <w14:schemeClr w14:val="tx1"/>
                  </w14:solidFill>
                </w14:textFill>
              </w:rPr>
            </w:pPr>
            <w:r>
              <w:rPr>
                <w:rFonts w:ascii="Times New Roman" w:hAnsi="Times New Roman" w:eastAsia="宋体"/>
                <w:color w:val="000000" w:themeColor="text1"/>
                <w:sz w:val="24"/>
                <w:szCs w:val="24"/>
                <w:highlight w:val="none"/>
                <w14:textFill>
                  <w14:solidFill>
                    <w14:schemeClr w14:val="tx1"/>
                  </w14:solidFill>
                </w14:textFill>
              </w:rPr>
              <w:t>本项目固体废物</w:t>
            </w:r>
            <w:r>
              <w:rPr>
                <w:rFonts w:hint="eastAsia" w:ascii="Times New Roman" w:hAnsi="Times New Roman" w:eastAsia="宋体"/>
                <w:color w:val="000000" w:themeColor="text1"/>
                <w:sz w:val="24"/>
                <w:szCs w:val="24"/>
                <w:highlight w:val="none"/>
                <w14:textFill>
                  <w14:solidFill>
                    <w14:schemeClr w14:val="tx1"/>
                  </w14:solidFill>
                </w14:textFill>
              </w:rPr>
              <w:t>处置措施</w:t>
            </w:r>
            <w:r>
              <w:rPr>
                <w:rFonts w:ascii="Times New Roman" w:hAnsi="Times New Roman" w:eastAsia="宋体"/>
                <w:color w:val="000000" w:themeColor="text1"/>
                <w:sz w:val="24"/>
                <w:szCs w:val="24"/>
                <w:highlight w:val="none"/>
                <w14:textFill>
                  <w14:solidFill>
                    <w14:schemeClr w14:val="tx1"/>
                  </w14:solidFill>
                </w14:textFill>
              </w:rPr>
              <w:t>一览表如下所示。</w:t>
            </w:r>
          </w:p>
          <w:p w14:paraId="408310A6">
            <w:pPr>
              <w:pStyle w:val="2"/>
              <w:spacing w:line="360" w:lineRule="auto"/>
              <w:ind w:left="0"/>
              <w:jc w:val="center"/>
              <w:rPr>
                <w:rFonts w:ascii="Times New Roman" w:hAnsi="Times New Roman" w:eastAsia="宋体"/>
                <w:b/>
                <w:color w:val="000000" w:themeColor="text1"/>
                <w:sz w:val="21"/>
                <w:szCs w:val="21"/>
                <w:highlight w:val="none"/>
                <w:lang w:eastAsia="zh-CN"/>
                <w14:textFill>
                  <w14:solidFill>
                    <w14:schemeClr w14:val="tx1"/>
                  </w14:solidFill>
                </w14:textFill>
              </w:rPr>
            </w:pPr>
            <w:r>
              <w:rPr>
                <w:rFonts w:hint="eastAsia" w:ascii="Times New Roman" w:hAnsi="Times New Roman" w:eastAsia="宋体"/>
                <w:b/>
                <w:color w:val="000000" w:themeColor="text1"/>
                <w:sz w:val="21"/>
                <w:szCs w:val="21"/>
                <w:highlight w:val="none"/>
                <w:lang w:eastAsia="zh-CN" w:bidi="ar-SA"/>
                <w14:textFill>
                  <w14:solidFill>
                    <w14:schemeClr w14:val="tx1"/>
                  </w14:solidFill>
                </w14:textFill>
              </w:rPr>
              <w:t>表4-</w:t>
            </w:r>
            <w:r>
              <w:rPr>
                <w:rFonts w:hint="eastAsia"/>
                <w:b/>
                <w:color w:val="000000" w:themeColor="text1"/>
                <w:sz w:val="21"/>
                <w:szCs w:val="21"/>
                <w:highlight w:val="none"/>
                <w:lang w:val="en-US" w:eastAsia="zh-CN" w:bidi="ar-SA"/>
                <w14:textFill>
                  <w14:solidFill>
                    <w14:schemeClr w14:val="tx1"/>
                  </w14:solidFill>
                </w14:textFill>
              </w:rPr>
              <w:t>13</w:t>
            </w:r>
            <w:r>
              <w:rPr>
                <w:rFonts w:hint="eastAsia" w:ascii="Times New Roman" w:hAnsi="Times New Roman" w:eastAsia="宋体"/>
                <w:b/>
                <w:color w:val="000000" w:themeColor="text1"/>
                <w:sz w:val="21"/>
                <w:szCs w:val="21"/>
                <w:highlight w:val="none"/>
                <w:lang w:eastAsia="zh-CN" w:bidi="ar-SA"/>
                <w14:textFill>
                  <w14:solidFill>
                    <w14:schemeClr w14:val="tx1"/>
                  </w14:solidFill>
                </w14:textFill>
              </w:rPr>
              <w:t xml:space="preserve">  固体废物处置一览表    单位：t/a</w:t>
            </w:r>
          </w:p>
          <w:tbl>
            <w:tblPr>
              <w:tblStyle w:val="43"/>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951"/>
              <w:gridCol w:w="593"/>
              <w:gridCol w:w="1799"/>
              <w:gridCol w:w="906"/>
              <w:gridCol w:w="964"/>
              <w:gridCol w:w="902"/>
              <w:gridCol w:w="504"/>
              <w:gridCol w:w="530"/>
              <w:gridCol w:w="848"/>
              <w:gridCol w:w="903"/>
            </w:tblGrid>
            <w:tr w14:paraId="3642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tcBorders>
                    <w:top w:val="single" w:color="000000" w:sz="12" w:space="0"/>
                    <w:left w:val="nil"/>
                    <w:tl2br w:val="nil"/>
                  </w:tcBorders>
                  <w:shd w:val="clear" w:color="auto" w:fill="FFFFFF"/>
                  <w:noWrap w:val="0"/>
                  <w:vAlign w:val="center"/>
                </w:tcPr>
                <w:p w14:paraId="5E9A60CE">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产生环节</w:t>
                  </w:r>
                </w:p>
              </w:tc>
              <w:tc>
                <w:tcPr>
                  <w:tcW w:w="504" w:type="pct"/>
                  <w:tcBorders>
                    <w:top w:val="single" w:color="000000" w:sz="12" w:space="0"/>
                  </w:tcBorders>
                  <w:shd w:val="clear" w:color="auto" w:fill="FFFFFF"/>
                  <w:noWrap w:val="0"/>
                  <w:vAlign w:val="center"/>
                </w:tcPr>
                <w:p w14:paraId="12F221BC">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名称</w:t>
                  </w:r>
                </w:p>
              </w:tc>
              <w:tc>
                <w:tcPr>
                  <w:tcW w:w="314" w:type="pct"/>
                  <w:tcBorders>
                    <w:top w:val="single" w:color="000000" w:sz="12" w:space="0"/>
                  </w:tcBorders>
                  <w:shd w:val="clear" w:color="auto" w:fill="FFFFFF"/>
                  <w:noWrap w:val="0"/>
                  <w:vAlign w:val="center"/>
                </w:tcPr>
                <w:p w14:paraId="092ABB10">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属性</w:t>
                  </w:r>
                </w:p>
              </w:tc>
              <w:tc>
                <w:tcPr>
                  <w:tcW w:w="953" w:type="pct"/>
                  <w:tcBorders>
                    <w:top w:val="single" w:color="000000" w:sz="12" w:space="0"/>
                  </w:tcBorders>
                  <w:shd w:val="clear" w:color="auto" w:fill="FFFFFF"/>
                  <w:noWrap w:val="0"/>
                  <w:vAlign w:val="center"/>
                </w:tcPr>
                <w:p w14:paraId="43C75285">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代码</w:t>
                  </w:r>
                </w:p>
              </w:tc>
              <w:tc>
                <w:tcPr>
                  <w:tcW w:w="480" w:type="pct"/>
                  <w:tcBorders>
                    <w:top w:val="single" w:color="000000" w:sz="12" w:space="0"/>
                  </w:tcBorders>
                  <w:shd w:val="clear" w:color="auto" w:fill="FFFFFF"/>
                  <w:noWrap w:val="0"/>
                  <w:vAlign w:val="center"/>
                </w:tcPr>
                <w:p w14:paraId="4CC949C8">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物理形状</w:t>
                  </w:r>
                </w:p>
              </w:tc>
              <w:tc>
                <w:tcPr>
                  <w:tcW w:w="511" w:type="pct"/>
                  <w:tcBorders>
                    <w:top w:val="single" w:color="000000" w:sz="12" w:space="0"/>
                  </w:tcBorders>
                  <w:shd w:val="clear" w:color="auto" w:fill="FFFFFF"/>
                  <w:noWrap w:val="0"/>
                  <w:vAlign w:val="center"/>
                </w:tcPr>
                <w:p w14:paraId="7909C71F">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危险特性</w:t>
                  </w:r>
                </w:p>
              </w:tc>
              <w:tc>
                <w:tcPr>
                  <w:tcW w:w="478" w:type="pct"/>
                  <w:tcBorders>
                    <w:top w:val="single" w:color="000000" w:sz="12" w:space="0"/>
                  </w:tcBorders>
                  <w:shd w:val="clear" w:color="auto" w:fill="FFFFFF"/>
                  <w:noWrap w:val="0"/>
                  <w:vAlign w:val="center"/>
                </w:tcPr>
                <w:p w14:paraId="17F5EB13">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产生量</w:t>
                  </w:r>
                </w:p>
              </w:tc>
              <w:tc>
                <w:tcPr>
                  <w:tcW w:w="267" w:type="pct"/>
                  <w:tcBorders>
                    <w:top w:val="single" w:color="000000" w:sz="12" w:space="0"/>
                  </w:tcBorders>
                  <w:shd w:val="clear" w:color="auto" w:fill="FFFFFF"/>
                  <w:noWrap w:val="0"/>
                  <w:vAlign w:val="center"/>
                </w:tcPr>
                <w:p w14:paraId="1A3AB5A0">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贮存方式</w:t>
                  </w:r>
                </w:p>
              </w:tc>
              <w:tc>
                <w:tcPr>
                  <w:tcW w:w="281" w:type="pct"/>
                  <w:tcBorders>
                    <w:top w:val="single" w:color="000000" w:sz="12" w:space="0"/>
                  </w:tcBorders>
                  <w:shd w:val="clear" w:color="auto" w:fill="FFFFFF"/>
                  <w:noWrap w:val="0"/>
                  <w:vAlign w:val="center"/>
                </w:tcPr>
                <w:p w14:paraId="650669EF">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利用处置方式</w:t>
                  </w:r>
                </w:p>
              </w:tc>
              <w:tc>
                <w:tcPr>
                  <w:tcW w:w="449" w:type="pct"/>
                  <w:tcBorders>
                    <w:top w:val="single" w:color="000000" w:sz="12" w:space="0"/>
                  </w:tcBorders>
                  <w:shd w:val="clear" w:color="auto" w:fill="FFFFFF"/>
                  <w:noWrap w:val="0"/>
                  <w:vAlign w:val="center"/>
                </w:tcPr>
                <w:p w14:paraId="5DB7D526">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去向</w:t>
                  </w:r>
                </w:p>
              </w:tc>
              <w:tc>
                <w:tcPr>
                  <w:tcW w:w="478" w:type="pct"/>
                  <w:tcBorders>
                    <w:top w:val="single" w:color="000000" w:sz="12" w:space="0"/>
                    <w:right w:val="nil"/>
                  </w:tcBorders>
                  <w:shd w:val="clear" w:color="auto" w:fill="FFFFFF"/>
                  <w:noWrap w:val="0"/>
                  <w:vAlign w:val="center"/>
                </w:tcPr>
                <w:p w14:paraId="4211E698">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color w:val="000000" w:themeColor="text1"/>
                      <w:sz w:val="21"/>
                      <w:szCs w:val="21"/>
                      <w:highlight w:val="none"/>
                      <w:vertAlign w:val="baseline"/>
                      <w:lang w:val="en-US"/>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val="en-US" w:eastAsia="zh-CN"/>
                      <w14:textFill>
                        <w14:solidFill>
                          <w14:schemeClr w14:val="tx1"/>
                        </w14:solidFill>
                      </w14:textFill>
                    </w:rPr>
                    <w:t>利用处置量</w:t>
                  </w:r>
                </w:p>
              </w:tc>
            </w:tr>
            <w:tr w14:paraId="5C66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tcBorders>
                    <w:left w:val="nil"/>
                  </w:tcBorders>
                  <w:shd w:val="clear" w:color="auto" w:fill="FFFFFF"/>
                  <w:noWrap w:val="0"/>
                  <w:vAlign w:val="center"/>
                </w:tcPr>
                <w:p w14:paraId="06EE2FEE">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t>员工</w:t>
                  </w:r>
                </w:p>
              </w:tc>
              <w:tc>
                <w:tcPr>
                  <w:tcW w:w="818" w:type="pct"/>
                  <w:gridSpan w:val="2"/>
                  <w:shd w:val="clear" w:color="auto" w:fill="FFFFFF"/>
                  <w:noWrap w:val="0"/>
                  <w:vAlign w:val="center"/>
                </w:tcPr>
                <w:p w14:paraId="08BDC5F8">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生活垃圾</w:t>
                  </w:r>
                </w:p>
              </w:tc>
              <w:tc>
                <w:tcPr>
                  <w:tcW w:w="953" w:type="pct"/>
                  <w:shd w:val="clear" w:color="auto" w:fill="FFFFFF"/>
                  <w:noWrap w:val="0"/>
                  <w:vAlign w:val="center"/>
                </w:tcPr>
                <w:p w14:paraId="129309EC">
                  <w:pPr>
                    <w:pStyle w:val="200"/>
                    <w:keepNext w:val="0"/>
                    <w:keepLines w:val="0"/>
                    <w:pageBreakBefore w:val="0"/>
                    <w:widowControl w:val="0"/>
                    <w:kinsoku/>
                    <w:wordWrap/>
                    <w:overflowPunct/>
                    <w:topLinePunct w:val="0"/>
                    <w:autoSpaceDE/>
                    <w:autoSpaceDN/>
                    <w:bidi w:val="0"/>
                    <w:spacing w:line="360" w:lineRule="exact"/>
                    <w:ind w:leftChars="0" w:firstLine="0" w:firstLineChars="0"/>
                    <w:jc w:val="center"/>
                    <w:textAlignment w:val="auto"/>
                    <w:rPr>
                      <w:rFonts w:ascii="Times New Roman" w:hAnsi="Times New Roman" w:eastAsia="宋体"/>
                      <w:b w:val="0"/>
                      <w:bCs/>
                      <w:color w:val="000000" w:themeColor="text1"/>
                      <w:sz w:val="21"/>
                      <w:szCs w:val="21"/>
                      <w:highlight w:val="none"/>
                      <w:vertAlign w:val="baseline"/>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w:t>
                  </w:r>
                </w:p>
              </w:tc>
              <w:tc>
                <w:tcPr>
                  <w:tcW w:w="480" w:type="pct"/>
                  <w:shd w:val="clear" w:color="auto" w:fill="FFFFFF"/>
                  <w:noWrap w:val="0"/>
                  <w:vAlign w:val="center"/>
                </w:tcPr>
                <w:p w14:paraId="1B0A3C6A">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固态</w:t>
                  </w:r>
                </w:p>
              </w:tc>
              <w:tc>
                <w:tcPr>
                  <w:tcW w:w="511" w:type="pct"/>
                  <w:shd w:val="clear" w:color="auto" w:fill="FFFFFF"/>
                  <w:noWrap w:val="0"/>
                  <w:vAlign w:val="center"/>
                </w:tcPr>
                <w:p w14:paraId="1BBD1200">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w:t>
                  </w:r>
                </w:p>
              </w:tc>
              <w:tc>
                <w:tcPr>
                  <w:tcW w:w="478" w:type="pct"/>
                  <w:shd w:val="clear" w:color="auto" w:fill="FFFFFF"/>
                  <w:noWrap w:val="0"/>
                  <w:vAlign w:val="center"/>
                </w:tcPr>
                <w:p w14:paraId="282F9329">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0.525</w:t>
                  </w:r>
                </w:p>
              </w:tc>
              <w:tc>
                <w:tcPr>
                  <w:tcW w:w="267" w:type="pct"/>
                  <w:shd w:val="clear" w:color="auto" w:fill="FFFFFF"/>
                  <w:noWrap w:val="0"/>
                  <w:vAlign w:val="center"/>
                </w:tcPr>
                <w:p w14:paraId="2E1823C5">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w:t>
                  </w:r>
                </w:p>
              </w:tc>
              <w:tc>
                <w:tcPr>
                  <w:tcW w:w="281" w:type="pct"/>
                  <w:shd w:val="clear" w:color="auto" w:fill="FFFFFF"/>
                  <w:noWrap w:val="0"/>
                  <w:vAlign w:val="center"/>
                </w:tcPr>
                <w:p w14:paraId="5FAA1B68">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委外处置</w:t>
                  </w:r>
                </w:p>
              </w:tc>
              <w:tc>
                <w:tcPr>
                  <w:tcW w:w="449" w:type="pct"/>
                  <w:shd w:val="clear" w:color="auto" w:fill="FFFFFF"/>
                  <w:noWrap w:val="0"/>
                  <w:vAlign w:val="center"/>
                </w:tcPr>
                <w:p w14:paraId="745EE729">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交由当地环卫部门</w:t>
                  </w:r>
                </w:p>
              </w:tc>
              <w:tc>
                <w:tcPr>
                  <w:tcW w:w="478" w:type="pct"/>
                  <w:tcBorders>
                    <w:right w:val="nil"/>
                  </w:tcBorders>
                  <w:shd w:val="clear" w:color="auto" w:fill="FFFFFF"/>
                  <w:noWrap w:val="0"/>
                  <w:vAlign w:val="center"/>
                </w:tcPr>
                <w:p w14:paraId="13826EC4">
                  <w:pPr>
                    <w:pStyle w:val="250"/>
                    <w:keepNext w:val="0"/>
                    <w:keepLines w:val="0"/>
                    <w:pageBreakBefore w:val="0"/>
                    <w:kinsoku/>
                    <w:wordWrap/>
                    <w:overflowPunct/>
                    <w:topLinePunct w:val="0"/>
                    <w:autoSpaceDE/>
                    <w:autoSpaceDN/>
                    <w:bidi w:val="0"/>
                    <w:spacing w:line="360" w:lineRule="exact"/>
                    <w:ind w:left="0" w:leftChars="0" w:right="0" w:rightChars="0" w:firstLine="0" w:firstLineChars="0"/>
                    <w:jc w:val="center"/>
                    <w:textAlignment w:val="auto"/>
                    <w:rPr>
                      <w:rFonts w:hint="default" w:ascii="Times New Roman" w:hAnsi="Times New Roman" w:eastAsia="宋体" w:cs="Times New Roman"/>
                      <w:b w:val="0"/>
                      <w:bCs/>
                      <w:color w:val="000000" w:themeColor="text1"/>
                      <w:sz w:val="21"/>
                      <w:szCs w:val="21"/>
                      <w:highlight w:val="none"/>
                      <w:vertAlign w:val="baseline"/>
                      <w:lang w:val="en-US" w:eastAsia="zh-CN" w:bidi="ar-SA"/>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0.525</w:t>
                  </w:r>
                </w:p>
              </w:tc>
            </w:tr>
            <w:tr w14:paraId="403F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vMerge w:val="restart"/>
                  <w:tcBorders>
                    <w:left w:val="nil"/>
                  </w:tcBorders>
                  <w:shd w:val="clear" w:color="auto" w:fill="FFFFFF"/>
                  <w:noWrap w:val="0"/>
                  <w:vAlign w:val="center"/>
                </w:tcPr>
                <w:p w14:paraId="791CE872">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t>厂区</w:t>
                  </w:r>
                </w:p>
              </w:tc>
              <w:tc>
                <w:tcPr>
                  <w:tcW w:w="504" w:type="pct"/>
                  <w:shd w:val="clear" w:color="auto" w:fill="FFFFFF"/>
                  <w:noWrap w:val="0"/>
                  <w:vAlign w:val="center"/>
                </w:tcPr>
                <w:p w14:paraId="70A7A77B">
                  <w:pPr>
                    <w:pStyle w:val="200"/>
                    <w:keepNext w:val="0"/>
                    <w:keepLines w:val="0"/>
                    <w:pageBreakBefore w:val="0"/>
                    <w:widowControl w:val="0"/>
                    <w:kinsoku/>
                    <w:wordWrap/>
                    <w:overflowPunct/>
                    <w:topLinePunct w:val="0"/>
                    <w:autoSpaceDE/>
                    <w:autoSpaceDN/>
                    <w:bidi w:val="0"/>
                    <w:spacing w:line="240" w:lineRule="auto"/>
                    <w:ind w:leftChars="0" w:firstLine="0" w:firstLineChars="0"/>
                    <w:jc w:val="center"/>
                    <w:textAlignment w:val="auto"/>
                    <w:rPr>
                      <w:rFonts w:hint="default" w:ascii="Times New Roman" w:hAnsi="Times New Roman" w:eastAsia="宋体" w:cs="Times New Roman"/>
                      <w:b w:val="0"/>
                      <w:bCs/>
                      <w:color w:val="000000" w:themeColor="text1"/>
                      <w:sz w:val="21"/>
                      <w:szCs w:val="21"/>
                      <w:highlight w:val="none"/>
                      <w:vertAlign w:val="baseline"/>
                      <w:lang w:val="en-US" w:eastAsia="zh-CN" w:bidi="ar-SA"/>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bidi="ar-SA"/>
                      <w14:textFill>
                        <w14:solidFill>
                          <w14:schemeClr w14:val="tx1"/>
                        </w14:solidFill>
                      </w14:textFill>
                    </w:rPr>
                    <w:t>泥饼（包括汽车冲洗沉淀池）</w:t>
                  </w:r>
                </w:p>
              </w:tc>
              <w:tc>
                <w:tcPr>
                  <w:tcW w:w="314" w:type="pct"/>
                  <w:vMerge w:val="restart"/>
                  <w:shd w:val="clear" w:color="auto" w:fill="FFFFFF"/>
                  <w:noWrap w:val="0"/>
                  <w:vAlign w:val="center"/>
                </w:tcPr>
                <w:p w14:paraId="508756A2">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一般工业废物</w:t>
                  </w:r>
                </w:p>
              </w:tc>
              <w:tc>
                <w:tcPr>
                  <w:tcW w:w="953" w:type="pct"/>
                  <w:shd w:val="clear" w:color="auto" w:fill="FFFFFF"/>
                  <w:noWrap w:val="0"/>
                  <w:vAlign w:val="center"/>
                </w:tcPr>
                <w:p w14:paraId="68706C68">
                  <w:pPr>
                    <w:pageBreakBefore w:val="0"/>
                    <w:wordWrap/>
                    <w:bidi w:val="0"/>
                    <w:adjustRightInd w:val="0"/>
                    <w:snapToGrid w:val="0"/>
                    <w:spacing w:afterAutospacing="0" w:line="360" w:lineRule="auto"/>
                    <w:ind w:left="0" w:leftChars="0" w:right="0" w:rightChars="0" w:firstLine="0" w:firstLineChars="0"/>
                    <w:jc w:val="center"/>
                    <w:rPr>
                      <w:rFonts w:ascii="Times New Roman" w:hAnsi="Times New Roman" w:eastAsia="宋体"/>
                      <w:b w:val="0"/>
                      <w:bCs/>
                      <w:color w:val="000000" w:themeColor="text1"/>
                      <w:sz w:val="21"/>
                      <w:szCs w:val="21"/>
                      <w:highlight w:val="none"/>
                      <w:vertAlign w:val="baseline"/>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t>900-099-S59</w:t>
                  </w:r>
                </w:p>
              </w:tc>
              <w:tc>
                <w:tcPr>
                  <w:tcW w:w="480" w:type="pct"/>
                  <w:shd w:val="clear" w:color="auto" w:fill="FFFFFF"/>
                  <w:noWrap w:val="0"/>
                  <w:vAlign w:val="center"/>
                </w:tcPr>
                <w:p w14:paraId="53077DDC">
                  <w:pPr>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ascii="Times New Roman" w:hAnsi="Times New Roman" w:eastAsia="宋体"/>
                      <w:b w:val="0"/>
                      <w:bCs/>
                      <w:color w:val="000000" w:themeColor="text1"/>
                      <w:sz w:val="21"/>
                      <w:szCs w:val="21"/>
                      <w:highlight w:val="none"/>
                      <w:vertAlign w:val="baseline"/>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固态</w:t>
                  </w:r>
                </w:p>
              </w:tc>
              <w:tc>
                <w:tcPr>
                  <w:tcW w:w="511" w:type="pct"/>
                  <w:shd w:val="clear" w:color="auto" w:fill="FFFFFF"/>
                  <w:noWrap w:val="0"/>
                  <w:vAlign w:val="center"/>
                </w:tcPr>
                <w:p w14:paraId="1F47E67D">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w:t>
                  </w:r>
                </w:p>
              </w:tc>
              <w:tc>
                <w:tcPr>
                  <w:tcW w:w="478" w:type="pct"/>
                  <w:shd w:val="clear" w:color="auto" w:fill="FFFFFF"/>
                  <w:noWrap w:val="0"/>
                  <w:vAlign w:val="center"/>
                </w:tcPr>
                <w:p w14:paraId="1C30A8C2">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1549.03</w:t>
                  </w:r>
                </w:p>
              </w:tc>
              <w:tc>
                <w:tcPr>
                  <w:tcW w:w="267" w:type="pct"/>
                  <w:vMerge w:val="restart"/>
                  <w:shd w:val="clear" w:color="auto" w:fill="FFFFFF"/>
                  <w:noWrap w:val="0"/>
                  <w:vAlign w:val="center"/>
                </w:tcPr>
                <w:p w14:paraId="4935A9A6">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自行贮存</w:t>
                  </w:r>
                </w:p>
              </w:tc>
              <w:tc>
                <w:tcPr>
                  <w:tcW w:w="281" w:type="pct"/>
                  <w:shd w:val="clear" w:color="auto" w:fill="FFFFFF"/>
                  <w:noWrap w:val="0"/>
                  <w:vAlign w:val="center"/>
                </w:tcPr>
                <w:p w14:paraId="3445A236">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外售</w:t>
                  </w:r>
                </w:p>
              </w:tc>
              <w:tc>
                <w:tcPr>
                  <w:tcW w:w="449" w:type="pct"/>
                  <w:shd w:val="clear" w:color="auto" w:fill="FFFFFF"/>
                  <w:noWrap w:val="0"/>
                  <w:vAlign w:val="center"/>
                </w:tcPr>
                <w:p w14:paraId="7BB43F4B">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外售</w:t>
                  </w:r>
                  <w:r>
                    <w:rPr>
                      <w:rFonts w:hint="eastAsia"/>
                      <w:b w:val="0"/>
                      <w:bCs/>
                      <w:color w:val="000000" w:themeColor="text1"/>
                      <w:sz w:val="21"/>
                      <w:szCs w:val="21"/>
                      <w:highlight w:val="none"/>
                      <w:vertAlign w:val="baseline"/>
                      <w:lang w:val="en-US" w:eastAsia="zh-CN"/>
                      <w14:textFill>
                        <w14:solidFill>
                          <w14:schemeClr w14:val="tx1"/>
                        </w14:solidFill>
                      </w14:textFill>
                    </w:rPr>
                    <w:t>至制砖厂</w:t>
                  </w:r>
                </w:p>
              </w:tc>
              <w:tc>
                <w:tcPr>
                  <w:tcW w:w="478" w:type="pct"/>
                  <w:tcBorders>
                    <w:right w:val="nil"/>
                  </w:tcBorders>
                  <w:shd w:val="clear" w:color="auto" w:fill="FFFFFF"/>
                  <w:noWrap w:val="0"/>
                  <w:vAlign w:val="center"/>
                </w:tcPr>
                <w:p w14:paraId="72E1B705">
                  <w:pPr>
                    <w:pStyle w:val="250"/>
                    <w:keepNext w:val="0"/>
                    <w:keepLines w:val="0"/>
                    <w:pageBreakBefore w:val="0"/>
                    <w:kinsoku/>
                    <w:wordWrap/>
                    <w:overflowPunct/>
                    <w:topLinePunct w:val="0"/>
                    <w:autoSpaceDE/>
                    <w:autoSpaceDN/>
                    <w:bidi w:val="0"/>
                    <w:spacing w:line="360" w:lineRule="exact"/>
                    <w:ind w:left="0" w:leftChars="0" w:right="0" w:rightChars="0" w:firstLine="0" w:firstLineChars="0"/>
                    <w:jc w:val="center"/>
                    <w:textAlignment w:val="auto"/>
                    <w:rPr>
                      <w:rFonts w:hint="default" w:ascii="Times New Roman" w:hAnsi="Times New Roman" w:eastAsia="宋体" w:cs="Times New Roman"/>
                      <w:b w:val="0"/>
                      <w:bCs/>
                      <w:color w:val="000000" w:themeColor="text1"/>
                      <w:sz w:val="21"/>
                      <w:szCs w:val="21"/>
                      <w:highlight w:val="none"/>
                      <w:vertAlign w:val="baseline"/>
                      <w:lang w:val="en-US" w:eastAsia="zh-CN" w:bidi="ar-SA"/>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bidi="ar-SA"/>
                      <w14:textFill>
                        <w14:solidFill>
                          <w14:schemeClr w14:val="tx1"/>
                        </w14:solidFill>
                      </w14:textFill>
                    </w:rPr>
                    <w:t>1549.03</w:t>
                  </w:r>
                </w:p>
              </w:tc>
            </w:tr>
            <w:tr w14:paraId="676F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vMerge w:val="continue"/>
                  <w:tcBorders>
                    <w:left w:val="nil"/>
                  </w:tcBorders>
                  <w:shd w:val="clear" w:color="auto" w:fill="FFFFFF"/>
                  <w:noWrap w:val="0"/>
                  <w:vAlign w:val="center"/>
                </w:tcPr>
                <w:p w14:paraId="6477FF3C">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pPr>
                </w:p>
              </w:tc>
              <w:tc>
                <w:tcPr>
                  <w:tcW w:w="504" w:type="pct"/>
                  <w:shd w:val="clear" w:color="auto" w:fill="FFFFFF"/>
                  <w:noWrap w:val="0"/>
                  <w:vAlign w:val="center"/>
                </w:tcPr>
                <w:p w14:paraId="3AFFC9F8">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cs="Times New Roman"/>
                      <w:b w:val="0"/>
                      <w:bCs/>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t>收集粉尘</w:t>
                  </w:r>
                </w:p>
              </w:tc>
              <w:tc>
                <w:tcPr>
                  <w:tcW w:w="314" w:type="pct"/>
                  <w:vMerge w:val="continue"/>
                  <w:shd w:val="clear" w:color="auto" w:fill="FFFFFF"/>
                  <w:noWrap w:val="0"/>
                  <w:vAlign w:val="center"/>
                </w:tcPr>
                <w:p w14:paraId="76BF2D86">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p>
              </w:tc>
              <w:tc>
                <w:tcPr>
                  <w:tcW w:w="953" w:type="pct"/>
                  <w:shd w:val="clear" w:color="auto" w:fill="FFFFFF"/>
                  <w:noWrap w:val="0"/>
                  <w:vAlign w:val="center"/>
                </w:tcPr>
                <w:p w14:paraId="24E05604">
                  <w:pPr>
                    <w:pageBreakBefore w:val="0"/>
                    <w:wordWrap/>
                    <w:bidi w:val="0"/>
                    <w:adjustRightInd w:val="0"/>
                    <w:snapToGrid w:val="0"/>
                    <w:spacing w:afterAutospacing="0" w:line="360" w:lineRule="auto"/>
                    <w:ind w:left="0" w:leftChars="0" w:right="0" w:rightChars="0" w:firstLine="0" w:firstLineChars="0"/>
                    <w:jc w:val="cente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900-099-S59</w:t>
                  </w:r>
                </w:p>
              </w:tc>
              <w:tc>
                <w:tcPr>
                  <w:tcW w:w="480" w:type="pct"/>
                  <w:shd w:val="clear" w:color="auto" w:fill="FFFFFF"/>
                  <w:noWrap w:val="0"/>
                  <w:vAlign w:val="center"/>
                </w:tcPr>
                <w:p w14:paraId="17782875">
                  <w:pPr>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固态</w:t>
                  </w:r>
                </w:p>
              </w:tc>
              <w:tc>
                <w:tcPr>
                  <w:tcW w:w="511" w:type="pct"/>
                  <w:shd w:val="clear" w:color="auto" w:fill="FFFFFF"/>
                  <w:noWrap w:val="0"/>
                  <w:vAlign w:val="center"/>
                </w:tcPr>
                <w:p w14:paraId="1523AF94">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w:t>
                  </w:r>
                </w:p>
              </w:tc>
              <w:tc>
                <w:tcPr>
                  <w:tcW w:w="478" w:type="pct"/>
                  <w:shd w:val="clear" w:color="auto" w:fill="FFFFFF"/>
                  <w:noWrap w:val="0"/>
                  <w:vAlign w:val="center"/>
                </w:tcPr>
                <w:p w14:paraId="18335C88">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21.47</w:t>
                  </w:r>
                </w:p>
              </w:tc>
              <w:tc>
                <w:tcPr>
                  <w:tcW w:w="267" w:type="pct"/>
                  <w:vMerge w:val="continue"/>
                  <w:shd w:val="clear" w:color="auto" w:fill="FFFFFF"/>
                  <w:noWrap w:val="0"/>
                  <w:vAlign w:val="center"/>
                </w:tcPr>
                <w:p w14:paraId="27126CFC">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p>
              </w:tc>
              <w:tc>
                <w:tcPr>
                  <w:tcW w:w="281" w:type="pct"/>
                  <w:shd w:val="clear" w:color="auto" w:fill="FFFFFF"/>
                  <w:noWrap w:val="0"/>
                  <w:vAlign w:val="center"/>
                </w:tcPr>
                <w:p w14:paraId="096B3FE4">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外售</w:t>
                  </w:r>
                </w:p>
              </w:tc>
              <w:tc>
                <w:tcPr>
                  <w:tcW w:w="449" w:type="pct"/>
                  <w:shd w:val="clear" w:color="auto" w:fill="FFFFFF"/>
                  <w:noWrap w:val="0"/>
                  <w:vAlign w:val="center"/>
                </w:tcPr>
                <w:p w14:paraId="7EDA03DA">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外售</w:t>
                  </w:r>
                  <w:r>
                    <w:rPr>
                      <w:rFonts w:hint="eastAsia"/>
                      <w:b w:val="0"/>
                      <w:bCs/>
                      <w:color w:val="000000" w:themeColor="text1"/>
                      <w:sz w:val="21"/>
                      <w:szCs w:val="21"/>
                      <w:highlight w:val="none"/>
                      <w:vertAlign w:val="baseline"/>
                      <w:lang w:val="en-US" w:eastAsia="zh-CN"/>
                      <w14:textFill>
                        <w14:solidFill>
                          <w14:schemeClr w14:val="tx1"/>
                        </w14:solidFill>
                      </w14:textFill>
                    </w:rPr>
                    <w:t>至制砖厂</w:t>
                  </w:r>
                </w:p>
              </w:tc>
              <w:tc>
                <w:tcPr>
                  <w:tcW w:w="478" w:type="pct"/>
                  <w:tcBorders>
                    <w:right w:val="nil"/>
                  </w:tcBorders>
                  <w:shd w:val="clear" w:color="auto" w:fill="FFFFFF"/>
                  <w:noWrap w:val="0"/>
                  <w:vAlign w:val="center"/>
                </w:tcPr>
                <w:p w14:paraId="4217FD4C">
                  <w:pPr>
                    <w:pStyle w:val="250"/>
                    <w:keepNext w:val="0"/>
                    <w:keepLines w:val="0"/>
                    <w:pageBreakBefore w:val="0"/>
                    <w:kinsoku/>
                    <w:wordWrap/>
                    <w:overflowPunct/>
                    <w:topLinePunct w:val="0"/>
                    <w:autoSpaceDE/>
                    <w:autoSpaceDN/>
                    <w:bidi w:val="0"/>
                    <w:spacing w:line="360" w:lineRule="exact"/>
                    <w:ind w:left="0" w:leftChars="0" w:right="0" w:rightChars="0" w:firstLine="0" w:firstLineChars="0"/>
                    <w:jc w:val="center"/>
                    <w:textAlignment w:val="auto"/>
                    <w:rPr>
                      <w:rFonts w:hint="default" w:cs="Times New Roman"/>
                      <w:b w:val="0"/>
                      <w:bCs/>
                      <w:color w:val="000000" w:themeColor="text1"/>
                      <w:sz w:val="21"/>
                      <w:szCs w:val="21"/>
                      <w:highlight w:val="none"/>
                      <w:vertAlign w:val="baseline"/>
                      <w:lang w:val="en-US" w:eastAsia="zh-CN" w:bidi="ar-SA"/>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bidi="ar-SA"/>
                      <w14:textFill>
                        <w14:solidFill>
                          <w14:schemeClr w14:val="tx1"/>
                        </w14:solidFill>
                      </w14:textFill>
                    </w:rPr>
                    <w:t>21.47</w:t>
                  </w:r>
                </w:p>
              </w:tc>
            </w:tr>
            <w:tr w14:paraId="5BE1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vMerge w:val="continue"/>
                  <w:tcBorders>
                    <w:left w:val="nil"/>
                  </w:tcBorders>
                  <w:shd w:val="clear" w:color="auto" w:fill="FFFFFF"/>
                  <w:noWrap w:val="0"/>
                  <w:vAlign w:val="center"/>
                </w:tcPr>
                <w:p w14:paraId="1984E3A3">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pPr>
                </w:p>
              </w:tc>
              <w:tc>
                <w:tcPr>
                  <w:tcW w:w="504" w:type="pct"/>
                  <w:shd w:val="clear" w:color="auto" w:fill="FFFFFF"/>
                  <w:noWrap w:val="0"/>
                  <w:vAlign w:val="center"/>
                </w:tcPr>
                <w:p w14:paraId="2392BC42">
                  <w:pPr>
                    <w:pStyle w:val="200"/>
                    <w:keepNext w:val="0"/>
                    <w:keepLines w:val="0"/>
                    <w:pageBreakBefore w:val="0"/>
                    <w:widowControl w:val="0"/>
                    <w:kinsoku/>
                    <w:wordWrap/>
                    <w:overflowPunct/>
                    <w:topLinePunct w:val="0"/>
                    <w:autoSpaceDE/>
                    <w:autoSpaceDN/>
                    <w:bidi w:val="0"/>
                    <w:spacing w:line="240" w:lineRule="auto"/>
                    <w:ind w:leftChars="0" w:firstLine="0" w:firstLineChars="0"/>
                    <w:jc w:val="center"/>
                    <w:textAlignment w:val="auto"/>
                    <w:rPr>
                      <w:rFonts w:hint="default" w:cs="Times New Roman"/>
                      <w:b w:val="0"/>
                      <w:bCs/>
                      <w:color w:val="000000" w:themeColor="text1"/>
                      <w:sz w:val="21"/>
                      <w:szCs w:val="21"/>
                      <w:highlight w:val="none"/>
                      <w:vertAlign w:val="baseline"/>
                      <w:lang w:val="en-US" w:eastAsia="zh-CN" w:bidi="ar-SA"/>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bidi="ar-SA"/>
                      <w14:textFill>
                        <w14:solidFill>
                          <w14:schemeClr w14:val="tx1"/>
                        </w14:solidFill>
                      </w14:textFill>
                    </w:rPr>
                    <w:t>废布袋</w:t>
                  </w:r>
                </w:p>
              </w:tc>
              <w:tc>
                <w:tcPr>
                  <w:tcW w:w="314" w:type="pct"/>
                  <w:vMerge w:val="continue"/>
                  <w:shd w:val="clear" w:color="auto" w:fill="FFFFFF"/>
                  <w:noWrap w:val="0"/>
                  <w:vAlign w:val="center"/>
                </w:tcPr>
                <w:p w14:paraId="4FE08508">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p>
              </w:tc>
              <w:tc>
                <w:tcPr>
                  <w:tcW w:w="953" w:type="pct"/>
                  <w:shd w:val="clear" w:color="auto" w:fill="FFFFFF"/>
                  <w:noWrap w:val="0"/>
                  <w:vAlign w:val="center"/>
                </w:tcPr>
                <w:p w14:paraId="739D5457">
                  <w:pPr>
                    <w:pageBreakBefore w:val="0"/>
                    <w:wordWrap/>
                    <w:bidi w:val="0"/>
                    <w:adjustRightInd w:val="0"/>
                    <w:snapToGrid w:val="0"/>
                    <w:spacing w:afterAutospacing="0" w:line="360" w:lineRule="auto"/>
                    <w:ind w:left="0" w:leftChars="0" w:right="0" w:rightChars="0" w:firstLine="0" w:firstLineChars="0"/>
                    <w:jc w:val="cente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900-099-S59</w:t>
                  </w:r>
                </w:p>
              </w:tc>
              <w:tc>
                <w:tcPr>
                  <w:tcW w:w="480" w:type="pct"/>
                  <w:shd w:val="clear" w:color="auto" w:fill="FFFFFF"/>
                  <w:noWrap w:val="0"/>
                  <w:vAlign w:val="center"/>
                </w:tcPr>
                <w:p w14:paraId="3643F5FB">
                  <w:pPr>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固态</w:t>
                  </w:r>
                </w:p>
              </w:tc>
              <w:tc>
                <w:tcPr>
                  <w:tcW w:w="511" w:type="pct"/>
                  <w:shd w:val="clear" w:color="auto" w:fill="FFFFFF"/>
                  <w:noWrap w:val="0"/>
                  <w:vAlign w:val="center"/>
                </w:tcPr>
                <w:p w14:paraId="2E12CE11">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w:t>
                  </w:r>
                </w:p>
              </w:tc>
              <w:tc>
                <w:tcPr>
                  <w:tcW w:w="478" w:type="pct"/>
                  <w:shd w:val="clear" w:color="auto" w:fill="FFFFFF"/>
                  <w:noWrap w:val="0"/>
                  <w:vAlign w:val="center"/>
                </w:tcPr>
                <w:p w14:paraId="691996C7">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0.5</w:t>
                  </w:r>
                </w:p>
              </w:tc>
              <w:tc>
                <w:tcPr>
                  <w:tcW w:w="267" w:type="pct"/>
                  <w:vMerge w:val="continue"/>
                  <w:shd w:val="clear" w:color="auto" w:fill="FFFFFF"/>
                  <w:noWrap w:val="0"/>
                  <w:vAlign w:val="center"/>
                </w:tcPr>
                <w:p w14:paraId="0F8E7166">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p>
              </w:tc>
              <w:tc>
                <w:tcPr>
                  <w:tcW w:w="281" w:type="pct"/>
                  <w:vMerge w:val="restart"/>
                  <w:shd w:val="clear" w:color="auto" w:fill="FFFFFF"/>
                  <w:noWrap w:val="0"/>
                  <w:vAlign w:val="center"/>
                </w:tcPr>
                <w:p w14:paraId="40D8EA30">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厂家回收处置</w:t>
                  </w:r>
                </w:p>
              </w:tc>
              <w:tc>
                <w:tcPr>
                  <w:tcW w:w="449" w:type="pct"/>
                  <w:vMerge w:val="restart"/>
                  <w:shd w:val="clear" w:color="auto" w:fill="FFFFFF"/>
                  <w:noWrap w:val="0"/>
                  <w:vAlign w:val="center"/>
                </w:tcPr>
                <w:p w14:paraId="19AF5A13">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厂家回收处置</w:t>
                  </w:r>
                </w:p>
              </w:tc>
              <w:tc>
                <w:tcPr>
                  <w:tcW w:w="478" w:type="pct"/>
                  <w:tcBorders>
                    <w:right w:val="nil"/>
                  </w:tcBorders>
                  <w:shd w:val="clear" w:color="auto" w:fill="FFFFFF"/>
                  <w:noWrap w:val="0"/>
                  <w:vAlign w:val="center"/>
                </w:tcPr>
                <w:p w14:paraId="7B67FE0F">
                  <w:pPr>
                    <w:pStyle w:val="250"/>
                    <w:keepNext w:val="0"/>
                    <w:keepLines w:val="0"/>
                    <w:pageBreakBefore w:val="0"/>
                    <w:kinsoku/>
                    <w:wordWrap/>
                    <w:overflowPunct/>
                    <w:topLinePunct w:val="0"/>
                    <w:autoSpaceDE/>
                    <w:autoSpaceDN/>
                    <w:bidi w:val="0"/>
                    <w:spacing w:line="360" w:lineRule="exact"/>
                    <w:ind w:left="0" w:leftChars="0" w:right="0" w:rightChars="0" w:firstLine="0" w:firstLineChars="0"/>
                    <w:jc w:val="center"/>
                    <w:textAlignment w:val="auto"/>
                    <w:rPr>
                      <w:rFonts w:hint="default" w:cs="Times New Roman"/>
                      <w:b w:val="0"/>
                      <w:bCs/>
                      <w:color w:val="000000" w:themeColor="text1"/>
                      <w:sz w:val="21"/>
                      <w:szCs w:val="21"/>
                      <w:highlight w:val="none"/>
                      <w:vertAlign w:val="baseline"/>
                      <w:lang w:val="en-US" w:eastAsia="zh-CN" w:bidi="ar-SA"/>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bidi="ar-SA"/>
                      <w14:textFill>
                        <w14:solidFill>
                          <w14:schemeClr w14:val="tx1"/>
                        </w14:solidFill>
                      </w14:textFill>
                    </w:rPr>
                    <w:t>0.5</w:t>
                  </w:r>
                </w:p>
              </w:tc>
            </w:tr>
            <w:tr w14:paraId="7F53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vMerge w:val="continue"/>
                  <w:tcBorders>
                    <w:left w:val="nil"/>
                  </w:tcBorders>
                  <w:shd w:val="clear" w:color="auto" w:fill="FFFFFF"/>
                  <w:noWrap w:val="0"/>
                  <w:vAlign w:val="center"/>
                </w:tcPr>
                <w:p w14:paraId="524E29DD">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pPr>
                </w:p>
              </w:tc>
              <w:tc>
                <w:tcPr>
                  <w:tcW w:w="504" w:type="pct"/>
                  <w:shd w:val="clear" w:color="auto" w:fill="FFFFFF"/>
                  <w:noWrap w:val="0"/>
                  <w:vAlign w:val="center"/>
                </w:tcPr>
                <w:p w14:paraId="0AD77F32">
                  <w:pPr>
                    <w:pStyle w:val="200"/>
                    <w:keepNext w:val="0"/>
                    <w:keepLines w:val="0"/>
                    <w:pageBreakBefore w:val="0"/>
                    <w:widowControl w:val="0"/>
                    <w:kinsoku/>
                    <w:wordWrap/>
                    <w:overflowPunct/>
                    <w:topLinePunct w:val="0"/>
                    <w:autoSpaceDE/>
                    <w:autoSpaceDN/>
                    <w:bidi w:val="0"/>
                    <w:spacing w:line="240" w:lineRule="auto"/>
                    <w:ind w:leftChars="0" w:firstLine="0" w:firstLineChars="0"/>
                    <w:jc w:val="center"/>
                    <w:textAlignment w:val="auto"/>
                    <w:rPr>
                      <w:rFonts w:hint="default" w:cs="Times New Roman"/>
                      <w:b w:val="0"/>
                      <w:bCs/>
                      <w:color w:val="000000" w:themeColor="text1"/>
                      <w:sz w:val="21"/>
                      <w:szCs w:val="21"/>
                      <w:highlight w:val="none"/>
                      <w:vertAlign w:val="baseline"/>
                      <w:lang w:val="en-US" w:eastAsia="zh-CN" w:bidi="ar-SA"/>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bidi="ar-SA"/>
                      <w14:textFill>
                        <w14:solidFill>
                          <w14:schemeClr w14:val="tx1"/>
                        </w14:solidFill>
                      </w14:textFill>
                    </w:rPr>
                    <w:t>废防尘网</w:t>
                  </w:r>
                </w:p>
              </w:tc>
              <w:tc>
                <w:tcPr>
                  <w:tcW w:w="314" w:type="pct"/>
                  <w:vMerge w:val="continue"/>
                  <w:shd w:val="clear" w:color="auto" w:fill="FFFFFF"/>
                  <w:noWrap w:val="0"/>
                  <w:vAlign w:val="center"/>
                </w:tcPr>
                <w:p w14:paraId="0F086B9F">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p>
              </w:tc>
              <w:tc>
                <w:tcPr>
                  <w:tcW w:w="953" w:type="pct"/>
                  <w:shd w:val="clear" w:color="auto" w:fill="FFFFFF"/>
                  <w:noWrap w:val="0"/>
                  <w:vAlign w:val="center"/>
                </w:tcPr>
                <w:p w14:paraId="2B3C9746">
                  <w:pPr>
                    <w:pageBreakBefore w:val="0"/>
                    <w:wordWrap/>
                    <w:bidi w:val="0"/>
                    <w:adjustRightInd w:val="0"/>
                    <w:snapToGrid w:val="0"/>
                    <w:spacing w:afterAutospacing="0" w:line="360" w:lineRule="auto"/>
                    <w:ind w:left="0" w:leftChars="0" w:right="0" w:rightChars="0" w:firstLine="0" w:firstLineChars="0"/>
                    <w:jc w:val="center"/>
                    <w:rPr>
                      <w:rFonts w:hint="eastAsia" w:ascii="Times New Roman" w:hAnsi="Times New Roman" w:eastAsia="宋体" w:cs="Times New Roman"/>
                      <w:b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900-099-S59</w:t>
                  </w:r>
                </w:p>
              </w:tc>
              <w:tc>
                <w:tcPr>
                  <w:tcW w:w="480" w:type="pct"/>
                  <w:shd w:val="clear" w:color="auto" w:fill="FFFFFF"/>
                  <w:noWrap w:val="0"/>
                  <w:vAlign w:val="center"/>
                </w:tcPr>
                <w:p w14:paraId="082827D0">
                  <w:pPr>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固态</w:t>
                  </w:r>
                </w:p>
              </w:tc>
              <w:tc>
                <w:tcPr>
                  <w:tcW w:w="511" w:type="pct"/>
                  <w:shd w:val="clear" w:color="auto" w:fill="FFFFFF"/>
                  <w:noWrap w:val="0"/>
                  <w:vAlign w:val="center"/>
                </w:tcPr>
                <w:p w14:paraId="780A57FF">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w:t>
                  </w:r>
                </w:p>
              </w:tc>
              <w:tc>
                <w:tcPr>
                  <w:tcW w:w="478" w:type="pct"/>
                  <w:shd w:val="clear" w:color="auto" w:fill="FFFFFF"/>
                  <w:noWrap w:val="0"/>
                  <w:vAlign w:val="center"/>
                </w:tcPr>
                <w:p w14:paraId="37D3E086">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default"/>
                      <w:b w:val="0"/>
                      <w:bCs/>
                      <w:color w:val="000000" w:themeColor="text1"/>
                      <w:sz w:val="21"/>
                      <w:szCs w:val="21"/>
                      <w:highlight w:val="none"/>
                      <w:vertAlign w:val="baseline"/>
                      <w:lang w:val="en-US" w:eastAsia="zh-CN"/>
                      <w14:textFill>
                        <w14:solidFill>
                          <w14:schemeClr w14:val="tx1"/>
                        </w14:solidFill>
                      </w14:textFill>
                    </w:rPr>
                  </w:pPr>
                  <w:r>
                    <w:rPr>
                      <w:rFonts w:hint="eastAsia"/>
                      <w:b w:val="0"/>
                      <w:bCs/>
                      <w:color w:val="000000" w:themeColor="text1"/>
                      <w:sz w:val="21"/>
                      <w:szCs w:val="21"/>
                      <w:highlight w:val="none"/>
                      <w:vertAlign w:val="baseline"/>
                      <w:lang w:val="en-US" w:eastAsia="zh-CN"/>
                      <w14:textFill>
                        <w14:solidFill>
                          <w14:schemeClr w14:val="tx1"/>
                        </w14:solidFill>
                      </w14:textFill>
                    </w:rPr>
                    <w:t>0.5</w:t>
                  </w:r>
                </w:p>
              </w:tc>
              <w:tc>
                <w:tcPr>
                  <w:tcW w:w="267" w:type="pct"/>
                  <w:vMerge w:val="continue"/>
                  <w:shd w:val="clear" w:color="auto" w:fill="FFFFFF"/>
                  <w:noWrap w:val="0"/>
                  <w:vAlign w:val="center"/>
                </w:tcPr>
                <w:p w14:paraId="67ECA43E">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p>
              </w:tc>
              <w:tc>
                <w:tcPr>
                  <w:tcW w:w="281" w:type="pct"/>
                  <w:vMerge w:val="continue"/>
                  <w:shd w:val="clear" w:color="auto" w:fill="FFFFFF"/>
                  <w:noWrap w:val="0"/>
                  <w:vAlign w:val="center"/>
                </w:tcPr>
                <w:p w14:paraId="30FDCF35">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b w:val="0"/>
                      <w:bCs/>
                      <w:color w:val="000000" w:themeColor="text1"/>
                      <w:sz w:val="21"/>
                      <w:szCs w:val="21"/>
                      <w:highlight w:val="none"/>
                      <w:vertAlign w:val="baseline"/>
                      <w:lang w:val="en-US" w:eastAsia="zh-CN"/>
                      <w14:textFill>
                        <w14:solidFill>
                          <w14:schemeClr w14:val="tx1"/>
                        </w14:solidFill>
                      </w14:textFill>
                    </w:rPr>
                  </w:pPr>
                </w:p>
              </w:tc>
              <w:tc>
                <w:tcPr>
                  <w:tcW w:w="449" w:type="pct"/>
                  <w:vMerge w:val="continue"/>
                  <w:shd w:val="clear" w:color="auto" w:fill="FFFFFF"/>
                  <w:noWrap w:val="0"/>
                  <w:vAlign w:val="center"/>
                </w:tcPr>
                <w:p w14:paraId="04E856CF">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p>
              </w:tc>
              <w:tc>
                <w:tcPr>
                  <w:tcW w:w="478" w:type="pct"/>
                  <w:tcBorders>
                    <w:right w:val="nil"/>
                  </w:tcBorders>
                  <w:shd w:val="clear" w:color="auto" w:fill="FFFFFF"/>
                  <w:noWrap w:val="0"/>
                  <w:vAlign w:val="center"/>
                </w:tcPr>
                <w:p w14:paraId="45681F27">
                  <w:pPr>
                    <w:pStyle w:val="250"/>
                    <w:keepNext w:val="0"/>
                    <w:keepLines w:val="0"/>
                    <w:pageBreakBefore w:val="0"/>
                    <w:kinsoku/>
                    <w:wordWrap/>
                    <w:overflowPunct/>
                    <w:topLinePunct w:val="0"/>
                    <w:autoSpaceDE/>
                    <w:autoSpaceDN/>
                    <w:bidi w:val="0"/>
                    <w:spacing w:line="360" w:lineRule="exact"/>
                    <w:ind w:left="0" w:leftChars="0" w:right="0" w:rightChars="0" w:firstLine="0" w:firstLineChars="0"/>
                    <w:jc w:val="center"/>
                    <w:textAlignment w:val="auto"/>
                    <w:rPr>
                      <w:rFonts w:hint="default" w:cs="Times New Roman"/>
                      <w:b w:val="0"/>
                      <w:bCs/>
                      <w:color w:val="000000" w:themeColor="text1"/>
                      <w:sz w:val="21"/>
                      <w:szCs w:val="21"/>
                      <w:highlight w:val="none"/>
                      <w:vertAlign w:val="baseline"/>
                      <w:lang w:val="en-US" w:eastAsia="zh-CN" w:bidi="ar-SA"/>
                      <w14:textFill>
                        <w14:solidFill>
                          <w14:schemeClr w14:val="tx1"/>
                        </w14:solidFill>
                      </w14:textFill>
                    </w:rPr>
                  </w:pPr>
                  <w:r>
                    <w:rPr>
                      <w:rFonts w:hint="eastAsia" w:cs="Times New Roman"/>
                      <w:b w:val="0"/>
                      <w:bCs/>
                      <w:color w:val="000000" w:themeColor="text1"/>
                      <w:sz w:val="21"/>
                      <w:szCs w:val="21"/>
                      <w:highlight w:val="none"/>
                      <w:vertAlign w:val="baseline"/>
                      <w:lang w:val="en-US" w:eastAsia="zh-CN" w:bidi="ar-SA"/>
                      <w14:textFill>
                        <w14:solidFill>
                          <w14:schemeClr w14:val="tx1"/>
                        </w14:solidFill>
                      </w14:textFill>
                    </w:rPr>
                    <w:t>0.5</w:t>
                  </w:r>
                </w:p>
              </w:tc>
            </w:tr>
            <w:tr w14:paraId="246C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vMerge w:val="continue"/>
                  <w:tcBorders>
                    <w:left w:val="nil"/>
                  </w:tcBorders>
                  <w:shd w:val="clear" w:color="auto" w:fill="FFFFFF"/>
                  <w:noWrap w:val="0"/>
                  <w:vAlign w:val="center"/>
                </w:tcPr>
                <w:p w14:paraId="6D7476C2">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pPr>
                </w:p>
              </w:tc>
              <w:tc>
                <w:tcPr>
                  <w:tcW w:w="504" w:type="pct"/>
                  <w:shd w:val="clear" w:color="auto" w:fill="FFFFFF"/>
                  <w:noWrap w:val="0"/>
                  <w:vAlign w:val="center"/>
                </w:tcPr>
                <w:p w14:paraId="76967612">
                  <w:pPr>
                    <w:pStyle w:val="200"/>
                    <w:spacing w:line="360" w:lineRule="exact"/>
                    <w:ind w:firstLine="0" w:firstLineChars="0"/>
                    <w:jc w:val="cente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14:textFill>
                        <w14:solidFill>
                          <w14:schemeClr w14:val="tx1"/>
                        </w14:solidFill>
                      </w14:textFill>
                    </w:rPr>
                    <w:t>废</w:t>
                  </w:r>
                  <w:r>
                    <w:rPr>
                      <w:rFonts w:hint="eastAsia" w:ascii="Times New Roman" w:hAnsi="Times New Roman" w:eastAsia="宋体" w:cs="Times New Roman"/>
                      <w:b w:val="0"/>
                      <w:color w:val="000000" w:themeColor="text1"/>
                      <w:sz w:val="21"/>
                      <w:szCs w:val="21"/>
                      <w:highlight w:val="none"/>
                      <w:vertAlign w:val="baseline"/>
                      <w:lang w:val="en-US" w:eastAsia="zh-CN" w:bidi="ar-SA"/>
                      <w14:textFill>
                        <w14:solidFill>
                          <w14:schemeClr w14:val="tx1"/>
                        </w14:solidFill>
                      </w14:textFill>
                    </w:rPr>
                    <w:t>润滑油</w:t>
                  </w:r>
                </w:p>
              </w:tc>
              <w:tc>
                <w:tcPr>
                  <w:tcW w:w="314" w:type="pct"/>
                  <w:shd w:val="clear" w:color="auto" w:fill="FFFFFF"/>
                  <w:noWrap w:val="0"/>
                  <w:vAlign w:val="center"/>
                </w:tcPr>
                <w:p w14:paraId="16B9EFD3">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t>危险废物</w:t>
                  </w:r>
                </w:p>
              </w:tc>
              <w:tc>
                <w:tcPr>
                  <w:tcW w:w="953" w:type="pct"/>
                  <w:shd w:val="clear" w:color="auto" w:fill="FFFFFF"/>
                  <w:noWrap w:val="0"/>
                  <w:vAlign w:val="center"/>
                </w:tcPr>
                <w:p w14:paraId="0837B600">
                  <w:pPr>
                    <w:pStyle w:val="2"/>
                    <w:spacing w:line="360" w:lineRule="exact"/>
                    <w:ind w:left="0" w:leftChars="0" w:firstLine="0" w:firstLineChars="0"/>
                    <w:jc w:val="center"/>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900-2</w:t>
                  </w:r>
                  <w:r>
                    <w:rPr>
                      <w:rFonts w:hint="eastAsia" w:ascii="Times New Roman" w:hAnsi="Times New Roman"/>
                      <w:b w:val="0"/>
                      <w:color w:val="000000" w:themeColor="text1"/>
                      <w:sz w:val="21"/>
                      <w:szCs w:val="21"/>
                      <w:highlight w:val="none"/>
                      <w:lang w:val="en-US" w:eastAsia="zh-CN"/>
                      <w14:textFill>
                        <w14:solidFill>
                          <w14:schemeClr w14:val="tx1"/>
                        </w14:solidFill>
                      </w14:textFill>
                    </w:rPr>
                    <w:t>14</w:t>
                  </w: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-08</w:t>
                  </w:r>
                </w:p>
              </w:tc>
              <w:tc>
                <w:tcPr>
                  <w:tcW w:w="480" w:type="pct"/>
                  <w:shd w:val="clear" w:color="auto" w:fill="FFFFFF"/>
                  <w:noWrap w:val="0"/>
                  <w:vAlign w:val="center"/>
                </w:tcPr>
                <w:p w14:paraId="1B62EF6E">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Times New Roman"/>
                      <w:b w:val="0"/>
                      <w:color w:val="000000" w:themeColor="text1"/>
                      <w:sz w:val="21"/>
                      <w:szCs w:val="21"/>
                      <w:highlight w:val="none"/>
                      <w:lang w:val="en-US" w:eastAsia="zh-CN" w:bidi="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液</w:t>
                  </w:r>
                  <w:r>
                    <w:rPr>
                      <w:rFonts w:ascii="Times New Roman" w:hAnsi="Times New Roman" w:eastAsia="宋体"/>
                      <w:b w:val="0"/>
                      <w:color w:val="000000" w:themeColor="text1"/>
                      <w:sz w:val="21"/>
                      <w:szCs w:val="21"/>
                      <w:highlight w:val="none"/>
                      <w14:textFill>
                        <w14:solidFill>
                          <w14:schemeClr w14:val="tx1"/>
                        </w14:solidFill>
                      </w14:textFill>
                    </w:rPr>
                    <w:t>态</w:t>
                  </w:r>
                </w:p>
              </w:tc>
              <w:tc>
                <w:tcPr>
                  <w:tcW w:w="511" w:type="pct"/>
                  <w:shd w:val="clear" w:color="auto" w:fill="FFFFFF"/>
                  <w:noWrap w:val="0"/>
                  <w:vAlign w:val="center"/>
                </w:tcPr>
                <w:p w14:paraId="0E3C5531">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val="en-US" w:eastAsia="zh-CN"/>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T</w:t>
                  </w: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 xml:space="preserve">, </w:t>
                  </w:r>
                  <w:r>
                    <w:rPr>
                      <w:rFonts w:ascii="Times New Roman" w:hAnsi="Times New Roman" w:eastAsia="宋体"/>
                      <w:b w:val="0"/>
                      <w:color w:val="000000" w:themeColor="text1"/>
                      <w:sz w:val="21"/>
                      <w:szCs w:val="21"/>
                      <w:highlight w:val="none"/>
                      <w14:textFill>
                        <w14:solidFill>
                          <w14:schemeClr w14:val="tx1"/>
                        </w14:solidFill>
                      </w14:textFill>
                    </w:rPr>
                    <w:t>I</w:t>
                  </w:r>
                </w:p>
              </w:tc>
              <w:tc>
                <w:tcPr>
                  <w:tcW w:w="478" w:type="pct"/>
                  <w:shd w:val="clear" w:color="auto" w:fill="FFFFFF"/>
                  <w:noWrap w:val="0"/>
                  <w:vAlign w:val="center"/>
                </w:tcPr>
                <w:p w14:paraId="517C207C">
                  <w:pPr>
                    <w:pStyle w:val="2"/>
                    <w:spacing w:line="360" w:lineRule="exact"/>
                    <w:ind w:left="0" w:leftChars="0" w:firstLine="0" w:firstLineChars="0"/>
                    <w:rPr>
                      <w:rFonts w:hint="default" w:ascii="Times New Roman" w:hAnsi="Times New Roman" w:eastAsia="宋体"/>
                      <w:b w:val="0"/>
                      <w:color w:val="000000" w:themeColor="text1"/>
                      <w:sz w:val="21"/>
                      <w:szCs w:val="21"/>
                      <w:highlight w:val="none"/>
                      <w:lang w:val="en-US" w:eastAsia="zh-CN" w:bidi="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0.1</w:t>
                  </w:r>
                </w:p>
              </w:tc>
              <w:tc>
                <w:tcPr>
                  <w:tcW w:w="267" w:type="pct"/>
                  <w:vMerge w:val="restart"/>
                  <w:shd w:val="clear" w:color="auto" w:fill="FFFFFF"/>
                  <w:noWrap w:val="0"/>
                  <w:vAlign w:val="center"/>
                </w:tcPr>
                <w:p w14:paraId="6C4EBDC9">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自行贮存</w:t>
                  </w:r>
                </w:p>
              </w:tc>
              <w:tc>
                <w:tcPr>
                  <w:tcW w:w="281" w:type="pct"/>
                  <w:vMerge w:val="restart"/>
                  <w:shd w:val="clear" w:color="auto" w:fill="FFFFFF"/>
                  <w:noWrap w:val="0"/>
                  <w:vAlign w:val="center"/>
                </w:tcPr>
                <w:p w14:paraId="04C5AEB3">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ascii="Times New Roman" w:hAnsi="Times New Roman" w:eastAsia="宋体"/>
                      <w:b w:val="0"/>
                      <w:bCs/>
                      <w:color w:val="000000" w:themeColor="text1"/>
                      <w:sz w:val="21"/>
                      <w:szCs w:val="21"/>
                      <w:highlight w:val="none"/>
                      <w:vertAlign w:val="baseline"/>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t>委外处置</w:t>
                  </w:r>
                </w:p>
              </w:tc>
              <w:tc>
                <w:tcPr>
                  <w:tcW w:w="449" w:type="pct"/>
                  <w:vMerge w:val="restart"/>
                  <w:shd w:val="clear" w:color="auto" w:fill="FFFFFF"/>
                  <w:noWrap w:val="0"/>
                  <w:vAlign w:val="center"/>
                </w:tcPr>
                <w:p w14:paraId="77F8D948">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t>交由持有相应类别危废经营许可证的单位处理</w:t>
                  </w:r>
                </w:p>
              </w:tc>
              <w:tc>
                <w:tcPr>
                  <w:tcW w:w="478" w:type="pct"/>
                  <w:tcBorders>
                    <w:right w:val="nil"/>
                  </w:tcBorders>
                  <w:shd w:val="clear" w:color="auto" w:fill="FFFFFF"/>
                  <w:noWrap w:val="0"/>
                  <w:vAlign w:val="center"/>
                </w:tcPr>
                <w:p w14:paraId="2F214826">
                  <w:pPr>
                    <w:pStyle w:val="2"/>
                    <w:spacing w:line="360" w:lineRule="exact"/>
                    <w:ind w:left="0" w:leftChars="0" w:firstLine="0" w:firstLineChars="0"/>
                    <w:rPr>
                      <w:rFonts w:hint="eastAsia" w:ascii="Times New Roman" w:hAnsi="Times New Roman" w:eastAsia="宋体" w:cs="Times New Roman"/>
                      <w:b w:val="0"/>
                      <w:color w:val="000000" w:themeColor="text1"/>
                      <w:sz w:val="21"/>
                      <w:szCs w:val="21"/>
                      <w:highlight w:val="none"/>
                      <w:lang w:val="en-US" w:eastAsia="zh-CN" w:bidi="zh-CN"/>
                      <w14:textFill>
                        <w14:solidFill>
                          <w14:schemeClr w14:val="tx1"/>
                        </w14:solidFill>
                      </w14:textFill>
                    </w:rPr>
                  </w:pPr>
                  <w:r>
                    <w:rPr>
                      <w:rFonts w:hint="eastAsia" w:ascii="Times New Roman" w:hAnsi="Times New Roman" w:eastAsia="宋体"/>
                      <w:b w:val="0"/>
                      <w:color w:val="000000" w:themeColor="text1"/>
                      <w:sz w:val="21"/>
                      <w:szCs w:val="21"/>
                      <w:highlight w:val="none"/>
                      <w:lang w:val="en-US" w:eastAsia="zh-CN"/>
                      <w14:textFill>
                        <w14:solidFill>
                          <w14:schemeClr w14:val="tx1"/>
                        </w14:solidFill>
                      </w14:textFill>
                    </w:rPr>
                    <w:t>0.</w:t>
                  </w:r>
                  <w:r>
                    <w:rPr>
                      <w:rFonts w:hint="eastAsia"/>
                      <w:b w:val="0"/>
                      <w:color w:val="000000" w:themeColor="text1"/>
                      <w:sz w:val="21"/>
                      <w:szCs w:val="21"/>
                      <w:highlight w:val="none"/>
                      <w:lang w:val="en-US" w:eastAsia="zh-CN"/>
                      <w14:textFill>
                        <w14:solidFill>
                          <w14:schemeClr w14:val="tx1"/>
                        </w14:solidFill>
                      </w14:textFill>
                    </w:rPr>
                    <w:t>1</w:t>
                  </w:r>
                </w:p>
              </w:tc>
            </w:tr>
            <w:tr w14:paraId="7D6B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vMerge w:val="continue"/>
                  <w:tcBorders>
                    <w:left w:val="nil"/>
                    <w:bottom w:val="single" w:color="000000" w:sz="12" w:space="0"/>
                  </w:tcBorders>
                  <w:shd w:val="clear" w:color="auto" w:fill="FFFFFF"/>
                  <w:noWrap w:val="0"/>
                  <w:vAlign w:val="center"/>
                </w:tcPr>
                <w:p w14:paraId="1BDA1539">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eastAsia="zh-CN"/>
                      <w14:textFill>
                        <w14:solidFill>
                          <w14:schemeClr w14:val="tx1"/>
                        </w14:solidFill>
                      </w14:textFill>
                    </w:rPr>
                  </w:pPr>
                </w:p>
              </w:tc>
              <w:tc>
                <w:tcPr>
                  <w:tcW w:w="504" w:type="pct"/>
                  <w:tcBorders>
                    <w:bottom w:val="single" w:color="000000" w:sz="12" w:space="0"/>
                  </w:tcBorders>
                  <w:shd w:val="clear" w:color="auto" w:fill="FFFFFF"/>
                  <w:noWrap w:val="0"/>
                  <w:vAlign w:val="center"/>
                </w:tcPr>
                <w:p w14:paraId="3C28A8FD">
                  <w:pPr>
                    <w:pStyle w:val="200"/>
                    <w:keepNext w:val="0"/>
                    <w:keepLines w:val="0"/>
                    <w:pageBreakBefore w:val="0"/>
                    <w:widowControl w:val="0"/>
                    <w:kinsoku/>
                    <w:wordWrap/>
                    <w:overflowPunct/>
                    <w:topLinePunct w:val="0"/>
                    <w:autoSpaceDE/>
                    <w:autoSpaceDN/>
                    <w:bidi w:val="0"/>
                    <w:spacing w:line="360" w:lineRule="exact"/>
                    <w:ind w:left="0" w:leftChars="0" w:firstLine="0" w:firstLineChars="0"/>
                    <w:jc w:val="center"/>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vertAlign w:val="baseline"/>
                      <w:lang w:val="en-US" w:eastAsia="zh-CN" w:bidi="ar-SA"/>
                      <w14:textFill>
                        <w14:solidFill>
                          <w14:schemeClr w14:val="tx1"/>
                        </w14:solidFill>
                      </w14:textFill>
                    </w:rPr>
                    <w:t>润滑油废包装桶</w:t>
                  </w:r>
                </w:p>
              </w:tc>
              <w:tc>
                <w:tcPr>
                  <w:tcW w:w="314" w:type="pct"/>
                  <w:tcBorders>
                    <w:bottom w:val="single" w:color="000000" w:sz="12" w:space="0"/>
                  </w:tcBorders>
                  <w:shd w:val="clear" w:color="auto" w:fill="FFFFFF"/>
                  <w:noWrap w:val="0"/>
                  <w:vAlign w:val="center"/>
                </w:tcPr>
                <w:p w14:paraId="6AFF3937">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ascii="Times New Roman" w:hAnsi="Times New Roman" w:eastAsia="宋体"/>
                      <w:b w:val="0"/>
                      <w:bCs/>
                      <w:color w:val="000000" w:themeColor="text1"/>
                      <w:sz w:val="21"/>
                      <w:szCs w:val="21"/>
                      <w:highlight w:val="none"/>
                      <w:vertAlign w:val="baseline"/>
                      <w14:textFill>
                        <w14:solidFill>
                          <w14:schemeClr w14:val="tx1"/>
                        </w14:solidFill>
                      </w14:textFill>
                    </w:rPr>
                  </w:pPr>
                </w:p>
              </w:tc>
              <w:tc>
                <w:tcPr>
                  <w:tcW w:w="953" w:type="pct"/>
                  <w:tcBorders>
                    <w:bottom w:val="single" w:color="000000" w:sz="12" w:space="0"/>
                  </w:tcBorders>
                  <w:shd w:val="clear" w:color="auto" w:fill="FFFFFF"/>
                  <w:noWrap w:val="0"/>
                  <w:vAlign w:val="center"/>
                </w:tcPr>
                <w:p w14:paraId="0D05A14E">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900-249-08</w:t>
                  </w:r>
                </w:p>
              </w:tc>
              <w:tc>
                <w:tcPr>
                  <w:tcW w:w="480" w:type="pct"/>
                  <w:tcBorders>
                    <w:bottom w:val="single" w:color="000000" w:sz="12" w:space="0"/>
                  </w:tcBorders>
                  <w:shd w:val="clear" w:color="auto" w:fill="FFFFFF"/>
                  <w:noWrap w:val="0"/>
                  <w:vAlign w:val="center"/>
                </w:tcPr>
                <w:p w14:paraId="3A10B886">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Times New Roman"/>
                      <w:b w:val="0"/>
                      <w:color w:val="000000" w:themeColor="text1"/>
                      <w:sz w:val="21"/>
                      <w:szCs w:val="21"/>
                      <w:highlight w:val="none"/>
                      <w:lang w:val="en-US" w:eastAsia="zh-CN" w:bidi="zh-CN"/>
                      <w14:textFill>
                        <w14:solidFill>
                          <w14:schemeClr w14:val="tx1"/>
                        </w14:solidFill>
                      </w14:textFill>
                    </w:rPr>
                  </w:pPr>
                  <w:r>
                    <w:rPr>
                      <w:rFonts w:ascii="Times New Roman" w:hAnsi="Times New Roman" w:eastAsia="宋体"/>
                      <w:b w:val="0"/>
                      <w:color w:val="000000" w:themeColor="text1"/>
                      <w:sz w:val="21"/>
                      <w:szCs w:val="21"/>
                      <w:highlight w:val="none"/>
                      <w14:textFill>
                        <w14:solidFill>
                          <w14:schemeClr w14:val="tx1"/>
                        </w14:solidFill>
                      </w14:textFill>
                    </w:rPr>
                    <w:t>固态</w:t>
                  </w:r>
                </w:p>
              </w:tc>
              <w:tc>
                <w:tcPr>
                  <w:tcW w:w="511" w:type="pct"/>
                  <w:tcBorders>
                    <w:bottom w:val="single" w:color="000000" w:sz="12" w:space="0"/>
                  </w:tcBorders>
                  <w:shd w:val="clear" w:color="auto" w:fill="FFFFFF"/>
                  <w:noWrap w:val="0"/>
                  <w:vAlign w:val="center"/>
                </w:tcPr>
                <w:p w14:paraId="0AABF15D">
                  <w:pPr>
                    <w:pStyle w:val="2"/>
                    <w:spacing w:line="360" w:lineRule="exact"/>
                    <w:ind w:left="0" w:leftChars="0" w:firstLine="0" w:firstLineChars="0"/>
                    <w:rPr>
                      <w:rFonts w:hint="eastAsia" w:ascii="Times New Roman" w:hAnsi="Times New Roman" w:eastAsia="宋体"/>
                      <w:b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val="0"/>
                      <w:color w:val="000000" w:themeColor="text1"/>
                      <w:sz w:val="21"/>
                      <w:szCs w:val="21"/>
                      <w:highlight w:val="none"/>
                      <w:lang w:eastAsia="zh-CN"/>
                      <w14:textFill>
                        <w14:solidFill>
                          <w14:schemeClr w14:val="tx1"/>
                        </w14:solidFill>
                      </w14:textFill>
                    </w:rPr>
                    <w:t>T, I</w:t>
                  </w:r>
                </w:p>
              </w:tc>
              <w:tc>
                <w:tcPr>
                  <w:tcW w:w="478" w:type="pct"/>
                  <w:tcBorders>
                    <w:bottom w:val="single" w:color="000000" w:sz="12" w:space="0"/>
                  </w:tcBorders>
                  <w:shd w:val="clear" w:color="auto" w:fill="FFFFFF"/>
                  <w:noWrap w:val="0"/>
                  <w:vAlign w:val="center"/>
                </w:tcPr>
                <w:p w14:paraId="7C771C28">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b w:val="0"/>
                      <w:color w:val="000000" w:themeColor="text1"/>
                      <w:sz w:val="21"/>
                      <w:szCs w:val="21"/>
                      <w:highlight w:val="none"/>
                      <w:lang w:val="en-US" w:eastAsia="zh-CN" w:bidi="zh-CN"/>
                      <w14:textFill>
                        <w14:solidFill>
                          <w14:schemeClr w14:val="tx1"/>
                        </w14:solidFill>
                      </w14:textFill>
                    </w:rPr>
                  </w:pPr>
                  <w:r>
                    <w:rPr>
                      <w:rFonts w:hint="eastAsia"/>
                      <w:b w:val="0"/>
                      <w:color w:val="000000" w:themeColor="text1"/>
                      <w:sz w:val="21"/>
                      <w:szCs w:val="21"/>
                      <w:highlight w:val="none"/>
                      <w:lang w:val="en-US" w:eastAsia="zh-CN"/>
                      <w14:textFill>
                        <w14:solidFill>
                          <w14:schemeClr w14:val="tx1"/>
                        </w14:solidFill>
                      </w14:textFill>
                    </w:rPr>
                    <w:t>0.1</w:t>
                  </w:r>
                </w:p>
              </w:tc>
              <w:tc>
                <w:tcPr>
                  <w:tcW w:w="267" w:type="pct"/>
                  <w:vMerge w:val="continue"/>
                  <w:tcBorders>
                    <w:bottom w:val="single" w:color="000000" w:sz="12" w:space="0"/>
                  </w:tcBorders>
                  <w:shd w:val="clear" w:color="auto" w:fill="FFFFFF"/>
                  <w:noWrap w:val="0"/>
                  <w:vAlign w:val="center"/>
                </w:tcPr>
                <w:p w14:paraId="71410690">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rPr>
                      <w:rFonts w:hint="eastAsia" w:ascii="Times New Roman" w:hAnsi="Times New Roman" w:eastAsia="宋体"/>
                      <w:b w:val="0"/>
                      <w:bCs/>
                      <w:color w:val="000000" w:themeColor="text1"/>
                      <w:sz w:val="21"/>
                      <w:szCs w:val="21"/>
                      <w:highlight w:val="none"/>
                      <w:vertAlign w:val="baseline"/>
                      <w:lang w:val="en-US" w:eastAsia="zh-CN"/>
                      <w14:textFill>
                        <w14:solidFill>
                          <w14:schemeClr w14:val="tx1"/>
                        </w14:solidFill>
                      </w14:textFill>
                    </w:rPr>
                  </w:pPr>
                </w:p>
              </w:tc>
              <w:tc>
                <w:tcPr>
                  <w:tcW w:w="281" w:type="pct"/>
                  <w:vMerge w:val="continue"/>
                  <w:tcBorders>
                    <w:bottom w:val="single" w:color="000000" w:sz="12" w:space="0"/>
                  </w:tcBorders>
                  <w:shd w:val="clear" w:color="auto" w:fill="FFFFFF"/>
                  <w:noWrap w:val="0"/>
                  <w:vAlign w:val="center"/>
                </w:tcPr>
                <w:p w14:paraId="1B0FA7FF">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ascii="Times New Roman" w:hAnsi="Times New Roman" w:eastAsia="宋体"/>
                      <w:b w:val="0"/>
                      <w:bCs/>
                      <w:color w:val="000000" w:themeColor="text1"/>
                      <w:sz w:val="21"/>
                      <w:szCs w:val="21"/>
                      <w:highlight w:val="none"/>
                      <w:vertAlign w:val="baseline"/>
                      <w14:textFill>
                        <w14:solidFill>
                          <w14:schemeClr w14:val="tx1"/>
                        </w14:solidFill>
                      </w14:textFill>
                    </w:rPr>
                  </w:pPr>
                </w:p>
              </w:tc>
              <w:tc>
                <w:tcPr>
                  <w:tcW w:w="449" w:type="pct"/>
                  <w:vMerge w:val="continue"/>
                  <w:tcBorders>
                    <w:bottom w:val="single" w:color="000000" w:sz="12" w:space="0"/>
                  </w:tcBorders>
                  <w:shd w:val="clear" w:color="auto" w:fill="FFFFFF"/>
                  <w:noWrap w:val="0"/>
                  <w:vAlign w:val="center"/>
                </w:tcPr>
                <w:p w14:paraId="15C4BB91">
                  <w:pPr>
                    <w:pStyle w:val="250"/>
                    <w:keepNext w:val="0"/>
                    <w:keepLines w:val="0"/>
                    <w:pageBreakBefore w:val="0"/>
                    <w:kinsoku/>
                    <w:wordWrap/>
                    <w:overflowPunct/>
                    <w:topLinePunct w:val="0"/>
                    <w:autoSpaceDE/>
                    <w:autoSpaceDN/>
                    <w:bidi w:val="0"/>
                    <w:spacing w:line="360" w:lineRule="exact"/>
                    <w:ind w:leftChars="0" w:right="0" w:firstLine="0" w:firstLineChars="0"/>
                    <w:jc w:val="center"/>
                    <w:textAlignment w:val="auto"/>
                    <w:rPr>
                      <w:rFonts w:ascii="Times New Roman" w:hAnsi="Times New Roman" w:eastAsia="宋体"/>
                      <w:b w:val="0"/>
                      <w:bCs/>
                      <w:color w:val="000000" w:themeColor="text1"/>
                      <w:sz w:val="21"/>
                      <w:szCs w:val="21"/>
                      <w:highlight w:val="none"/>
                      <w:vertAlign w:val="baseline"/>
                      <w14:textFill>
                        <w14:solidFill>
                          <w14:schemeClr w14:val="tx1"/>
                        </w14:solidFill>
                      </w14:textFill>
                    </w:rPr>
                  </w:pPr>
                </w:p>
              </w:tc>
              <w:tc>
                <w:tcPr>
                  <w:tcW w:w="478" w:type="pct"/>
                  <w:tcBorders>
                    <w:bottom w:val="single" w:color="000000" w:sz="12" w:space="0"/>
                    <w:right w:val="nil"/>
                  </w:tcBorders>
                  <w:shd w:val="clear" w:color="auto" w:fill="FFFFFF"/>
                  <w:noWrap w:val="0"/>
                  <w:vAlign w:val="center"/>
                </w:tcPr>
                <w:p w14:paraId="35956288">
                  <w:pPr>
                    <w:pStyle w:val="2"/>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Times New Roman"/>
                      <w:b w:val="0"/>
                      <w:color w:val="000000" w:themeColor="text1"/>
                      <w:sz w:val="21"/>
                      <w:szCs w:val="21"/>
                      <w:highlight w:val="none"/>
                      <w:lang w:val="en-US" w:eastAsia="zh-CN" w:bidi="zh-CN"/>
                      <w14:textFill>
                        <w14:solidFill>
                          <w14:schemeClr w14:val="tx1"/>
                        </w14:solidFill>
                      </w14:textFill>
                    </w:rPr>
                  </w:pPr>
                  <w:r>
                    <w:rPr>
                      <w:rFonts w:hint="eastAsia" w:ascii="Times New Roman" w:hAnsi="Times New Roman" w:eastAsia="宋体"/>
                      <w:b w:val="0"/>
                      <w:color w:val="000000" w:themeColor="text1"/>
                      <w:sz w:val="21"/>
                      <w:szCs w:val="21"/>
                      <w:highlight w:val="none"/>
                      <w:lang w:val="en-US" w:eastAsia="zh-CN"/>
                      <w14:textFill>
                        <w14:solidFill>
                          <w14:schemeClr w14:val="tx1"/>
                        </w14:solidFill>
                      </w14:textFill>
                    </w:rPr>
                    <w:t>0.</w:t>
                  </w:r>
                  <w:r>
                    <w:rPr>
                      <w:rFonts w:hint="eastAsia"/>
                      <w:b w:val="0"/>
                      <w:color w:val="000000" w:themeColor="text1"/>
                      <w:sz w:val="21"/>
                      <w:szCs w:val="21"/>
                      <w:highlight w:val="none"/>
                      <w:lang w:val="en-US" w:eastAsia="zh-CN"/>
                      <w14:textFill>
                        <w14:solidFill>
                          <w14:schemeClr w14:val="tx1"/>
                        </w14:solidFill>
                      </w14:textFill>
                    </w:rPr>
                    <w:t>1</w:t>
                  </w:r>
                </w:p>
              </w:tc>
            </w:tr>
          </w:tbl>
          <w:p w14:paraId="3E134293">
            <w:pPr>
              <w:pStyle w:val="250"/>
              <w:numPr>
                <w:ilvl w:val="0"/>
                <w:numId w:val="12"/>
              </w:numPr>
              <w:spacing w:line="360" w:lineRule="auto"/>
              <w:ind w:firstLine="482" w:firstLineChars="200"/>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固体废物处置措施</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可行性分析</w:t>
            </w:r>
          </w:p>
          <w:p w14:paraId="768CED53">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hint="eastAsia" w:ascii="Times New Roman" w:hAnsi="Times New Roman" w:eastAsia="宋体" w:cs="微软雅黑"/>
                <w:color w:val="000000" w:themeColor="text1"/>
                <w:sz w:val="24"/>
                <w:szCs w:val="24"/>
                <w:highlight w:val="none"/>
                <w:lang w:val="en-US" w:eastAsia="zh-CN"/>
                <w14:textFill>
                  <w14:solidFill>
                    <w14:schemeClr w14:val="tx1"/>
                  </w14:solidFill>
                </w14:textFill>
              </w:rPr>
              <w:t>①</w:t>
            </w:r>
            <w:r>
              <w:rPr>
                <w:rFonts w:ascii="Times New Roman" w:hAnsi="Times New Roman" w:eastAsia="宋体"/>
                <w:color w:val="000000" w:themeColor="text1"/>
                <w:sz w:val="24"/>
                <w14:textFill>
                  <w14:solidFill>
                    <w14:schemeClr w14:val="tx1"/>
                  </w14:solidFill>
                </w14:textFill>
              </w:rPr>
              <w:t>生活垃圾处置可行性分析</w:t>
            </w:r>
          </w:p>
          <w:p w14:paraId="0AEA6DDB">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本项目生活垃圾主要为厂区工作人员日常办公、生活产生的废弃物，项目新增员工5人，生活垃圾产生量为0.525t/a，产生量小、污染特性简单，无有毒有害成分。项目采取规范化分类收集方式，通过专用垃圾袋统一收集、定点存放，保持厂区生活垃圾收集点整洁有序，杜绝散落、异味滋生及蚊虫滋生等二次污染问题。</w:t>
            </w:r>
          </w:p>
          <w:p w14:paraId="3E00D204">
            <w:pPr>
              <w:pStyle w:val="227"/>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项目生活垃圾不自行处置、不随意丢弃，全部</w:t>
            </w:r>
            <w:r>
              <w:rPr>
                <w:rFonts w:eastAsia="宋体"/>
                <w:color w:val="000000" w:themeColor="text1"/>
                <w:spacing w:val="-6"/>
                <w:sz w:val="24"/>
                <w14:textFill>
                  <w14:solidFill>
                    <w14:schemeClr w14:val="tx1"/>
                  </w14:solidFill>
                </w14:textFill>
              </w:rPr>
              <w:t>由</w:t>
            </w:r>
            <w:r>
              <w:rPr>
                <w:rFonts w:hint="eastAsia" w:eastAsia="宋体"/>
                <w:color w:val="000000" w:themeColor="text1"/>
                <w:spacing w:val="-6"/>
                <w:sz w:val="24"/>
                <w14:textFill>
                  <w14:solidFill>
                    <w14:schemeClr w14:val="tx1"/>
                  </w14:solidFill>
                </w14:textFill>
              </w:rPr>
              <w:t>昌吉市三工镇常胜四队</w:t>
            </w:r>
            <w:r>
              <w:rPr>
                <w:rFonts w:hint="eastAsia" w:eastAsia="宋体"/>
                <w:color w:val="000000" w:themeColor="text1"/>
                <w:spacing w:val="-6"/>
                <w:sz w:val="24"/>
                <w:lang w:val="en-US" w:eastAsia="zh-CN"/>
                <w14:textFill>
                  <w14:solidFill>
                    <w14:schemeClr w14:val="tx1"/>
                  </w14:solidFill>
                </w14:textFill>
              </w:rPr>
              <w:t>村委会收集后统一交由</w:t>
            </w:r>
            <w:r>
              <w:rPr>
                <w:rFonts w:eastAsia="宋体"/>
                <w:color w:val="000000" w:themeColor="text1"/>
                <w:spacing w:val="-6"/>
                <w:sz w:val="24"/>
                <w14:textFill>
                  <w14:solidFill>
                    <w14:schemeClr w14:val="tx1"/>
                  </w14:solidFill>
                </w14:textFill>
              </w:rPr>
              <w:t>昌吉市市容环境卫生管理中心</w:t>
            </w:r>
            <w:r>
              <w:rPr>
                <w:rFonts w:hint="eastAsia" w:eastAsia="宋体"/>
                <w:color w:val="000000" w:themeColor="text1"/>
                <w:spacing w:val="-6"/>
                <w:sz w:val="24"/>
                <w:lang w:val="en-US" w:eastAsia="zh-CN"/>
                <w14:textFill>
                  <w14:solidFill>
                    <w14:schemeClr w14:val="tx1"/>
                  </w14:solidFill>
                </w14:textFill>
              </w:rPr>
              <w:t>处理处置</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，处置方式为区域通用的合规生活垃圾处置模式。市政环卫部门具备完善的生活垃圾清运、处置体系，处置资质齐全、处置渠道稳定</w:t>
            </w:r>
            <w:r>
              <w:rPr>
                <w:rFonts w:hint="eastAsia" w:cs="宋体"/>
                <w:color w:val="000000" w:themeColor="text1"/>
                <w:kern w:val="0"/>
                <w:sz w:val="24"/>
                <w:szCs w:val="24"/>
                <w:lang w:val="en-US" w:eastAsia="zh-CN" w:bidi="ar"/>
                <w14:textFill>
                  <w14:solidFill>
                    <w14:schemeClr w14:val="tx1"/>
                  </w14:solidFill>
                </w14:textFill>
              </w:rPr>
              <w:t>，</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确保项目生活垃圾得到规范化无害化处理。该处置方案工艺简单、管控成本低、落地性强，完全满足厂区生活垃圾污染防控要求，处置措施具备可行性。</w:t>
            </w:r>
          </w:p>
          <w:p w14:paraId="0E042014">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hint="eastAsia" w:ascii="Times New Roman" w:hAnsi="Times New Roman" w:eastAsia="宋体" w:cs="微软雅黑"/>
                <w:color w:val="000000" w:themeColor="text1"/>
                <w:sz w:val="24"/>
                <w:szCs w:val="24"/>
                <w:highlight w:val="none"/>
                <w:lang w:val="en-US" w:eastAsia="zh-CN"/>
                <w14:textFill>
                  <w14:solidFill>
                    <w14:schemeClr w14:val="tx1"/>
                  </w14:solidFill>
                </w14:textFill>
              </w:rPr>
              <w:t>②</w:t>
            </w:r>
            <w:r>
              <w:rPr>
                <w:rFonts w:ascii="Times New Roman" w:hAnsi="Times New Roman" w:eastAsia="宋体"/>
                <w:color w:val="000000" w:themeColor="text1"/>
                <w:sz w:val="24"/>
                <w14:textFill>
                  <w14:solidFill>
                    <w14:schemeClr w14:val="tx1"/>
                  </w14:solidFill>
                </w14:textFill>
              </w:rPr>
              <w:t>一般工业固体废物处置可行性分析</w:t>
            </w:r>
          </w:p>
          <w:p w14:paraId="6B08E2CD">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本项目一般工业固体废物主要包括损坏抑尘网、洗沙泥饼、车辆冲洗沉淀污泥、布袋除尘器收集粉尘、废布袋，各类固废均为砂石生产配套产污，无有毒有害污染物，整体可实现100%资源化利用，针对不同固废特性制定差异化处置方案，处置措施合规可行，具体分项分析如下：</w:t>
            </w:r>
          </w:p>
          <w:p w14:paraId="36AC570C">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b w:val="0"/>
                <w:bCs w:val="0"/>
                <w:color w:val="000000" w:themeColor="text1"/>
                <w:sz w:val="24"/>
                <w14:textFill>
                  <w14:solidFill>
                    <w14:schemeClr w14:val="tx1"/>
                  </w14:solidFill>
                </w14:textFill>
              </w:rPr>
            </w:pPr>
            <w:r>
              <w:rPr>
                <w:rStyle w:val="45"/>
                <w:rFonts w:hint="eastAsia" w:ascii="Times New Roman" w:hAnsi="Times New Roman" w:eastAsia="宋体" w:cs="宋体"/>
                <w:b w:val="0"/>
                <w:bCs w:val="0"/>
                <w:color w:val="000000" w:themeColor="text1"/>
                <w:kern w:val="0"/>
                <w:sz w:val="24"/>
                <w:szCs w:val="24"/>
                <w:lang w:val="en-US" w:eastAsia="zh-CN" w:bidi="ar"/>
                <w14:textFill>
                  <w14:solidFill>
                    <w14:schemeClr w14:val="tx1"/>
                  </w14:solidFill>
                </w14:textFill>
              </w:rPr>
              <w:t>1）</w:t>
            </w:r>
            <w:r>
              <w:rPr>
                <w:rStyle w:val="45"/>
                <w:rFonts w:ascii="Times New Roman" w:hAnsi="Times New Roman" w:eastAsia="宋体" w:cs="宋体"/>
                <w:b w:val="0"/>
                <w:bCs w:val="0"/>
                <w:color w:val="000000" w:themeColor="text1"/>
                <w:kern w:val="0"/>
                <w:sz w:val="24"/>
                <w:szCs w:val="24"/>
                <w:lang w:val="en-US" w:eastAsia="zh-CN" w:bidi="ar"/>
                <w14:textFill>
                  <w14:solidFill>
                    <w14:schemeClr w14:val="tx1"/>
                  </w14:solidFill>
                </w14:textFill>
              </w:rPr>
              <w:t>损坏抑尘网、废布袋处置可行性</w:t>
            </w:r>
          </w:p>
          <w:p w14:paraId="6AF81138">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其中损坏抑尘网委托具备一般固废回收资质的企业回收综合利用，废布袋由设备厂家专项回收处置，项目均签订正式处置协议，建立完整的固废转移台账、回收单据，全程可追溯、可监管。该处置方式实现固废资源化回收，杜绝固废废弃污染，贮存、处置流程规范，技术成熟、经济可行。</w:t>
            </w:r>
          </w:p>
          <w:p w14:paraId="63F09848">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hint="eastAsia" w:ascii="Times New Roman" w:hAnsi="Times New Roman" w:eastAsia="宋体" w:cs="宋体"/>
                <w:color w:val="000000" w:themeColor="text1"/>
                <w:kern w:val="0"/>
                <w:sz w:val="24"/>
                <w:szCs w:val="24"/>
                <w:lang w:val="en-US" w:eastAsia="zh-CN" w:bidi="ar"/>
                <w14:textFill>
                  <w14:solidFill>
                    <w14:schemeClr w14:val="tx1"/>
                  </w14:solidFill>
                </w14:textFill>
              </w:rPr>
              <w:t>2）</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洗沙泥饼为项目核心一般固废，初始压滤后含水率55%，经专用堆场自然蒸发脱水后，含水率降至40%，最终外运量</w:t>
            </w:r>
            <w:r>
              <w:rPr>
                <w:rFonts w:hint="eastAsia" w:cs="宋体"/>
                <w:color w:val="000000" w:themeColor="text1"/>
                <w:kern w:val="0"/>
                <w:sz w:val="24"/>
                <w:szCs w:val="24"/>
                <w:lang w:val="en-US" w:eastAsia="zh-CN" w:bidi="ar"/>
                <w14:textFill>
                  <w14:solidFill>
                    <w14:schemeClr w14:val="tx1"/>
                  </w14:solidFill>
                </w14:textFill>
              </w:rPr>
              <w:t>1546.23</w:t>
            </w:r>
            <w:r>
              <w:rPr>
                <w:rFonts w:ascii="Times New Roman" w:hAnsi="Times New Roman" w:eastAsia="宋体" w:cs="宋体"/>
                <w:color w:val="000000" w:themeColor="text1"/>
                <w:kern w:val="0"/>
                <w:sz w:val="24"/>
                <w:szCs w:val="24"/>
                <w:lang w:val="en-US" w:eastAsia="zh-CN" w:bidi="ar"/>
                <w14:textFill>
                  <w14:solidFill>
                    <w14:schemeClr w14:val="tx1"/>
                  </w14:solidFill>
                </w14:textFill>
              </w:rPr>
              <w:t>t/a；车辆冲洗沉淀池污泥产生量2.8t/a，产生量极少。两类污泥主要成分为无机砂石、黏土，不含重金属及有毒有害污染物，性质稳定，属于合规一般工业固废，是制砖行业优质原材料。</w:t>
            </w:r>
          </w:p>
          <w:p w14:paraId="4765B304">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hint="eastAsia" w:ascii="Times New Roman" w:hAnsi="Times New Roman" w:eastAsia="宋体" w:cs="微软雅黑"/>
                <w:color w:val="000000" w:themeColor="text1"/>
                <w:sz w:val="24"/>
                <w:szCs w:val="24"/>
                <w:highlight w:val="none"/>
                <w:lang w:val="en-US" w:eastAsia="zh-CN"/>
                <w14:textFill>
                  <w14:solidFill>
                    <w14:schemeClr w14:val="tx1"/>
                  </w14:solidFill>
                </w14:textFill>
              </w:rPr>
              <w:t>③</w:t>
            </w:r>
            <w:r>
              <w:rPr>
                <w:rFonts w:ascii="Times New Roman" w:hAnsi="Times New Roman" w:eastAsia="宋体"/>
                <w:color w:val="000000" w:themeColor="text1"/>
                <w:sz w:val="24"/>
                <w14:textFill>
                  <w14:solidFill>
                    <w14:schemeClr w14:val="tx1"/>
                  </w14:solidFill>
                </w14:textFill>
              </w:rPr>
              <w:t>危险废物处置及依托可行性分析</w:t>
            </w:r>
          </w:p>
          <w:p w14:paraId="3C6A01C5">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本项目运营期产生的危险废物为废润滑油、废润滑油包装桶，属于HW08废矿物油与含矿物油废物，年产总量0.2t/a，产生量极小，均来源于设备日常运维工序，产废周期稳定、污染特性明确。项目严格按照《危险废物贮存污染控制标准》及危废管理相关规范，对两类危废实施全流程规范化管控，处置及厂区贮存依托可行性如下：</w:t>
            </w:r>
          </w:p>
          <w:p w14:paraId="185A47D2">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项目废润滑油（液态）、废润滑油包装桶（固态）均单独密闭收集、分类存放，杜绝混存、泄漏、挥发等风险。所有危险废物不自行处置、不随意流转，定期委托持有HW08类别危废经营许可证的专业处置单位外运处置，处置单位资质齐全、处置工艺合规、处置渠道稳定，可确保危险废物得到专业化无害化处置，杜绝危废环境污染风险，处置方式符合国家及地方危废管控要求。</w:t>
            </w:r>
          </w:p>
          <w:p w14:paraId="16A4C016">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依托厂区现有合规危废贮存库，库房总面积7m²，现场勘察确认库房防渗、防腐、防雨、防火、防泄漏、应急收集设施完善，符合危废贮存国标要求。现有项目日常贮存危险废物量约0.2t，贮存区域分区清晰、堆放规范。</w:t>
            </w:r>
          </w:p>
          <w:p w14:paraId="0F531417">
            <w:pPr>
              <w:keepNext w:val="0"/>
              <w:keepLines w:val="0"/>
              <w:pageBreakBefore w:val="0"/>
              <w:widowControl/>
              <w:suppressLineNumbers w:val="0"/>
              <w:kinsoku/>
              <w:wordWrap/>
              <w:overflowPunct/>
              <w:topLinePunct w:val="0"/>
              <w:autoSpaceDE/>
              <w:autoSpaceDN/>
              <w:bidi w:val="0"/>
              <w:adjustRightInd/>
              <w:snapToGrid/>
              <w:jc w:val="left"/>
              <w:textAlignment w:val="auto"/>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s="宋体"/>
                <w:color w:val="000000" w:themeColor="text1"/>
                <w:kern w:val="0"/>
                <w:sz w:val="24"/>
                <w:szCs w:val="24"/>
                <w:lang w:val="en-US" w:eastAsia="zh-CN" w:bidi="ar"/>
                <w14:textFill>
                  <w14:solidFill>
                    <w14:schemeClr w14:val="tx1"/>
                  </w14:solidFill>
                </w14:textFill>
              </w:rPr>
              <w:t>同时，厂区危废贮存库配套完善的危废台账管理、标识张贴、入库出库登记制度，可实现危废产生、贮存、转移、处置全流程溯源管控，依托现有库房及管控体系，可完全满足本项目危废规范化贮存需求，依托可行性极高。</w:t>
            </w:r>
          </w:p>
          <w:p w14:paraId="6F8420D6">
            <w:pPr>
              <w:pStyle w:val="250"/>
              <w:spacing w:line="360" w:lineRule="auto"/>
              <w:ind w:firstLine="482"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.环境管理要求</w:t>
            </w:r>
          </w:p>
          <w:p w14:paraId="13056B06">
            <w:pPr>
              <w:pStyle w:val="250"/>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bCs w:val="0"/>
                <w:color w:val="000000" w:themeColor="text1"/>
                <w:sz w:val="24"/>
                <w:szCs w:val="24"/>
                <w:highlight w:val="none"/>
                <w:lang w:val="en-US" w:eastAsia="zh-CN"/>
                <w14:textFill>
                  <w14:solidFill>
                    <w14:schemeClr w14:val="tx1"/>
                  </w14:solidFill>
                </w14:textFill>
              </w:rPr>
              <w:t>（1）生活垃圾</w:t>
            </w:r>
          </w:p>
          <w:p w14:paraId="10FBA28E">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本项目根据《中华人民共和国固体废物污染环境防治法》提出生活垃圾管理要求，具体如下：</w:t>
            </w:r>
          </w:p>
          <w:p w14:paraId="3588874B">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企业应当依法履行生活垃圾源头减量和分类投放义务，承担生活垃圾产生者责任。依法在指定的地点分类投放生活垃圾。禁止随意倾倒、抛撒、堆放或者焚烧生活垃圾。</w:t>
            </w:r>
          </w:p>
          <w:p w14:paraId="7436DD80">
            <w:pPr>
              <w:pStyle w:val="250"/>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b/>
                <w:bCs w:val="0"/>
                <w:color w:val="000000" w:themeColor="text1"/>
                <w:sz w:val="24"/>
                <w:szCs w:val="24"/>
                <w:highlight w:val="none"/>
                <w:lang w:eastAsia="zh-CN"/>
                <w14:textFill>
                  <w14:solidFill>
                    <w14:schemeClr w14:val="tx1"/>
                  </w14:solidFill>
                </w14:textFill>
              </w:rPr>
            </w:pPr>
            <w:r>
              <w:rPr>
                <w:rFonts w:hint="eastAsia" w:ascii="Times New Roman" w:hAnsi="Times New Roman" w:eastAsia="宋体"/>
                <w:b/>
                <w:bCs w:val="0"/>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b/>
                <w:bCs w:val="0"/>
                <w:color w:val="000000" w:themeColor="text1"/>
                <w:sz w:val="24"/>
                <w:szCs w:val="24"/>
                <w:highlight w:val="none"/>
                <w:lang w:eastAsia="zh-CN"/>
                <w14:textFill>
                  <w14:solidFill>
                    <w14:schemeClr w14:val="tx1"/>
                  </w14:solidFill>
                </w14:textFill>
              </w:rPr>
              <w:t>一般工业固废</w:t>
            </w:r>
          </w:p>
          <w:p w14:paraId="6D40F3B5">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本项目根据《中华人民共和国固体废物污染环境防治法</w:t>
            </w:r>
            <w:r>
              <w:rPr>
                <w:rFonts w:hint="eastAsia"/>
                <w:b w:val="0"/>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一般工业固体废物贮存和填埋污染控制标准》（GB 18599-2020）、《一般工业固体废物管理台账制定指南（试行）》（公告2021年第82号）等相关法律法规提出以下要求：</w:t>
            </w:r>
          </w:p>
          <w:p w14:paraId="7D996C3B">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1）企业应当采取措施，防止或者减少固体废物对环境的污染，对所造成的环境污染依法承担责任。</w:t>
            </w:r>
          </w:p>
          <w:p w14:paraId="47C92CE4">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2）企业贮存过程应满足相应防渗漏、防雨淋、防扬尘等环境保护要求，不得擅自倾倒、堆放、丢弃、遗撒固体废物。禁止向江河、湖泊、运河、渠道、水库及其最高水位线以下的滩地和岸坡以及法律法规规定的其他地点倾倒、堆放、贮存固体废物。</w:t>
            </w:r>
          </w:p>
          <w:p w14:paraId="2DBFE111">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3）企业应当建立健全工业固体废物产生、收集、贮存、运输、利用、处置全过程的污染环境防治责任制度，</w:t>
            </w:r>
          </w:p>
          <w:p w14:paraId="2D1F2F19">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4）企业应当按照《一般工业固体废物管理台账制定指南（试行）》（公告2021年第82号）相关要求，建立工业固体废物管理台账，如实记录产生工业固体废物的种类、数量、流向、贮存、利用、处置等信息，实现工业固体废物可追溯、可查询，并采取防治工业固体废物污染环境的措施。禁止向生活垃圾收集设施中投放工业固体废物。</w:t>
            </w:r>
          </w:p>
          <w:p w14:paraId="00059757">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5）企业优先采用国家建立的一般工业固体废物管理电子台账，简化数据填写、台账管理等工作。建立电子台账的产废单位，可不再记录纸质台账。</w:t>
            </w:r>
          </w:p>
          <w:p w14:paraId="76BC66EF">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6）企业台账记录表各表单的负责人对记录信息的真实性、完整性和规范性负责。</w:t>
            </w:r>
          </w:p>
          <w:p w14:paraId="1FD5F675">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7）企业应当设立专人负责台账的管理与归档，一般工业固体废物管理台账保存期限不少于5年。</w:t>
            </w:r>
          </w:p>
          <w:p w14:paraId="67BCC38C">
            <w:pPr>
              <w:pStyle w:val="250"/>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bCs w:val="0"/>
                <w:color w:val="000000" w:themeColor="text1"/>
                <w:sz w:val="24"/>
                <w:szCs w:val="24"/>
                <w:highlight w:val="none"/>
                <w:lang w:val="en-US" w:eastAsia="zh-CN"/>
                <w14:textFill>
                  <w14:solidFill>
                    <w14:schemeClr w14:val="tx1"/>
                  </w14:solidFill>
                </w14:textFill>
              </w:rPr>
              <w:t>（3）危险废物</w:t>
            </w:r>
          </w:p>
          <w:p w14:paraId="139E23BB">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企业落实危废全生命周期闭环管控，从产生收集、库房贮存、厂内转运到委外处置全流程留痕；收集采用相容密封容器分区盛装，危废库防渗防雨、分区张贴警示标识；内部转运轻装防泄漏，外委处置严格核验单位资质，规范填报电子转移联单；建立完整台账，如实记录产生、出入库、转运处置信息，台账存档不少于5年，定期开展库房隐患自查，杜绝渗漏、混存、非法流失等环境风险。本项目根据《中华人民共和国固体废物污染环境防治法》《危险废物贮存污染控制标准》（GB18597-2023）、《危险废物收集贮存运输技术规范》（HJ2025-2012）、《危险废物转移管理办法》（部令第23号）、《危险废物管理计划和管理台账制定技术导则》（HJ1259-2022）等相关法律法规提出以下要求：</w:t>
            </w:r>
          </w:p>
          <w:p w14:paraId="6A3E2DBC">
            <w:pPr>
              <w:pStyle w:val="250"/>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bCs w:val="0"/>
                <w:color w:val="000000" w:themeColor="text1"/>
                <w:sz w:val="24"/>
                <w:szCs w:val="24"/>
                <w:highlight w:val="none"/>
                <w:lang w:val="en-US" w:eastAsia="zh-CN"/>
                <w14:textFill>
                  <w14:solidFill>
                    <w14:schemeClr w14:val="tx1"/>
                  </w14:solidFill>
                </w14:textFill>
              </w:rPr>
              <w:t>1）内部收集、转运</w:t>
            </w:r>
          </w:p>
          <w:p w14:paraId="2F66E293">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①企业进行的危险废物收集包括两个方面，一是在危险废物产生节点将危险废物集中到适当的包装容器中；二是将已包装危险废物集中到危险废物产生单位内部临时贮存设施的内部转运。</w:t>
            </w:r>
          </w:p>
          <w:p w14:paraId="2590BE79">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②危险废物的收集应根据危险废物产生的工艺特征、排放周期、危险废物特性、废物管理计划等因素制定收集计划。收集计划应包括收集任务概述、收集目标及原则、危险废物特性评估、危险废物收集量估算、收集作业范围和方法、收集设备与包装容器、安全生产与个人防护、工程防护与事故应急、进度安排与组织管理等。</w:t>
            </w:r>
          </w:p>
          <w:p w14:paraId="0FCE4330">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③危险废物的收集应制定详细的操作规程，内容至少应包括适用范围、操作程序和方法、专用设备和工具、转移和交接、安全保障和应急防护等，</w:t>
            </w:r>
          </w:p>
          <w:p w14:paraId="7D2D2212">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④危险废物收集和转运作业人员应根据工作需要配备必要的个人防护装备，如手套、防护镜、防护服、防毒面具或口罩等。</w:t>
            </w:r>
          </w:p>
          <w:p w14:paraId="2FE9D278">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⑤在危险废物的收集和转运过程中，应采取相应的安全防护和污染防治措施，包括防爆、防火、防中毒、防感染、防泄漏、防飞扬、防雨或</w:t>
            </w:r>
            <w:r>
              <w:rPr>
                <w:rFonts w:hint="eastAsia"/>
                <w:b w:val="0"/>
                <w:bCs/>
                <w:color w:val="000000" w:themeColor="text1"/>
                <w:sz w:val="24"/>
                <w:szCs w:val="24"/>
                <w:highlight w:val="none"/>
                <w:lang w:val="en-US" w:eastAsia="zh-CN"/>
                <w14:textFill>
                  <w14:solidFill>
                    <w14:schemeClr w14:val="tx1"/>
                  </w14:solidFill>
                </w14:textFill>
              </w:rPr>
              <w:t>其他</w:t>
            </w: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防止污染环境的措施。</w:t>
            </w:r>
          </w:p>
          <w:p w14:paraId="3C58A7BB">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⑥危险废物收集时应根据危险废物的种类、数量、危险特性、物理形态、运输要求等因素确定包装形式，具体包装应符合如下要求：包装材质要与危险废物相容，可根据废物特性选择钢、铝、塑料等材质。性质类似的废物可收集到同一容器中，性质不相容的危险废物不应混合包装。危险废物包装应能有效隔断危险废物迁移扩散途径，并达到防渗、防漏要求。包装好的危险废物应设置相应的标签，标签信息应填写完整翔实。盛装过危险废物的包装袋或包装容器破损后应按危险废物进行管理和处置。危险废物还应根据GB12463的有关要求进行运输包装。</w:t>
            </w:r>
          </w:p>
          <w:p w14:paraId="6B01E4F1">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⑦危险废物的收集作业应满足如下要求：</w:t>
            </w:r>
          </w:p>
          <w:p w14:paraId="56E21CF8">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A.应根据收集设备、转运车辆以及现场人员等实际情况确定相应作业区域，同时要设置作业界限标志和警示牌。</w:t>
            </w:r>
          </w:p>
          <w:p w14:paraId="0E6755C2">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B.作业区域内应设置危险废物收集专用通道和人员避险通道。</w:t>
            </w:r>
          </w:p>
          <w:p w14:paraId="0DD53F7E">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C.收集时应配备必要的收集工具和包装物，以及必要的应急监测设备及应急装备。</w:t>
            </w:r>
          </w:p>
          <w:p w14:paraId="16A9A84B">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D.危险废物收集应参照本标准附录A填写记录表，并将记录表作为危险废物管理的重要档案妥善保存。</w:t>
            </w:r>
          </w:p>
          <w:p w14:paraId="284C25F6">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E.收集结束后应清理和恢复收集作业区域，确保作业区域环境整洁安全。</w:t>
            </w:r>
          </w:p>
          <w:p w14:paraId="49E684CC">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F.收集过危险废物的容器、设备、设施、场所及其他物品转作</w:t>
            </w:r>
            <w:r>
              <w:rPr>
                <w:rFonts w:hint="eastAsia"/>
                <w:b w:val="0"/>
                <w:bCs/>
                <w:color w:val="000000" w:themeColor="text1"/>
                <w:sz w:val="24"/>
                <w:szCs w:val="24"/>
                <w:highlight w:val="none"/>
                <w:lang w:val="en-US" w:eastAsia="zh-CN"/>
                <w14:textFill>
                  <w14:solidFill>
                    <w14:schemeClr w14:val="tx1"/>
                  </w14:solidFill>
                </w14:textFill>
              </w:rPr>
              <w:t>他</w:t>
            </w: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用时，应消除污染，确保其使用安全。</w:t>
            </w:r>
          </w:p>
          <w:p w14:paraId="1012B97E">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G.禁止将危险废物混入非危险废物中贮存。</w:t>
            </w:r>
          </w:p>
          <w:p w14:paraId="1FEA2CA4">
            <w:pPr>
              <w:pStyle w:val="250"/>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bCs w:val="0"/>
                <w:color w:val="000000" w:themeColor="text1"/>
                <w:sz w:val="24"/>
                <w:szCs w:val="24"/>
                <w:highlight w:val="none"/>
                <w:lang w:val="en-US" w:eastAsia="zh-CN"/>
                <w14:textFill>
                  <w14:solidFill>
                    <w14:schemeClr w14:val="tx1"/>
                  </w14:solidFill>
                </w14:textFill>
              </w:rPr>
              <w:t>2）贮存</w:t>
            </w:r>
          </w:p>
          <w:p w14:paraId="3D5B1149">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val="0"/>
                <w:bCs/>
                <w:color w:val="000000" w:themeColor="text1"/>
                <w:sz w:val="24"/>
                <w:szCs w:val="24"/>
                <w:highlight w:val="none"/>
                <w:lang w:val="en-US" w:eastAsia="zh-CN"/>
                <w14:textFill>
                  <w14:solidFill>
                    <w14:schemeClr w14:val="tx1"/>
                  </w14:solidFill>
                </w14:textFill>
              </w:rPr>
              <w:t>①容器和包装物污染控制要求</w:t>
            </w:r>
          </w:p>
          <w:p w14:paraId="7A5DDE50">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容器和包装物材质、内衬应与盛装的危险废物相容。</w:t>
            </w:r>
          </w:p>
          <w:p w14:paraId="64CD77C1">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B.</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针对不同类别、形态、物理化学性质的危险废物，其容器和包装物应满足相应的防渗、防漏、防腐和强度等要求。</w:t>
            </w:r>
          </w:p>
          <w:p w14:paraId="33CF4BFF">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C.</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硬质容器和包装物及其支护结构堆叠码放时不应有明显变形，无破损泄漏。</w:t>
            </w:r>
          </w:p>
          <w:p w14:paraId="2D352D83">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D.</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柔性容器和包装物堆叠码放时应封口严密，无破损泄漏。</w:t>
            </w:r>
          </w:p>
          <w:p w14:paraId="1278DB56">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E.</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使用容器盛装液态、半固态危险废物时，容器内部应留有适当的空间，以适应因温度变化等可能引发的收缩和膨胀，防止其导致容器渗漏或永久变形。</w:t>
            </w:r>
          </w:p>
          <w:p w14:paraId="64C8F7EC">
            <w:pPr>
              <w:pStyle w:val="250"/>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F.</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容器和包装物外表面应保持清洁。</w:t>
            </w:r>
          </w:p>
          <w:p w14:paraId="35967D9D">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t>3）转移</w:t>
            </w:r>
          </w:p>
          <w:p w14:paraId="3735EE9E">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①危险废物转移应当遵循就近原则。跨省、自治区、直辖市转移处置危险废物的，应当以转移至相邻或者开展区域合作的省、自治区、直辖市的危险废物处置设施，以及全国统筹布局的危险废物处置设施为主。</w:t>
            </w:r>
          </w:p>
          <w:p w14:paraId="10EACF19">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②企业在危险废物转移过程中应当采取防扬散、防流失、防渗漏或者其他防止污染环境的措施，不得擅自倾倒、堆放、丢弃、遗撒危险废物，并对所造成的环境污染及生态破坏依法承担责任。</w:t>
            </w:r>
          </w:p>
          <w:p w14:paraId="6160AC06">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③企业应当履行以下义务：</w:t>
            </w:r>
          </w:p>
          <w:p w14:paraId="659F1FED">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A.对承运人或者</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接收</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人的主体资格和技术能力进行核实，依法签订书面合同，并在合同中约定运输、贮存、利用、处置危险废物的污染防治要求及相关责任；</w:t>
            </w:r>
          </w:p>
          <w:p w14:paraId="71A25D8C">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B.制定危险废物管理计划，明确拟转移危险废物的种类、重量（数量）和流向等信息；</w:t>
            </w:r>
          </w:p>
          <w:p w14:paraId="74AFD97F">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C.建立危险废物管理台账，对转移的危险废物进行计量称重，如实记录、妥善保管转移危险废物的种类、重量（数量）和</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接收</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人等相关信息；</w:t>
            </w:r>
          </w:p>
          <w:p w14:paraId="4B3AFD2F">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D.填写、运行危险废物转移联单，在危险废物转移联单中如实填写移出人、承运人、</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接收</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人信息，转移危险废物的种类、重量（数量）、危险特性等信息，以及突发环境事件的防范措施等；</w:t>
            </w:r>
          </w:p>
          <w:p w14:paraId="222285CF">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E.及时核实</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接收</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人贮存、利用或者处置相关危险废物情况；</w:t>
            </w:r>
          </w:p>
          <w:p w14:paraId="7C7BF60C">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F.法律法规规定的其他义务。</w:t>
            </w:r>
          </w:p>
          <w:p w14:paraId="49F714A9">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④危险废物转移联单的运行和管理</w:t>
            </w:r>
          </w:p>
          <w:p w14:paraId="1354F8BE">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A.移出人每转移一车（船或者其他运输工具）次同类危险废物，应当填写、运行一份危险废物转移联单；每车（船或者其他运输工具）次转移多类危险废物的，可以填写、运行一份危险废物转移联单，也可以每一类危险废物填写、运行一份危险废物转移联单。</w:t>
            </w:r>
          </w:p>
          <w:p w14:paraId="003D59EA">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B.对不通过车（船或者其他运输工具），且无法按次对危险废物计量的其他方式转移危险废物的，移出人和</w:t>
            </w:r>
            <w:r>
              <w:rPr>
                <w:rFonts w:hint="eastAsia" w:cs="Times New Roman"/>
                <w:b w:val="0"/>
                <w:bCs w:val="0"/>
                <w:color w:val="000000" w:themeColor="text1"/>
                <w:kern w:val="0"/>
                <w:sz w:val="24"/>
                <w:szCs w:val="24"/>
                <w:highlight w:val="none"/>
                <w:lang w:val="en-US" w:eastAsia="zh-CN" w:bidi="ar-SA"/>
                <w14:textFill>
                  <w14:solidFill>
                    <w14:schemeClr w14:val="tx1"/>
                  </w14:solidFill>
                </w14:textFill>
              </w:rPr>
              <w:t>接收</w:t>
            </w: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人应当分别配备计量记录设备，将每天危险废物转移的种类、重量（数量）、形态和危险特性等信息纳入相关台账记录，并根据所在地设区的市级以上地方生态环境主管部门的要求填写、运行危险废物转移联单。</w:t>
            </w:r>
          </w:p>
          <w:p w14:paraId="46BE5357">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C.危险废物电子转移联单数据应当在信息系统中至少保存十年。因特殊原因无法运行危险废物电子转移联单的，可以先使用纸质转移联单，并于转移活动完成后十个工作日内在信息系统中补录电子转移联单。</w:t>
            </w:r>
          </w:p>
          <w:p w14:paraId="16FAB221">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D.移出人应当按照国家有关要求开展危险废物鉴别。禁止将危险废物以副产品等名义提供或者委托给无危险废物经营许可证的单位或者其他生产经营者从事收集、贮存、利用、处置活动。</w:t>
            </w:r>
          </w:p>
          <w:p w14:paraId="69BDC8A7">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t>4）危险废物管理计划制定要求</w:t>
            </w:r>
          </w:p>
          <w:p w14:paraId="072C9092">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①</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制定单位</w:t>
            </w:r>
          </w:p>
          <w:p w14:paraId="7F1C0FAE">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同一法人单位或者其他组织所属但位于不同生产经营场所的单位，应当以每个生产经营场所为单位，分别制定危险废物管理计划，并通过国家危险废物信息管理系统向生产经营场所所在地生态环境主管部门备案。</w:t>
            </w:r>
          </w:p>
          <w:p w14:paraId="4AE18270">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②</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制定形式及时限要求</w:t>
            </w:r>
          </w:p>
          <w:p w14:paraId="6F782F2F">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A.</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产生危险废物的单位应当按年度制定危险废物管理计划。</w:t>
            </w:r>
          </w:p>
          <w:p w14:paraId="711C6136">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B.</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产生危险废物的单位应当于每年3月31日前通过国家危险废物信息管理系统在线填写并提交当年度的危险废物管理计划，由国家危险废物信息管理系统自动生成备案编号和回执，完成备案。</w:t>
            </w:r>
          </w:p>
          <w:p w14:paraId="4AFD6E8C">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C.</w:t>
            </w: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危险废物管理计划备案内容需要调整的，产生危险废物的单位应当及时变更。</w:t>
            </w:r>
          </w:p>
          <w:p w14:paraId="673ED708">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③制定内容</w:t>
            </w:r>
          </w:p>
          <w:p w14:paraId="2A9D13EA">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危险废物登记管理单位的管理计划制定内容应包括单位基本信息、危险废物产生情况信息、危险废物转移情况信息。</w:t>
            </w:r>
          </w:p>
          <w:p w14:paraId="30BBF053">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t>5）危险废物管理台账制定要求</w:t>
            </w:r>
          </w:p>
          <w:p w14:paraId="4695478A">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①一般原则</w:t>
            </w:r>
          </w:p>
          <w:p w14:paraId="6195BEE1">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A.产生危险废物的单位应建立危险废物管理台账，落实危险废物管理台账记录的责任人，明确工作职责，并对危险废物管理台账的真实性、准确性和完整性负法律责任。</w:t>
            </w:r>
          </w:p>
          <w:p w14:paraId="590680C3">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B.产生危险废物的单位应根据危险废物产生、贮存、利用、处置等环节的动态流向，如实建立各环节的危险废物管理台账，记录内容参见附录B。</w:t>
            </w:r>
          </w:p>
          <w:p w14:paraId="6BE6EF50">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C.危险废物管理台账分为电子管理台账和纸质管理台账两种形式。产生危险废物的单位可通过国家危险废物信息管理系统、企业自建信息管理系统或第三方平台等方式记录电子管理台账。</w:t>
            </w:r>
          </w:p>
          <w:p w14:paraId="11C2E59B">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②频次要求</w:t>
            </w:r>
          </w:p>
          <w:p w14:paraId="2DE5E6B7">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产生后盛放至容器和包装物的，应按每个容器和包装物进行记录；产生后采用管道等方式输送至贮存场所的，按日记录；其他特殊情形的，根据危险废物产生规律确定记录频次。</w:t>
            </w:r>
          </w:p>
          <w:p w14:paraId="0CEFB47E">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③记录内容</w:t>
            </w:r>
          </w:p>
          <w:p w14:paraId="35C1D1CC">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A.危险废物产生环节，应记录产生批次编码、产生时间、危险废物名称、危险废物类别、危险废物代码、产生量、计量单位、容器/包装编码、容器/包装类型、容器/包装数量、产生危险废物设施编码、产生部门经办人、去向等。</w:t>
            </w:r>
          </w:p>
          <w:p w14:paraId="627261FF">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B.危险废物入库环节，应记录入库批次编码、入库时间、容器/包装编码、容器/包装类型、容器/包装数量、危险废物名称、危险废物类别、危险废物代码、入库量、计量单位、贮存设施编码、贮存设施类型、运送部门经办人、贮存部门经办人、产生批次编码等。</w:t>
            </w:r>
          </w:p>
          <w:p w14:paraId="502A1DEB">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C.危险废物出库环节，应记录出库批次编码、出库时间、容器/包装编码、容器/包装类型、容器/包装数量、危险废物名称、危险废物类别、危险废物代码、出库量、计量单位、贮存设施编码、贮存设施类型、出库部门经办人、运送部门经办人、入库批次编码、去向等。</w:t>
            </w:r>
          </w:p>
          <w:p w14:paraId="7546765B">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D.危险废物自行利用/处置环节，应记录自行利用/处置批次编码、自行利用/处置时间、容器/包装编码、容器/包装类型、容器/包装数量、危险废物名称、危险废物类别、危险废物代码、自行利用/处置量、计量单位、自行利用/处置设施编码、自行利用/处置方式、自行利用/处置完毕时间、自行利用/处置部门经办人、产生批次编码/出库批次编码等。</w:t>
            </w:r>
          </w:p>
          <w:p w14:paraId="34ED1BF7">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E.危险废物委外利用/处置环节，应记录委外利用/处置批次编码、出厂时间、容器/包装编码、容器/包装类型、容器/包装数量、危险废物名称、危险废物类别、危险废物代码、委外利用/处置量、计量单位、利用/处置方式、接收单位类型、利用/处置单位名称、许可证编码/出口核准通知单编号、产生批次编码/出库批次编码等。</w:t>
            </w:r>
          </w:p>
          <w:p w14:paraId="79084A1A">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④记录保存</w:t>
            </w:r>
          </w:p>
          <w:p w14:paraId="3B27687D">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保存时间原则上应存档5年以上。</w:t>
            </w:r>
          </w:p>
          <w:p w14:paraId="73512AD4">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en-US" w:eastAsia="zh-CN" w:bidi="ar-SA"/>
                <w14:textFill>
                  <w14:solidFill>
                    <w14:schemeClr w14:val="tx1"/>
                  </w14:solidFill>
                </w14:textFill>
              </w:rPr>
              <w:t>6）危险废物申报要求</w:t>
            </w:r>
          </w:p>
          <w:p w14:paraId="14C3ACEC">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①一般原则</w:t>
            </w:r>
          </w:p>
          <w:p w14:paraId="38401DDF">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A.产生危险废物的单位应定期通过国家危险废物信息管理系统向所在地生态环境主管部门申报危险废物的种类、产生量、流向、贮存、利用、处置等有关资料。</w:t>
            </w:r>
          </w:p>
          <w:p w14:paraId="2539D3C0">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B.产生危险废物的单位应根据危险废物管理台账记录归纳总结申报期内危险废物有关情况，保证申报内容的真实性、准确性和完整性，按时在线提交至所在地生态环境主管部门，台账记录留存备查。</w:t>
            </w:r>
          </w:p>
          <w:p w14:paraId="40439732">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C.产生危险废物的单位可以自行申报，也可以委托危险废物经营许可证持有单位或者经所在地生态环境主管部门同意的第三方单位代为申报。</w:t>
            </w:r>
          </w:p>
          <w:p w14:paraId="001532CD">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②申报周期</w:t>
            </w:r>
          </w:p>
          <w:p w14:paraId="11BAF6F3">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危险废物登记管理单位应当按年度申报危险废物有关资料，且于每年 3 月 31 日前完成上一年度的申报。</w:t>
            </w:r>
          </w:p>
          <w:p w14:paraId="027C2421">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③申报内容</w:t>
            </w:r>
          </w:p>
          <w:p w14:paraId="366345E9">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A.申报内容包括危险废物产生情况、危险废物自行利用/处置情况、危险废物委托外单位利用/处置情况、贮存情况。</w:t>
            </w:r>
          </w:p>
          <w:p w14:paraId="2F1A6201">
            <w:pPr>
              <w:pStyle w:val="200"/>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4"/>
                <w:szCs w:val="24"/>
                <w:highlight w:val="none"/>
                <w:lang w:val="en-US" w:eastAsia="zh-CN" w:bidi="ar-SA"/>
                <w14:textFill>
                  <w14:solidFill>
                    <w14:schemeClr w14:val="tx1"/>
                  </w14:solidFill>
                </w14:textFill>
              </w:rPr>
              <w:t>B.通过国家危险废物信息管理系统建立危险废物电子管理台账的单位，国家危险废物信息管理系统自动生成危险废物申报报告，经其确认并在线提交后，完成申报。</w:t>
            </w:r>
          </w:p>
          <w:p w14:paraId="3E5E3CFB">
            <w:pPr>
              <w:pStyle w:val="249"/>
              <w:keepNext w:val="0"/>
              <w:keepLines w:val="0"/>
              <w:pageBreakBefore w:val="0"/>
              <w:widowControl w:val="0"/>
              <w:kinsoku/>
              <w:wordWrap/>
              <w:overflowPunct/>
              <w:topLinePunct w:val="0"/>
              <w:autoSpaceDE/>
              <w:autoSpaceDN/>
              <w:bidi w:val="0"/>
              <w:adjustRightInd w:val="0"/>
              <w:snapToGrid w:val="0"/>
              <w:spacing w:before="0" w:beforeLines="50" w:line="360" w:lineRule="auto"/>
              <w:ind w:left="0" w:leftChars="0" w:firstLine="0" w:firstLineChars="0"/>
              <w:textAlignment w:val="auto"/>
              <w:rPr>
                <w:rFonts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lang w:val="en-US" w:eastAsia="zh-CN"/>
                <w14:textFill>
                  <w14:solidFill>
                    <w14:schemeClr w14:val="tx1"/>
                  </w14:solidFill>
                </w14:textFill>
              </w:rPr>
              <w:t>五</w:t>
            </w: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14:textFill>
                  <w14:solidFill>
                    <w14:schemeClr w14:val="tx1"/>
                  </w14:solidFill>
                </w14:textFill>
              </w:rPr>
              <w:t>地下水、土壤</w:t>
            </w:r>
          </w:p>
          <w:p w14:paraId="0F0C35A0">
            <w:pPr>
              <w:pStyle w:val="200"/>
              <w:spacing w:line="360" w:lineRule="auto"/>
              <w:ind w:firstLine="482"/>
              <w:rPr>
                <w:rFonts w:ascii="Times New Roman" w:hAnsi="Times New Roman" w:eastAsia="宋体"/>
                <w:b/>
                <w:color w:val="000000" w:themeColor="text1"/>
                <w:sz w:val="24"/>
                <w:szCs w:val="24"/>
                <w:highlight w:val="none"/>
                <w:lang w:bidi="zh-CN"/>
                <w14:textFill>
                  <w14:solidFill>
                    <w14:schemeClr w14:val="tx1"/>
                  </w14:solidFill>
                </w14:textFill>
              </w:rPr>
            </w:pPr>
            <w:r>
              <w:rPr>
                <w:rFonts w:hint="eastAsia" w:ascii="Times New Roman" w:hAnsi="Times New Roman" w:eastAsia="宋体"/>
                <w:b/>
                <w:color w:val="000000" w:themeColor="text1"/>
                <w:sz w:val="24"/>
                <w:szCs w:val="24"/>
                <w:highlight w:val="none"/>
                <w:lang w:val="en-US" w:bidi="zh-CN"/>
                <w14:textFill>
                  <w14:solidFill>
                    <w14:schemeClr w14:val="tx1"/>
                  </w14:solidFill>
                </w14:textFill>
              </w:rPr>
              <w:t>1.</w:t>
            </w:r>
            <w:r>
              <w:rPr>
                <w:rFonts w:ascii="Times New Roman" w:hAnsi="Times New Roman" w:eastAsia="宋体"/>
                <w:b/>
                <w:color w:val="000000" w:themeColor="text1"/>
                <w:sz w:val="24"/>
                <w:szCs w:val="24"/>
                <w:highlight w:val="none"/>
                <w:lang w:bidi="zh-CN"/>
                <w14:textFill>
                  <w14:solidFill>
                    <w14:schemeClr w14:val="tx1"/>
                  </w14:solidFill>
                </w14:textFill>
              </w:rPr>
              <w:t>污染</w:t>
            </w:r>
            <w:r>
              <w:rPr>
                <w:rFonts w:hint="eastAsia" w:ascii="Times New Roman" w:hAnsi="Times New Roman" w:eastAsia="宋体"/>
                <w:b/>
                <w:color w:val="000000" w:themeColor="text1"/>
                <w:sz w:val="24"/>
                <w:szCs w:val="24"/>
                <w:highlight w:val="none"/>
                <w:lang w:bidi="zh-CN"/>
                <w14:textFill>
                  <w14:solidFill>
                    <w14:schemeClr w14:val="tx1"/>
                  </w14:solidFill>
                </w14:textFill>
              </w:rPr>
              <w:t>源、污染物类型、污染</w:t>
            </w:r>
            <w:r>
              <w:rPr>
                <w:rFonts w:ascii="Times New Roman" w:hAnsi="Times New Roman" w:eastAsia="宋体"/>
                <w:b/>
                <w:color w:val="000000" w:themeColor="text1"/>
                <w:sz w:val="24"/>
                <w:szCs w:val="24"/>
                <w:highlight w:val="none"/>
                <w:lang w:bidi="zh-CN"/>
                <w14:textFill>
                  <w14:solidFill>
                    <w14:schemeClr w14:val="tx1"/>
                  </w14:solidFill>
                </w14:textFill>
              </w:rPr>
              <w:t>途径</w:t>
            </w:r>
          </w:p>
          <w:p w14:paraId="427AB0CA">
            <w:pPr>
              <w:pStyle w:val="200"/>
              <w:spacing w:line="360" w:lineRule="auto"/>
              <w:ind w:firstLine="480"/>
              <w:rPr>
                <w:rFonts w:ascii="Times New Roman" w:hAnsi="Times New Roman" w:eastAsia="宋体"/>
                <w:color w:val="000000" w:themeColor="text1"/>
                <w:sz w:val="24"/>
                <w:szCs w:val="24"/>
                <w:highlight w:val="none"/>
                <w:lang w:bidi="zh-CN"/>
                <w14:textFill>
                  <w14:solidFill>
                    <w14:schemeClr w14:val="tx1"/>
                  </w14:solidFill>
                </w14:textFill>
              </w:rPr>
            </w:pPr>
            <w:r>
              <w:rPr>
                <w:rFonts w:hint="eastAsia" w:ascii="Times New Roman" w:hAnsi="Times New Roman" w:eastAsia="宋体"/>
                <w:color w:val="000000" w:themeColor="text1"/>
                <w:sz w:val="24"/>
                <w:szCs w:val="24"/>
                <w:highlight w:val="none"/>
                <w:lang w:val="en-US" w:bidi="zh-CN"/>
                <w14:textFill>
                  <w14:solidFill>
                    <w14:schemeClr w14:val="tx1"/>
                  </w14:solidFill>
                </w14:textFill>
              </w:rPr>
              <w:t>根据本项目特点，本项</w:t>
            </w:r>
            <w:r>
              <w:rPr>
                <w:rFonts w:hint="eastAsia"/>
                <w:color w:val="000000" w:themeColor="text1"/>
                <w:sz w:val="24"/>
                <w:szCs w:val="24"/>
                <w:highlight w:val="none"/>
                <w:lang w:val="en-US" w:bidi="zh-CN"/>
                <w14:textFill>
                  <w14:solidFill>
                    <w14:schemeClr w14:val="tx1"/>
                  </w14:solidFill>
                </w14:textFill>
              </w:rPr>
              <w:t>目在</w:t>
            </w:r>
            <w:r>
              <w:rPr>
                <w:rFonts w:hint="eastAsia" w:ascii="Times New Roman" w:hAnsi="Times New Roman" w:eastAsia="宋体"/>
                <w:color w:val="000000" w:themeColor="text1"/>
                <w:sz w:val="24"/>
                <w:szCs w:val="24"/>
                <w:highlight w:val="none"/>
                <w:lang w:val="en-US" w:bidi="zh-CN"/>
                <w14:textFill>
                  <w14:solidFill>
                    <w14:schemeClr w14:val="tx1"/>
                  </w14:solidFill>
                </w14:textFill>
              </w:rPr>
              <w:t>正常运行状况下不会对地下水和土壤环境造成污染。事故状况下</w:t>
            </w:r>
            <w:r>
              <w:rPr>
                <w:rFonts w:hint="eastAsia" w:ascii="Times New Roman" w:hAnsi="Times New Roman" w:eastAsia="宋体"/>
                <w:color w:val="000000" w:themeColor="text1"/>
                <w:sz w:val="24"/>
                <w:szCs w:val="24"/>
                <w:highlight w:val="none"/>
                <w:lang w:bidi="zh-CN"/>
                <w14:textFill>
                  <w14:solidFill>
                    <w14:schemeClr w14:val="tx1"/>
                  </w14:solidFill>
                </w14:textFill>
              </w:rPr>
              <w:t>本项目对地下水和土壤的污染源、污染物类型、污染途径见下表。</w:t>
            </w:r>
          </w:p>
          <w:p w14:paraId="4F44D347">
            <w:pPr>
              <w:pStyle w:val="200"/>
              <w:spacing w:line="360" w:lineRule="auto"/>
              <w:ind w:firstLine="0" w:firstLineChars="0"/>
              <w:jc w:val="center"/>
              <w:rPr>
                <w:rFonts w:ascii="Times New Roman" w:hAnsi="Times New Roman" w:eastAsia="宋体"/>
                <w:color w:val="000000" w:themeColor="text1"/>
                <w:sz w:val="21"/>
                <w:szCs w:val="21"/>
                <w:highlight w:val="none"/>
                <w:lang w:bidi="zh-CN"/>
                <w14:textFill>
                  <w14:solidFill>
                    <w14:schemeClr w14:val="tx1"/>
                  </w14:solidFill>
                </w14:textFill>
              </w:rPr>
            </w:pPr>
            <w:r>
              <w:rPr>
                <w:rFonts w:hint="eastAsia" w:ascii="Times New Roman" w:hAnsi="Times New Roman" w:eastAsia="宋体"/>
                <w:b/>
                <w:bCs/>
                <w:color w:val="000000" w:themeColor="text1"/>
                <w:sz w:val="21"/>
                <w:szCs w:val="21"/>
                <w:highlight w:val="none"/>
                <w:lang w:bidi="zh-CN"/>
                <w14:textFill>
                  <w14:solidFill>
                    <w14:schemeClr w14:val="tx1"/>
                  </w14:solidFill>
                </w14:textFill>
              </w:rPr>
              <w:t>表4-</w:t>
            </w:r>
            <w:r>
              <w:rPr>
                <w:rFonts w:hint="eastAsia"/>
                <w:b/>
                <w:bCs/>
                <w:color w:val="000000" w:themeColor="text1"/>
                <w:sz w:val="21"/>
                <w:szCs w:val="21"/>
                <w:highlight w:val="none"/>
                <w:lang w:val="en-US" w:bidi="zh-CN"/>
                <w14:textFill>
                  <w14:solidFill>
                    <w14:schemeClr w14:val="tx1"/>
                  </w14:solidFill>
                </w14:textFill>
              </w:rPr>
              <w:t>14</w:t>
            </w:r>
            <w:r>
              <w:rPr>
                <w:rFonts w:hint="eastAsia" w:ascii="Times New Roman" w:hAnsi="Times New Roman" w:eastAsia="宋体"/>
                <w:b/>
                <w:bCs/>
                <w:color w:val="000000" w:themeColor="text1"/>
                <w:sz w:val="21"/>
                <w:szCs w:val="21"/>
                <w:highlight w:val="none"/>
                <w:lang w:bidi="zh-CN"/>
                <w14:textFill>
                  <w14:solidFill>
                    <w14:schemeClr w14:val="tx1"/>
                  </w14:solidFill>
                </w14:textFill>
              </w:rPr>
              <w:t xml:space="preserve"> </w:t>
            </w:r>
            <w:r>
              <w:rPr>
                <w:rFonts w:hint="eastAsia" w:ascii="Times New Roman" w:hAnsi="Times New Roman" w:eastAsia="宋体"/>
                <w:b/>
                <w:bCs/>
                <w:color w:val="000000" w:themeColor="text1"/>
                <w:sz w:val="21"/>
                <w:szCs w:val="21"/>
                <w:highlight w:val="none"/>
                <w:lang w:val="en-US" w:bidi="zh-CN"/>
                <w14:textFill>
                  <w14:solidFill>
                    <w14:schemeClr w14:val="tx1"/>
                  </w14:solidFill>
                </w14:textFill>
              </w:rPr>
              <w:t xml:space="preserve"> </w:t>
            </w:r>
            <w:r>
              <w:rPr>
                <w:rFonts w:hint="eastAsia" w:ascii="Times New Roman" w:hAnsi="Times New Roman" w:eastAsia="宋体"/>
                <w:b/>
                <w:bCs/>
                <w:color w:val="000000" w:themeColor="text1"/>
                <w:sz w:val="21"/>
                <w:szCs w:val="21"/>
                <w:highlight w:val="none"/>
                <w:lang w:bidi="zh-CN"/>
                <w14:textFill>
                  <w14:solidFill>
                    <w14:schemeClr w14:val="tx1"/>
                  </w14:solidFill>
                </w14:textFill>
              </w:rPr>
              <w:t>地下水、土壤污染源、污染物类型、污染途径一览表</w:t>
            </w:r>
          </w:p>
          <w:tbl>
            <w:tblPr>
              <w:tblStyle w:val="4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3"/>
              <w:gridCol w:w="3556"/>
              <w:gridCol w:w="1927"/>
              <w:gridCol w:w="2508"/>
            </w:tblGrid>
            <w:tr w14:paraId="6838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813" w:type="pct"/>
                  <w:tcBorders>
                    <w:top w:val="single" w:color="000000" w:sz="12" w:space="0"/>
                    <w:left w:val="nil"/>
                    <w:tl2br w:val="nil"/>
                  </w:tcBorders>
                  <w:shd w:val="clear" w:color="auto" w:fill="FFFFFF"/>
                  <w:noWrap w:val="0"/>
                  <w:vAlign w:val="center"/>
                </w:tcPr>
                <w:p w14:paraId="25001F67">
                  <w:pPr>
                    <w:pStyle w:val="200"/>
                    <w:spacing w:line="360" w:lineRule="exact"/>
                    <w:ind w:firstLine="0" w:firstLineChars="0"/>
                    <w:jc w:val="center"/>
                    <w:rPr>
                      <w:rFonts w:ascii="Times New Roman" w:hAnsi="Times New Roman" w:eastAsia="宋体"/>
                      <w:b w:val="0"/>
                      <w:bCs/>
                      <w:color w:val="000000" w:themeColor="text1"/>
                      <w:sz w:val="21"/>
                      <w:szCs w:val="21"/>
                      <w:highlight w:val="none"/>
                      <w:lang w:bidi="zh-CN"/>
                      <w14:textFill>
                        <w14:solidFill>
                          <w14:schemeClr w14:val="tx1"/>
                        </w14:solidFill>
                      </w14:textFill>
                    </w:rPr>
                  </w:pPr>
                  <w:r>
                    <w:rPr>
                      <w:rFonts w:hint="eastAsia" w:ascii="Times New Roman" w:hAnsi="Times New Roman" w:eastAsia="宋体"/>
                      <w:b w:val="0"/>
                      <w:bCs/>
                      <w:color w:val="000000" w:themeColor="text1"/>
                      <w:sz w:val="21"/>
                      <w:szCs w:val="21"/>
                      <w:highlight w:val="none"/>
                      <w:lang w:bidi="zh-CN"/>
                      <w14:textFill>
                        <w14:solidFill>
                          <w14:schemeClr w14:val="tx1"/>
                        </w14:solidFill>
                      </w14:textFill>
                    </w:rPr>
                    <w:t>类别</w:t>
                  </w:r>
                </w:p>
              </w:tc>
              <w:tc>
                <w:tcPr>
                  <w:tcW w:w="1862" w:type="pct"/>
                  <w:tcBorders>
                    <w:top w:val="single" w:color="000000" w:sz="12" w:space="0"/>
                  </w:tcBorders>
                  <w:shd w:val="clear" w:color="auto" w:fill="FFFFFF"/>
                  <w:noWrap w:val="0"/>
                  <w:vAlign w:val="center"/>
                </w:tcPr>
                <w:p w14:paraId="443A8670">
                  <w:pPr>
                    <w:pStyle w:val="200"/>
                    <w:spacing w:line="360" w:lineRule="exact"/>
                    <w:ind w:firstLine="0" w:firstLineChars="0"/>
                    <w:jc w:val="center"/>
                    <w:rPr>
                      <w:rFonts w:hint="eastAsia" w:ascii="Times New Roman" w:hAnsi="Times New Roman" w:eastAsia="宋体"/>
                      <w:b w:val="0"/>
                      <w:bCs/>
                      <w:color w:val="000000" w:themeColor="text1"/>
                      <w:sz w:val="21"/>
                      <w:szCs w:val="21"/>
                      <w:highlight w:val="none"/>
                      <w:lang w:bidi="zh-CN"/>
                      <w14:textFill>
                        <w14:solidFill>
                          <w14:schemeClr w14:val="tx1"/>
                        </w14:solidFill>
                      </w14:textFill>
                    </w:rPr>
                  </w:pPr>
                  <w:r>
                    <w:rPr>
                      <w:rFonts w:hint="eastAsia" w:ascii="Times New Roman" w:hAnsi="Times New Roman" w:eastAsia="宋体"/>
                      <w:b w:val="0"/>
                      <w:bCs/>
                      <w:color w:val="000000" w:themeColor="text1"/>
                      <w:sz w:val="21"/>
                      <w:szCs w:val="21"/>
                      <w:highlight w:val="none"/>
                      <w:lang w:bidi="zh-CN"/>
                      <w14:textFill>
                        <w14:solidFill>
                          <w14:schemeClr w14:val="tx1"/>
                        </w14:solidFill>
                      </w14:textFill>
                    </w:rPr>
                    <w:t>污染源</w:t>
                  </w:r>
                </w:p>
              </w:tc>
              <w:tc>
                <w:tcPr>
                  <w:tcW w:w="1009" w:type="pct"/>
                  <w:tcBorders>
                    <w:top w:val="single" w:color="000000" w:sz="12" w:space="0"/>
                  </w:tcBorders>
                  <w:shd w:val="clear" w:color="auto" w:fill="FFFFFF"/>
                  <w:noWrap w:val="0"/>
                  <w:vAlign w:val="center"/>
                </w:tcPr>
                <w:p w14:paraId="5D7C8606">
                  <w:pPr>
                    <w:pStyle w:val="200"/>
                    <w:spacing w:line="360" w:lineRule="exact"/>
                    <w:ind w:firstLine="0" w:firstLineChars="0"/>
                    <w:jc w:val="center"/>
                    <w:rPr>
                      <w:rFonts w:ascii="Times New Roman" w:hAnsi="Times New Roman" w:eastAsia="宋体"/>
                      <w:b w:val="0"/>
                      <w:bCs/>
                      <w:color w:val="000000" w:themeColor="text1"/>
                      <w:sz w:val="21"/>
                      <w:szCs w:val="21"/>
                      <w:highlight w:val="none"/>
                      <w:lang w:bidi="zh-CN"/>
                      <w14:textFill>
                        <w14:solidFill>
                          <w14:schemeClr w14:val="tx1"/>
                        </w14:solidFill>
                      </w14:textFill>
                    </w:rPr>
                  </w:pPr>
                  <w:r>
                    <w:rPr>
                      <w:rFonts w:hint="eastAsia" w:ascii="Times New Roman" w:hAnsi="Times New Roman" w:eastAsia="宋体"/>
                      <w:b w:val="0"/>
                      <w:bCs/>
                      <w:color w:val="000000" w:themeColor="text1"/>
                      <w:sz w:val="21"/>
                      <w:szCs w:val="21"/>
                      <w:highlight w:val="none"/>
                      <w:lang w:bidi="zh-CN"/>
                      <w14:textFill>
                        <w14:solidFill>
                          <w14:schemeClr w14:val="tx1"/>
                        </w14:solidFill>
                      </w14:textFill>
                    </w:rPr>
                    <w:t>污染物类型</w:t>
                  </w:r>
                </w:p>
              </w:tc>
              <w:tc>
                <w:tcPr>
                  <w:tcW w:w="1313" w:type="pct"/>
                  <w:tcBorders>
                    <w:top w:val="single" w:color="000000" w:sz="12" w:space="0"/>
                    <w:right w:val="nil"/>
                  </w:tcBorders>
                  <w:shd w:val="clear" w:color="auto" w:fill="FFFFFF"/>
                  <w:noWrap w:val="0"/>
                  <w:vAlign w:val="center"/>
                </w:tcPr>
                <w:p w14:paraId="6E60A7EA">
                  <w:pPr>
                    <w:pStyle w:val="200"/>
                    <w:spacing w:line="360" w:lineRule="exact"/>
                    <w:ind w:firstLine="0" w:firstLineChars="0"/>
                    <w:jc w:val="center"/>
                    <w:rPr>
                      <w:rFonts w:ascii="Times New Roman" w:hAnsi="Times New Roman" w:eastAsia="宋体"/>
                      <w:b w:val="0"/>
                      <w:bCs/>
                      <w:color w:val="000000" w:themeColor="text1"/>
                      <w:sz w:val="21"/>
                      <w:szCs w:val="21"/>
                      <w:highlight w:val="none"/>
                      <w:lang w:bidi="zh-CN"/>
                      <w14:textFill>
                        <w14:solidFill>
                          <w14:schemeClr w14:val="tx1"/>
                        </w14:solidFill>
                      </w14:textFill>
                    </w:rPr>
                  </w:pPr>
                  <w:r>
                    <w:rPr>
                      <w:rFonts w:hint="eastAsia" w:ascii="Times New Roman" w:hAnsi="Times New Roman" w:eastAsia="宋体"/>
                      <w:b w:val="0"/>
                      <w:bCs/>
                      <w:color w:val="000000" w:themeColor="text1"/>
                      <w:sz w:val="21"/>
                      <w:szCs w:val="21"/>
                      <w:highlight w:val="none"/>
                      <w:lang w:bidi="zh-CN"/>
                      <w14:textFill>
                        <w14:solidFill>
                          <w14:schemeClr w14:val="tx1"/>
                        </w14:solidFill>
                      </w14:textFill>
                    </w:rPr>
                    <w:t>污染途径</w:t>
                  </w:r>
                </w:p>
              </w:tc>
            </w:tr>
            <w:tr w14:paraId="42C9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13" w:type="pct"/>
                  <w:vMerge w:val="restart"/>
                  <w:tcBorders>
                    <w:left w:val="nil"/>
                  </w:tcBorders>
                  <w:shd w:val="clear" w:color="auto" w:fill="FFFFFF"/>
                  <w:noWrap w:val="0"/>
                  <w:vAlign w:val="center"/>
                </w:tcPr>
                <w:p w14:paraId="54E8FEE6">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b w:val="0"/>
                      <w:color w:val="000000" w:themeColor="text1"/>
                      <w:sz w:val="21"/>
                      <w:szCs w:val="21"/>
                      <w:highlight w:val="none"/>
                      <w:lang w:bidi="zh-CN"/>
                      <w14:textFill>
                        <w14:solidFill>
                          <w14:schemeClr w14:val="tx1"/>
                        </w14:solidFill>
                      </w14:textFill>
                    </w:rPr>
                    <w:t>地下水</w:t>
                  </w:r>
                </w:p>
              </w:tc>
              <w:tc>
                <w:tcPr>
                  <w:tcW w:w="1862" w:type="pct"/>
                  <w:shd w:val="clear" w:color="auto" w:fill="FFFFFF"/>
                  <w:noWrap w:val="0"/>
                  <w:vAlign w:val="center"/>
                </w:tcPr>
                <w:p w14:paraId="5401B248">
                  <w:pPr>
                    <w:pStyle w:val="200"/>
                    <w:spacing w:line="360" w:lineRule="exact"/>
                    <w:ind w:firstLine="0" w:firstLineChars="0"/>
                    <w:jc w:val="center"/>
                    <w:rPr>
                      <w:rFonts w:hint="default" w:ascii="Times New Roman" w:hAnsi="Times New Roman" w:eastAsia="宋体"/>
                      <w:b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color w:val="000000" w:themeColor="text1"/>
                      <w:sz w:val="21"/>
                      <w:szCs w:val="21"/>
                      <w:highlight w:val="none"/>
                      <w:lang w:val="en-US" w:bidi="zh-CN"/>
                      <w14:textFill>
                        <w14:solidFill>
                          <w14:schemeClr w14:val="tx1"/>
                        </w14:solidFill>
                      </w14:textFill>
                    </w:rPr>
                    <w:t>生产厂房</w:t>
                  </w:r>
                </w:p>
              </w:tc>
              <w:tc>
                <w:tcPr>
                  <w:tcW w:w="1009" w:type="pct"/>
                  <w:shd w:val="clear" w:color="auto" w:fill="FFFFFF"/>
                  <w:noWrap w:val="0"/>
                  <w:vAlign w:val="center"/>
                </w:tcPr>
                <w:p w14:paraId="16448B39">
                  <w:pPr>
                    <w:pStyle w:val="200"/>
                    <w:spacing w:line="360" w:lineRule="exact"/>
                    <w:ind w:firstLine="0" w:firstLineChars="0"/>
                    <w:jc w:val="center"/>
                    <w:rPr>
                      <w:rFonts w:hint="default" w:ascii="Times New Roman" w:hAnsi="Times New Roman" w:eastAsia="宋体"/>
                      <w:b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lang w:val="en-US" w:bidi="zh-CN"/>
                      <w14:textFill>
                        <w14:solidFill>
                          <w14:schemeClr w14:val="tx1"/>
                        </w14:solidFill>
                      </w14:textFill>
                    </w:rPr>
                    <w:t>泥沙悬浮物</w:t>
                  </w:r>
                </w:p>
              </w:tc>
              <w:tc>
                <w:tcPr>
                  <w:tcW w:w="1313" w:type="pct"/>
                  <w:tcBorders>
                    <w:right w:val="nil"/>
                  </w:tcBorders>
                  <w:shd w:val="clear" w:color="auto" w:fill="FFFFFF"/>
                  <w:noWrap w:val="0"/>
                  <w:vAlign w:val="center"/>
                </w:tcPr>
                <w:p w14:paraId="588B80F0">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b w:val="0"/>
                      <w:color w:val="000000" w:themeColor="text1"/>
                      <w:sz w:val="21"/>
                      <w:szCs w:val="21"/>
                      <w:highlight w:val="none"/>
                      <w:lang w:bidi="zh-CN"/>
                      <w14:textFill>
                        <w14:solidFill>
                          <w14:schemeClr w14:val="tx1"/>
                        </w14:solidFill>
                      </w14:textFill>
                    </w:rPr>
                    <w:t>垂直入渗</w:t>
                  </w:r>
                </w:p>
              </w:tc>
            </w:tr>
            <w:tr w14:paraId="6F8F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13" w:type="pct"/>
                  <w:vMerge w:val="continue"/>
                  <w:tcBorders>
                    <w:left w:val="nil"/>
                  </w:tcBorders>
                  <w:shd w:val="clear" w:color="auto" w:fill="FFFFFF"/>
                  <w:noWrap w:val="0"/>
                  <w:vAlign w:val="center"/>
                </w:tcPr>
                <w:p w14:paraId="46373028">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p>
              </w:tc>
              <w:tc>
                <w:tcPr>
                  <w:tcW w:w="1862" w:type="pct"/>
                  <w:shd w:val="clear" w:color="auto" w:fill="FFFFFF"/>
                  <w:noWrap w:val="0"/>
                  <w:vAlign w:val="center"/>
                </w:tcPr>
                <w:p w14:paraId="037D1ACD">
                  <w:pPr>
                    <w:pStyle w:val="200"/>
                    <w:spacing w:line="360" w:lineRule="exact"/>
                    <w:ind w:firstLine="0" w:firstLineChars="0"/>
                    <w:jc w:val="center"/>
                    <w:rPr>
                      <w:rFonts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b w:val="0"/>
                      <w:color w:val="000000" w:themeColor="text1"/>
                      <w:sz w:val="21"/>
                      <w:szCs w:val="21"/>
                      <w:highlight w:val="none"/>
                      <w:lang w:bidi="zh-CN"/>
                      <w14:textFill>
                        <w14:solidFill>
                          <w14:schemeClr w14:val="tx1"/>
                        </w14:solidFill>
                      </w14:textFill>
                    </w:rPr>
                    <w:t>危废</w:t>
                  </w:r>
                  <w:r>
                    <w:rPr>
                      <w:rFonts w:hint="eastAsia" w:ascii="Times New Roman" w:hAnsi="Times New Roman" w:eastAsia="宋体"/>
                      <w:b w:val="0"/>
                      <w:color w:val="000000" w:themeColor="text1"/>
                      <w:sz w:val="21"/>
                      <w:szCs w:val="21"/>
                      <w:highlight w:val="none"/>
                      <w:lang w:val="en-US" w:bidi="zh-CN"/>
                      <w14:textFill>
                        <w14:solidFill>
                          <w14:schemeClr w14:val="tx1"/>
                        </w14:solidFill>
                      </w14:textFill>
                    </w:rPr>
                    <w:t>贮存</w:t>
                  </w:r>
                  <w:r>
                    <w:rPr>
                      <w:rFonts w:hint="eastAsia"/>
                      <w:b w:val="0"/>
                      <w:color w:val="000000" w:themeColor="text1"/>
                      <w:sz w:val="21"/>
                      <w:szCs w:val="21"/>
                      <w:highlight w:val="none"/>
                      <w:lang w:val="en-US" w:bidi="zh-CN"/>
                      <w14:textFill>
                        <w14:solidFill>
                          <w14:schemeClr w14:val="tx1"/>
                        </w14:solidFill>
                      </w14:textFill>
                    </w:rPr>
                    <w:t>库</w:t>
                  </w:r>
                </w:p>
              </w:tc>
              <w:tc>
                <w:tcPr>
                  <w:tcW w:w="1009" w:type="pct"/>
                  <w:shd w:val="clear" w:color="auto" w:fill="FFFFFF"/>
                  <w:noWrap w:val="0"/>
                  <w:vAlign w:val="center"/>
                </w:tcPr>
                <w:p w14:paraId="35C716E3">
                  <w:pPr>
                    <w:pStyle w:val="200"/>
                    <w:spacing w:line="360" w:lineRule="exact"/>
                    <w:ind w:firstLine="0" w:firstLineChars="0"/>
                    <w:jc w:val="center"/>
                    <w:rPr>
                      <w:rFonts w:hint="default" w:ascii="Times New Roman" w:hAnsi="Times New Roman" w:eastAsia="宋体"/>
                      <w:b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color w:val="000000" w:themeColor="text1"/>
                      <w:sz w:val="21"/>
                      <w:szCs w:val="21"/>
                      <w:highlight w:val="none"/>
                      <w:lang w:val="en-US" w:bidi="zh-CN"/>
                      <w14:textFill>
                        <w14:solidFill>
                          <w14:schemeClr w14:val="tx1"/>
                        </w14:solidFill>
                      </w14:textFill>
                    </w:rPr>
                    <w:t>危险废物</w:t>
                  </w:r>
                </w:p>
              </w:tc>
              <w:tc>
                <w:tcPr>
                  <w:tcW w:w="1313" w:type="pct"/>
                  <w:tcBorders>
                    <w:right w:val="nil"/>
                  </w:tcBorders>
                  <w:shd w:val="clear" w:color="auto" w:fill="FFFFFF"/>
                  <w:noWrap w:val="0"/>
                  <w:vAlign w:val="center"/>
                </w:tcPr>
                <w:p w14:paraId="3CB56278">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b w:val="0"/>
                      <w:color w:val="000000" w:themeColor="text1"/>
                      <w:sz w:val="21"/>
                      <w:szCs w:val="21"/>
                      <w:highlight w:val="none"/>
                      <w:lang w:bidi="zh-CN"/>
                      <w14:textFill>
                        <w14:solidFill>
                          <w14:schemeClr w14:val="tx1"/>
                        </w14:solidFill>
                      </w14:textFill>
                    </w:rPr>
                    <w:t>垂直入渗</w:t>
                  </w:r>
                </w:p>
              </w:tc>
            </w:tr>
            <w:tr w14:paraId="1F56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813" w:type="pct"/>
                  <w:vMerge w:val="continue"/>
                  <w:tcBorders>
                    <w:left w:val="nil"/>
                  </w:tcBorders>
                  <w:shd w:val="clear" w:color="auto" w:fill="FFFFFF"/>
                  <w:noWrap w:val="0"/>
                  <w:vAlign w:val="center"/>
                </w:tcPr>
                <w:p w14:paraId="27FC05D9">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p>
              </w:tc>
              <w:tc>
                <w:tcPr>
                  <w:tcW w:w="1862" w:type="pct"/>
                  <w:shd w:val="clear" w:color="auto" w:fill="FFFFFF"/>
                  <w:noWrap w:val="0"/>
                  <w:vAlign w:val="center"/>
                </w:tcPr>
                <w:p w14:paraId="287E395A">
                  <w:pPr>
                    <w:pStyle w:val="200"/>
                    <w:spacing w:line="360" w:lineRule="exact"/>
                    <w:ind w:firstLine="0" w:firstLineChars="0"/>
                    <w:jc w:val="center"/>
                    <w:rPr>
                      <w:rFonts w:hint="default" w:ascii="Times New Roman" w:hAnsi="Times New Roman" w:eastAsia="宋体"/>
                      <w:b w:val="0"/>
                      <w:color w:val="000000" w:themeColor="text1"/>
                      <w:sz w:val="21"/>
                      <w:szCs w:val="21"/>
                      <w:highlight w:val="none"/>
                      <w:lang w:val="en-US" w:bidi="zh-CN"/>
                      <w14:textFill>
                        <w14:solidFill>
                          <w14:schemeClr w14:val="tx1"/>
                        </w14:solidFill>
                      </w14:textFill>
                    </w:rPr>
                  </w:pPr>
                  <w:r>
                    <w:rPr>
                      <w:rFonts w:hint="eastAsia"/>
                      <w:b w:val="0"/>
                      <w:color w:val="000000" w:themeColor="text1"/>
                      <w:sz w:val="21"/>
                      <w:szCs w:val="21"/>
                      <w:highlight w:val="none"/>
                      <w:lang w:val="en-US" w:bidi="zh-CN"/>
                      <w14:textFill>
                        <w14:solidFill>
                          <w14:schemeClr w14:val="tx1"/>
                        </w14:solidFill>
                      </w14:textFill>
                    </w:rPr>
                    <w:t>循环水池</w:t>
                  </w:r>
                </w:p>
              </w:tc>
              <w:tc>
                <w:tcPr>
                  <w:tcW w:w="1009" w:type="pct"/>
                  <w:shd w:val="clear" w:color="auto" w:fill="FFFFFF"/>
                  <w:noWrap w:val="0"/>
                  <w:vAlign w:val="center"/>
                </w:tcPr>
                <w:p w14:paraId="4B7E2863">
                  <w:pPr>
                    <w:pStyle w:val="200"/>
                    <w:spacing w:line="360" w:lineRule="exact"/>
                    <w:ind w:firstLine="0" w:firstLineChars="0"/>
                    <w:jc w:val="center"/>
                    <w:rPr>
                      <w:rFonts w:hint="default" w:ascii="Times New Roman" w:hAnsi="Times New Roman" w:eastAsia="宋体"/>
                      <w:b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lang w:val="en-US" w:bidi="zh-CN"/>
                      <w14:textFill>
                        <w14:solidFill>
                          <w14:schemeClr w14:val="tx1"/>
                        </w14:solidFill>
                      </w14:textFill>
                    </w:rPr>
                    <w:t>泥沙悬浮物</w:t>
                  </w:r>
                </w:p>
              </w:tc>
              <w:tc>
                <w:tcPr>
                  <w:tcW w:w="1313" w:type="pct"/>
                  <w:tcBorders>
                    <w:right w:val="nil"/>
                  </w:tcBorders>
                  <w:shd w:val="clear" w:color="auto" w:fill="FFFFFF"/>
                  <w:noWrap w:val="0"/>
                  <w:vAlign w:val="center"/>
                </w:tcPr>
                <w:p w14:paraId="5DC11EE0">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b w:val="0"/>
                      <w:color w:val="000000" w:themeColor="text1"/>
                      <w:sz w:val="21"/>
                      <w:szCs w:val="21"/>
                      <w:highlight w:val="none"/>
                      <w:lang w:bidi="zh-CN"/>
                      <w14:textFill>
                        <w14:solidFill>
                          <w14:schemeClr w14:val="tx1"/>
                        </w14:solidFill>
                      </w14:textFill>
                    </w:rPr>
                    <w:t>垂直入渗</w:t>
                  </w:r>
                </w:p>
              </w:tc>
            </w:tr>
            <w:tr w14:paraId="1147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813" w:type="pct"/>
                  <w:vMerge w:val="continue"/>
                  <w:tcBorders>
                    <w:left w:val="nil"/>
                  </w:tcBorders>
                  <w:shd w:val="clear" w:color="auto" w:fill="FFFFFF"/>
                  <w:noWrap w:val="0"/>
                  <w:vAlign w:val="center"/>
                </w:tcPr>
                <w:p w14:paraId="60B64FF0">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p>
              </w:tc>
              <w:tc>
                <w:tcPr>
                  <w:tcW w:w="1862" w:type="pct"/>
                  <w:shd w:val="clear" w:color="auto" w:fill="FFFFFF"/>
                  <w:noWrap w:val="0"/>
                  <w:vAlign w:val="center"/>
                </w:tcPr>
                <w:p w14:paraId="04ADA227">
                  <w:pPr>
                    <w:pStyle w:val="200"/>
                    <w:spacing w:line="360" w:lineRule="exact"/>
                    <w:ind w:firstLine="0" w:firstLineChars="0"/>
                    <w:jc w:val="center"/>
                    <w:rPr>
                      <w:rFonts w:hint="default" w:ascii="Times New Roman" w:hAnsi="Times New Roman" w:eastAsia="宋体"/>
                      <w:b w:val="0"/>
                      <w:color w:val="000000" w:themeColor="text1"/>
                      <w:sz w:val="21"/>
                      <w:szCs w:val="21"/>
                      <w:highlight w:val="none"/>
                      <w:lang w:val="en-US" w:bidi="zh-CN"/>
                      <w14:textFill>
                        <w14:solidFill>
                          <w14:schemeClr w14:val="tx1"/>
                        </w14:solidFill>
                      </w14:textFill>
                    </w:rPr>
                  </w:pPr>
                  <w:r>
                    <w:rPr>
                      <w:rFonts w:hint="eastAsia"/>
                      <w:b w:val="0"/>
                      <w:color w:val="000000" w:themeColor="text1"/>
                      <w:sz w:val="21"/>
                      <w:szCs w:val="21"/>
                      <w:highlight w:val="none"/>
                      <w:lang w:val="en-US" w:bidi="zh-CN"/>
                      <w14:textFill>
                        <w14:solidFill>
                          <w14:schemeClr w14:val="tx1"/>
                        </w14:solidFill>
                      </w14:textFill>
                    </w:rPr>
                    <w:t>污泥堆放处</w:t>
                  </w:r>
                </w:p>
              </w:tc>
              <w:tc>
                <w:tcPr>
                  <w:tcW w:w="1009" w:type="pct"/>
                  <w:shd w:val="clear" w:color="auto" w:fill="FFFFFF"/>
                  <w:noWrap w:val="0"/>
                  <w:vAlign w:val="center"/>
                </w:tcPr>
                <w:p w14:paraId="1123A16B">
                  <w:pPr>
                    <w:pStyle w:val="200"/>
                    <w:spacing w:line="360" w:lineRule="exact"/>
                    <w:ind w:firstLine="0" w:firstLineChars="0"/>
                    <w:jc w:val="center"/>
                    <w:rPr>
                      <w:rFonts w:hint="default" w:ascii="Times New Roman" w:hAnsi="Times New Roman" w:eastAsia="宋体"/>
                      <w:b w:val="0"/>
                      <w:color w:val="000000" w:themeColor="text1"/>
                      <w:sz w:val="21"/>
                      <w:szCs w:val="21"/>
                      <w:highlight w:val="none"/>
                      <w:lang w:val="en-US" w:bidi="zh-CN"/>
                      <w14:textFill>
                        <w14:solidFill>
                          <w14:schemeClr w14:val="tx1"/>
                        </w14:solidFill>
                      </w14:textFill>
                    </w:rPr>
                  </w:pPr>
                  <w:r>
                    <w:rPr>
                      <w:rFonts w:hint="eastAsia" w:cs="Times New Roman"/>
                      <w:b w:val="0"/>
                      <w:color w:val="000000" w:themeColor="text1"/>
                      <w:sz w:val="21"/>
                      <w:szCs w:val="21"/>
                      <w:highlight w:val="none"/>
                      <w:lang w:val="en-US" w:bidi="zh-CN"/>
                      <w14:textFill>
                        <w14:solidFill>
                          <w14:schemeClr w14:val="tx1"/>
                        </w14:solidFill>
                      </w14:textFill>
                    </w:rPr>
                    <w:t>污泥滤液</w:t>
                  </w:r>
                </w:p>
              </w:tc>
              <w:tc>
                <w:tcPr>
                  <w:tcW w:w="1313" w:type="pct"/>
                  <w:tcBorders>
                    <w:right w:val="nil"/>
                  </w:tcBorders>
                  <w:shd w:val="clear" w:color="auto" w:fill="FFFFFF"/>
                  <w:noWrap w:val="0"/>
                  <w:vAlign w:val="center"/>
                </w:tcPr>
                <w:p w14:paraId="447E0686">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b w:val="0"/>
                      <w:color w:val="000000" w:themeColor="text1"/>
                      <w:sz w:val="21"/>
                      <w:szCs w:val="21"/>
                      <w:highlight w:val="none"/>
                      <w:lang w:bidi="zh-CN"/>
                      <w14:textFill>
                        <w14:solidFill>
                          <w14:schemeClr w14:val="tx1"/>
                        </w14:solidFill>
                      </w14:textFill>
                    </w:rPr>
                    <w:t>垂直入渗</w:t>
                  </w:r>
                </w:p>
              </w:tc>
            </w:tr>
            <w:tr w14:paraId="6447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813" w:type="pct"/>
                  <w:vMerge w:val="restart"/>
                  <w:tcBorders>
                    <w:left w:val="nil"/>
                  </w:tcBorders>
                  <w:shd w:val="clear" w:color="auto" w:fill="FFFFFF"/>
                  <w:noWrap w:val="0"/>
                  <w:vAlign w:val="center"/>
                </w:tcPr>
                <w:p w14:paraId="294FE184">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b w:val="0"/>
                      <w:color w:val="000000" w:themeColor="text1"/>
                      <w:sz w:val="21"/>
                      <w:szCs w:val="21"/>
                      <w:highlight w:val="none"/>
                      <w:lang w:bidi="zh-CN"/>
                      <w14:textFill>
                        <w14:solidFill>
                          <w14:schemeClr w14:val="tx1"/>
                        </w14:solidFill>
                      </w14:textFill>
                    </w:rPr>
                    <w:t>土壤</w:t>
                  </w:r>
                </w:p>
              </w:tc>
              <w:tc>
                <w:tcPr>
                  <w:tcW w:w="1862" w:type="pct"/>
                  <w:shd w:val="clear" w:color="auto" w:fill="FFFFFF"/>
                  <w:noWrap w:val="0"/>
                  <w:vAlign w:val="center"/>
                </w:tcPr>
                <w:p w14:paraId="15BC293C">
                  <w:pPr>
                    <w:pStyle w:val="200"/>
                    <w:spacing w:line="360" w:lineRule="exact"/>
                    <w:ind w:firstLine="0" w:firstLineChars="0"/>
                    <w:jc w:val="center"/>
                    <w:rPr>
                      <w:rFonts w:hint="eastAsia" w:ascii="Times New Roman" w:hAnsi="Times New Roman" w:eastAsia="宋体" w:cs="Times New Roman"/>
                      <w:b w:val="0"/>
                      <w:color w:val="000000" w:themeColor="text1"/>
                      <w:sz w:val="21"/>
                      <w:szCs w:val="21"/>
                      <w:highlight w:val="none"/>
                      <w:lang w:val="en-US" w:eastAsia="zh-CN" w:bidi="zh-CN"/>
                      <w14:textFill>
                        <w14:solidFill>
                          <w14:schemeClr w14:val="tx1"/>
                        </w14:solidFill>
                      </w14:textFill>
                    </w:rPr>
                  </w:pPr>
                  <w:r>
                    <w:rPr>
                      <w:rFonts w:hint="eastAsia" w:ascii="Times New Roman" w:hAnsi="Times New Roman" w:eastAsia="宋体"/>
                      <w:b w:val="0"/>
                      <w:color w:val="000000" w:themeColor="text1"/>
                      <w:sz w:val="21"/>
                      <w:szCs w:val="21"/>
                      <w:highlight w:val="none"/>
                      <w:lang w:val="en-US" w:bidi="zh-CN"/>
                      <w14:textFill>
                        <w14:solidFill>
                          <w14:schemeClr w14:val="tx1"/>
                        </w14:solidFill>
                      </w14:textFill>
                    </w:rPr>
                    <w:t>生产厂房</w:t>
                  </w:r>
                </w:p>
              </w:tc>
              <w:tc>
                <w:tcPr>
                  <w:tcW w:w="1009" w:type="pct"/>
                  <w:shd w:val="clear" w:color="auto" w:fill="FFFFFF"/>
                  <w:noWrap w:val="0"/>
                  <w:vAlign w:val="center"/>
                </w:tcPr>
                <w:p w14:paraId="5D44A42B">
                  <w:pPr>
                    <w:pStyle w:val="200"/>
                    <w:spacing w:line="360" w:lineRule="exact"/>
                    <w:ind w:firstLine="0" w:firstLineChars="0"/>
                    <w:jc w:val="center"/>
                    <w:rPr>
                      <w:rFonts w:hint="eastAsia" w:ascii="Times New Roman" w:hAnsi="Times New Roman" w:eastAsia="宋体" w:cs="Times New Roman"/>
                      <w:b w:val="0"/>
                      <w:color w:val="000000" w:themeColor="text1"/>
                      <w:kern w:val="0"/>
                      <w:sz w:val="21"/>
                      <w:szCs w:val="21"/>
                      <w:highlight w:val="none"/>
                      <w:lang w:val="en-US" w:eastAsia="zh-CN" w:bidi="zh-CN"/>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lang w:val="en-US" w:bidi="zh-CN"/>
                      <w14:textFill>
                        <w14:solidFill>
                          <w14:schemeClr w14:val="tx1"/>
                        </w14:solidFill>
                      </w14:textFill>
                    </w:rPr>
                    <w:t>泥沙悬浮物</w:t>
                  </w:r>
                </w:p>
              </w:tc>
              <w:tc>
                <w:tcPr>
                  <w:tcW w:w="1313" w:type="pct"/>
                  <w:tcBorders>
                    <w:right w:val="nil"/>
                  </w:tcBorders>
                  <w:shd w:val="clear" w:color="auto" w:fill="FFFFFF"/>
                  <w:noWrap w:val="0"/>
                  <w:vAlign w:val="center"/>
                </w:tcPr>
                <w:p w14:paraId="46A3E152">
                  <w:pPr>
                    <w:pStyle w:val="200"/>
                    <w:spacing w:line="360" w:lineRule="exact"/>
                    <w:ind w:firstLine="0" w:firstLineChars="0"/>
                    <w:jc w:val="center"/>
                    <w:rPr>
                      <w:rFonts w:hint="eastAsia" w:ascii="Times New Roman" w:hAnsi="Times New Roman" w:eastAsia="宋体" w:cs="Times New Roman"/>
                      <w:b w:val="0"/>
                      <w:color w:val="000000" w:themeColor="text1"/>
                      <w:sz w:val="21"/>
                      <w:szCs w:val="21"/>
                      <w:highlight w:val="none"/>
                      <w:lang w:val="en-US" w:eastAsia="zh-CN" w:bidi="zh-CN"/>
                      <w14:textFill>
                        <w14:solidFill>
                          <w14:schemeClr w14:val="tx1"/>
                        </w14:solidFill>
                      </w14:textFill>
                    </w:rPr>
                  </w:pPr>
                  <w:r>
                    <w:rPr>
                      <w:rFonts w:hint="eastAsia" w:ascii="Times New Roman" w:hAnsi="Times New Roman" w:eastAsia="宋体"/>
                      <w:b w:val="0"/>
                      <w:color w:val="000000" w:themeColor="text1"/>
                      <w:sz w:val="21"/>
                      <w:szCs w:val="21"/>
                      <w:highlight w:val="none"/>
                      <w:lang w:bidi="zh-CN"/>
                      <w14:textFill>
                        <w14:solidFill>
                          <w14:schemeClr w14:val="tx1"/>
                        </w14:solidFill>
                      </w14:textFill>
                    </w:rPr>
                    <w:t>垂直入渗</w:t>
                  </w:r>
                </w:p>
              </w:tc>
            </w:tr>
            <w:tr w14:paraId="2106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3" w:type="pct"/>
                  <w:vMerge w:val="continue"/>
                  <w:tcBorders>
                    <w:left w:val="nil"/>
                  </w:tcBorders>
                  <w:shd w:val="clear" w:color="auto" w:fill="FFFFFF"/>
                  <w:noWrap w:val="0"/>
                  <w:vAlign w:val="center"/>
                </w:tcPr>
                <w:p w14:paraId="08EA3A47">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p>
              </w:tc>
              <w:tc>
                <w:tcPr>
                  <w:tcW w:w="1862" w:type="pct"/>
                  <w:shd w:val="clear" w:color="auto" w:fill="FFFFFF"/>
                  <w:noWrap w:val="0"/>
                  <w:vAlign w:val="center"/>
                </w:tcPr>
                <w:p w14:paraId="0F0696EB">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b w:val="0"/>
                      <w:color w:val="000000" w:themeColor="text1"/>
                      <w:sz w:val="21"/>
                      <w:szCs w:val="21"/>
                      <w:highlight w:val="none"/>
                      <w:lang w:bidi="zh-CN"/>
                      <w14:textFill>
                        <w14:solidFill>
                          <w14:schemeClr w14:val="tx1"/>
                        </w14:solidFill>
                      </w14:textFill>
                    </w:rPr>
                    <w:t>危废</w:t>
                  </w:r>
                  <w:r>
                    <w:rPr>
                      <w:rFonts w:hint="eastAsia" w:ascii="Times New Roman" w:hAnsi="Times New Roman" w:eastAsia="宋体"/>
                      <w:b w:val="0"/>
                      <w:color w:val="000000" w:themeColor="text1"/>
                      <w:sz w:val="21"/>
                      <w:szCs w:val="21"/>
                      <w:highlight w:val="none"/>
                      <w:lang w:val="en-US" w:bidi="zh-CN"/>
                      <w14:textFill>
                        <w14:solidFill>
                          <w14:schemeClr w14:val="tx1"/>
                        </w14:solidFill>
                      </w14:textFill>
                    </w:rPr>
                    <w:t>贮存间</w:t>
                  </w:r>
                </w:p>
              </w:tc>
              <w:tc>
                <w:tcPr>
                  <w:tcW w:w="1009" w:type="pct"/>
                  <w:shd w:val="clear" w:color="auto" w:fill="FFFFFF"/>
                  <w:noWrap w:val="0"/>
                  <w:vAlign w:val="center"/>
                </w:tcPr>
                <w:p w14:paraId="03441652">
                  <w:pPr>
                    <w:pStyle w:val="200"/>
                    <w:spacing w:line="360" w:lineRule="exact"/>
                    <w:ind w:firstLine="0" w:firstLineChars="0"/>
                    <w:jc w:val="center"/>
                    <w:rPr>
                      <w:rFonts w:hint="eastAsia" w:ascii="Times New Roman" w:hAnsi="Times New Roman" w:eastAsia="宋体" w:cs="Times New Roman"/>
                      <w:b w:val="0"/>
                      <w:color w:val="000000" w:themeColor="text1"/>
                      <w:kern w:val="0"/>
                      <w:sz w:val="21"/>
                      <w:szCs w:val="21"/>
                      <w:highlight w:val="none"/>
                      <w:lang w:val="en-US" w:eastAsia="zh-CN" w:bidi="zh-CN"/>
                      <w14:textFill>
                        <w14:solidFill>
                          <w14:schemeClr w14:val="tx1"/>
                        </w14:solidFill>
                      </w14:textFill>
                    </w:rPr>
                  </w:pPr>
                  <w:r>
                    <w:rPr>
                      <w:rFonts w:hint="eastAsia" w:ascii="Times New Roman" w:hAnsi="Times New Roman" w:eastAsia="宋体"/>
                      <w:b w:val="0"/>
                      <w:color w:val="000000" w:themeColor="text1"/>
                      <w:sz w:val="21"/>
                      <w:szCs w:val="21"/>
                      <w:highlight w:val="none"/>
                      <w:lang w:val="en-US" w:bidi="zh-CN"/>
                      <w14:textFill>
                        <w14:solidFill>
                          <w14:schemeClr w14:val="tx1"/>
                        </w14:solidFill>
                      </w14:textFill>
                    </w:rPr>
                    <w:t>危险废物</w:t>
                  </w:r>
                </w:p>
              </w:tc>
              <w:tc>
                <w:tcPr>
                  <w:tcW w:w="1313" w:type="pct"/>
                  <w:tcBorders>
                    <w:right w:val="nil"/>
                  </w:tcBorders>
                  <w:shd w:val="clear" w:color="auto" w:fill="FFFFFF"/>
                  <w:noWrap w:val="0"/>
                  <w:vAlign w:val="center"/>
                </w:tcPr>
                <w:p w14:paraId="0017678E">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b w:val="0"/>
                      <w:bCs/>
                      <w:color w:val="000000" w:themeColor="text1"/>
                      <w:sz w:val="21"/>
                      <w:szCs w:val="21"/>
                      <w:highlight w:val="none"/>
                      <w14:textFill>
                        <w14:solidFill>
                          <w14:schemeClr w14:val="tx1"/>
                        </w14:solidFill>
                      </w14:textFill>
                    </w:rPr>
                    <w:t>地面漫流、</w:t>
                  </w:r>
                  <w:r>
                    <w:rPr>
                      <w:rFonts w:hint="eastAsia" w:ascii="Times New Roman" w:hAnsi="Times New Roman" w:eastAsia="宋体"/>
                      <w:b w:val="0"/>
                      <w:color w:val="000000" w:themeColor="text1"/>
                      <w:sz w:val="21"/>
                      <w:szCs w:val="21"/>
                      <w:highlight w:val="none"/>
                      <w:lang w:bidi="zh-CN"/>
                      <w14:textFill>
                        <w14:solidFill>
                          <w14:schemeClr w14:val="tx1"/>
                        </w14:solidFill>
                      </w14:textFill>
                    </w:rPr>
                    <w:t>垂直入渗</w:t>
                  </w:r>
                </w:p>
              </w:tc>
            </w:tr>
            <w:tr w14:paraId="2122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813" w:type="pct"/>
                  <w:vMerge w:val="continue"/>
                  <w:tcBorders>
                    <w:left w:val="nil"/>
                  </w:tcBorders>
                  <w:shd w:val="clear" w:color="auto" w:fill="FFFFFF"/>
                  <w:noWrap w:val="0"/>
                  <w:vAlign w:val="center"/>
                </w:tcPr>
                <w:p w14:paraId="31EF710F">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p>
              </w:tc>
              <w:tc>
                <w:tcPr>
                  <w:tcW w:w="1862" w:type="pct"/>
                  <w:shd w:val="clear" w:color="auto" w:fill="FFFFFF"/>
                  <w:noWrap w:val="0"/>
                  <w:vAlign w:val="center"/>
                </w:tcPr>
                <w:p w14:paraId="4C52E647">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b w:val="0"/>
                      <w:color w:val="000000" w:themeColor="text1"/>
                      <w:sz w:val="21"/>
                      <w:szCs w:val="21"/>
                      <w:highlight w:val="none"/>
                      <w:lang w:val="en-US" w:bidi="zh-CN"/>
                      <w14:textFill>
                        <w14:solidFill>
                          <w14:schemeClr w14:val="tx1"/>
                        </w14:solidFill>
                      </w14:textFill>
                    </w:rPr>
                    <w:t>循环水池</w:t>
                  </w:r>
                </w:p>
              </w:tc>
              <w:tc>
                <w:tcPr>
                  <w:tcW w:w="1009" w:type="pct"/>
                  <w:shd w:val="clear" w:color="auto" w:fill="FFFFFF"/>
                  <w:noWrap w:val="0"/>
                  <w:vAlign w:val="center"/>
                </w:tcPr>
                <w:p w14:paraId="53AA6575">
                  <w:pPr>
                    <w:pStyle w:val="200"/>
                    <w:spacing w:line="360" w:lineRule="exact"/>
                    <w:ind w:firstLine="0" w:firstLineChars="0"/>
                    <w:jc w:val="center"/>
                    <w:rPr>
                      <w:rFonts w:hint="eastAsia" w:ascii="Times New Roman" w:hAnsi="Times New Roman" w:eastAsia="宋体" w:cs="Times New Roman"/>
                      <w:b w:val="0"/>
                      <w:color w:val="000000" w:themeColor="text1"/>
                      <w:kern w:val="0"/>
                      <w:sz w:val="21"/>
                      <w:szCs w:val="21"/>
                      <w:highlight w:val="none"/>
                      <w:lang w:val="en-US" w:eastAsia="zh-CN" w:bidi="zh-CN"/>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lang w:val="en-US" w:bidi="zh-CN"/>
                      <w14:textFill>
                        <w14:solidFill>
                          <w14:schemeClr w14:val="tx1"/>
                        </w14:solidFill>
                      </w14:textFill>
                    </w:rPr>
                    <w:t>泥沙悬浮物</w:t>
                  </w:r>
                </w:p>
              </w:tc>
              <w:tc>
                <w:tcPr>
                  <w:tcW w:w="1313" w:type="pct"/>
                  <w:tcBorders>
                    <w:right w:val="nil"/>
                  </w:tcBorders>
                  <w:shd w:val="clear" w:color="auto" w:fill="FFFFFF"/>
                  <w:noWrap w:val="0"/>
                  <w:vAlign w:val="center"/>
                </w:tcPr>
                <w:p w14:paraId="7D80E1A7">
                  <w:pPr>
                    <w:pStyle w:val="200"/>
                    <w:spacing w:line="360" w:lineRule="exact"/>
                    <w:ind w:firstLine="0" w:firstLineChars="0"/>
                    <w:jc w:val="center"/>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14:textFill>
                        <w14:solidFill>
                          <w14:schemeClr w14:val="tx1"/>
                        </w14:solidFill>
                      </w14:textFill>
                    </w:rPr>
                    <w:t>地面漫流、</w:t>
                  </w:r>
                  <w:r>
                    <w:rPr>
                      <w:rFonts w:hint="eastAsia" w:ascii="Times New Roman" w:hAnsi="Times New Roman" w:eastAsia="宋体"/>
                      <w:b w:val="0"/>
                      <w:color w:val="000000" w:themeColor="text1"/>
                      <w:sz w:val="21"/>
                      <w:szCs w:val="21"/>
                      <w:highlight w:val="none"/>
                      <w:lang w:bidi="zh-CN"/>
                      <w14:textFill>
                        <w14:solidFill>
                          <w14:schemeClr w14:val="tx1"/>
                        </w14:solidFill>
                      </w14:textFill>
                    </w:rPr>
                    <w:t>垂直入渗</w:t>
                  </w:r>
                </w:p>
              </w:tc>
            </w:tr>
            <w:tr w14:paraId="4EA0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813" w:type="pct"/>
                  <w:vMerge w:val="continue"/>
                  <w:tcBorders>
                    <w:left w:val="nil"/>
                    <w:bottom w:val="single" w:color="000000" w:sz="12" w:space="0"/>
                  </w:tcBorders>
                  <w:shd w:val="clear" w:color="auto" w:fill="FFFFFF"/>
                  <w:noWrap w:val="0"/>
                  <w:vAlign w:val="center"/>
                </w:tcPr>
                <w:p w14:paraId="61D15B83">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p>
              </w:tc>
              <w:tc>
                <w:tcPr>
                  <w:tcW w:w="1862" w:type="pct"/>
                  <w:tcBorders>
                    <w:bottom w:val="single" w:color="000000" w:sz="12" w:space="0"/>
                  </w:tcBorders>
                  <w:shd w:val="clear" w:color="auto" w:fill="FFFFFF"/>
                  <w:noWrap w:val="0"/>
                  <w:vAlign w:val="center"/>
                </w:tcPr>
                <w:p w14:paraId="4D14BB17">
                  <w:pPr>
                    <w:pStyle w:val="200"/>
                    <w:spacing w:line="360" w:lineRule="exact"/>
                    <w:ind w:firstLine="0" w:firstLineChars="0"/>
                    <w:jc w:val="center"/>
                    <w:rPr>
                      <w:rFonts w:hint="eastAsia" w:ascii="Times New Roman" w:hAnsi="Times New Roman" w:eastAsia="宋体"/>
                      <w:b w:val="0"/>
                      <w:color w:val="000000" w:themeColor="text1"/>
                      <w:sz w:val="21"/>
                      <w:szCs w:val="21"/>
                      <w:highlight w:val="none"/>
                      <w:lang w:val="en-US" w:bidi="zh-CN"/>
                      <w14:textFill>
                        <w14:solidFill>
                          <w14:schemeClr w14:val="tx1"/>
                        </w14:solidFill>
                      </w14:textFill>
                    </w:rPr>
                  </w:pPr>
                  <w:r>
                    <w:rPr>
                      <w:rFonts w:hint="eastAsia"/>
                      <w:b w:val="0"/>
                      <w:color w:val="000000" w:themeColor="text1"/>
                      <w:sz w:val="21"/>
                      <w:szCs w:val="21"/>
                      <w:highlight w:val="none"/>
                      <w:lang w:val="en-US" w:bidi="zh-CN"/>
                      <w14:textFill>
                        <w14:solidFill>
                          <w14:schemeClr w14:val="tx1"/>
                        </w14:solidFill>
                      </w14:textFill>
                    </w:rPr>
                    <w:t>污泥堆放处</w:t>
                  </w:r>
                </w:p>
              </w:tc>
              <w:tc>
                <w:tcPr>
                  <w:tcW w:w="1009" w:type="pct"/>
                  <w:tcBorders>
                    <w:bottom w:val="single" w:color="000000" w:sz="12" w:space="0"/>
                  </w:tcBorders>
                  <w:shd w:val="clear" w:color="auto" w:fill="FFFFFF"/>
                  <w:noWrap w:val="0"/>
                  <w:vAlign w:val="center"/>
                </w:tcPr>
                <w:p w14:paraId="2CBB13E1">
                  <w:pPr>
                    <w:pStyle w:val="200"/>
                    <w:spacing w:line="360" w:lineRule="exact"/>
                    <w:ind w:firstLine="0" w:firstLineChars="0"/>
                    <w:jc w:val="center"/>
                    <w:rPr>
                      <w:rFonts w:hint="default" w:ascii="Times New Roman" w:hAnsi="Times New Roman" w:eastAsia="宋体" w:cs="Times New Roman"/>
                      <w:b w:val="0"/>
                      <w:color w:val="000000" w:themeColor="text1"/>
                      <w:kern w:val="0"/>
                      <w:sz w:val="21"/>
                      <w:szCs w:val="21"/>
                      <w:highlight w:val="none"/>
                      <w:lang w:val="en-US" w:eastAsia="zh-CN" w:bidi="zh-CN"/>
                      <w14:textFill>
                        <w14:solidFill>
                          <w14:schemeClr w14:val="tx1"/>
                        </w14:solidFill>
                      </w14:textFill>
                    </w:rPr>
                  </w:pPr>
                  <w:r>
                    <w:rPr>
                      <w:rFonts w:hint="eastAsia" w:cs="Times New Roman"/>
                      <w:b w:val="0"/>
                      <w:color w:val="000000" w:themeColor="text1"/>
                      <w:sz w:val="21"/>
                      <w:szCs w:val="21"/>
                      <w:highlight w:val="none"/>
                      <w:lang w:val="en-US" w:bidi="zh-CN"/>
                      <w14:textFill>
                        <w14:solidFill>
                          <w14:schemeClr w14:val="tx1"/>
                        </w14:solidFill>
                      </w14:textFill>
                    </w:rPr>
                    <w:t>污泥滤液</w:t>
                  </w:r>
                </w:p>
              </w:tc>
              <w:tc>
                <w:tcPr>
                  <w:tcW w:w="1313" w:type="pct"/>
                  <w:tcBorders>
                    <w:bottom w:val="single" w:color="000000" w:sz="12" w:space="0"/>
                    <w:right w:val="nil"/>
                  </w:tcBorders>
                  <w:shd w:val="clear" w:color="auto" w:fill="FFFFFF"/>
                  <w:noWrap w:val="0"/>
                  <w:vAlign w:val="center"/>
                </w:tcPr>
                <w:p w14:paraId="6FCF82C1">
                  <w:pPr>
                    <w:pStyle w:val="200"/>
                    <w:spacing w:line="360" w:lineRule="exact"/>
                    <w:ind w:firstLine="0" w:firstLineChars="0"/>
                    <w:jc w:val="center"/>
                    <w:rPr>
                      <w:rFonts w:hint="eastAsia" w:ascii="Times New Roman" w:hAnsi="Times New Roman" w:eastAsia="宋体"/>
                      <w:b w:val="0"/>
                      <w:bCs/>
                      <w:color w:val="000000" w:themeColor="text1"/>
                      <w:sz w:val="21"/>
                      <w:szCs w:val="21"/>
                      <w:highlight w:val="none"/>
                      <w14:textFill>
                        <w14:solidFill>
                          <w14:schemeClr w14:val="tx1"/>
                        </w14:solidFill>
                      </w14:textFill>
                    </w:rPr>
                  </w:pPr>
                  <w:r>
                    <w:rPr>
                      <w:rFonts w:hint="eastAsia" w:ascii="Times New Roman" w:hAnsi="Times New Roman" w:eastAsia="宋体"/>
                      <w:b w:val="0"/>
                      <w:bCs/>
                      <w:color w:val="000000" w:themeColor="text1"/>
                      <w:sz w:val="21"/>
                      <w:szCs w:val="21"/>
                      <w:highlight w:val="none"/>
                      <w14:textFill>
                        <w14:solidFill>
                          <w14:schemeClr w14:val="tx1"/>
                        </w14:solidFill>
                      </w14:textFill>
                    </w:rPr>
                    <w:t>地面漫流、</w:t>
                  </w:r>
                  <w:r>
                    <w:rPr>
                      <w:rFonts w:hint="eastAsia" w:ascii="Times New Roman" w:hAnsi="Times New Roman" w:eastAsia="宋体"/>
                      <w:b w:val="0"/>
                      <w:color w:val="000000" w:themeColor="text1"/>
                      <w:sz w:val="21"/>
                      <w:szCs w:val="21"/>
                      <w:highlight w:val="none"/>
                      <w:lang w:bidi="zh-CN"/>
                      <w14:textFill>
                        <w14:solidFill>
                          <w14:schemeClr w14:val="tx1"/>
                        </w14:solidFill>
                      </w14:textFill>
                    </w:rPr>
                    <w:t>垂直入渗</w:t>
                  </w:r>
                </w:p>
              </w:tc>
            </w:tr>
          </w:tbl>
          <w:p w14:paraId="0F3830DA">
            <w:pPr>
              <w:pStyle w:val="200"/>
              <w:spacing w:line="360" w:lineRule="auto"/>
              <w:ind w:firstLine="482"/>
              <w:rPr>
                <w:rFonts w:ascii="Times New Roman" w:hAnsi="Times New Roman" w:eastAsia="宋体"/>
                <w:color w:val="000000" w:themeColor="text1"/>
                <w:sz w:val="24"/>
                <w:szCs w:val="24"/>
                <w:highlight w:val="none"/>
                <w:lang w:bidi="zh-CN"/>
                <w14:textFill>
                  <w14:solidFill>
                    <w14:schemeClr w14:val="tx1"/>
                  </w14:solidFill>
                </w14:textFill>
              </w:rPr>
            </w:pPr>
            <w:r>
              <w:rPr>
                <w:rFonts w:hint="eastAsia" w:ascii="Times New Roman" w:hAnsi="Times New Roman" w:eastAsia="宋体"/>
                <w:b/>
                <w:bCs/>
                <w:color w:val="000000" w:themeColor="text1"/>
                <w:sz w:val="24"/>
                <w:szCs w:val="24"/>
                <w:highlight w:val="none"/>
                <w:lang w:val="en-US" w:bidi="zh-CN"/>
                <w14:textFill>
                  <w14:solidFill>
                    <w14:schemeClr w14:val="tx1"/>
                  </w14:solidFill>
                </w14:textFill>
              </w:rPr>
              <w:t>2.污染</w:t>
            </w:r>
            <w:r>
              <w:rPr>
                <w:rFonts w:hint="eastAsia" w:ascii="Times New Roman" w:hAnsi="Times New Roman" w:eastAsia="宋体"/>
                <w:b/>
                <w:bCs/>
                <w:color w:val="000000" w:themeColor="text1"/>
                <w:sz w:val="24"/>
                <w:szCs w:val="24"/>
                <w:highlight w:val="none"/>
                <w:lang w:bidi="zh-CN"/>
                <w14:textFill>
                  <w14:solidFill>
                    <w14:schemeClr w14:val="tx1"/>
                  </w14:solidFill>
                </w14:textFill>
              </w:rPr>
              <w:t>防控措施</w:t>
            </w:r>
          </w:p>
          <w:p w14:paraId="0F9E133F">
            <w:pPr>
              <w:keepNext w:val="0"/>
              <w:keepLines w:val="0"/>
              <w:widowControl/>
              <w:suppressLineNumbers w:val="0"/>
              <w:jc w:val="left"/>
              <w:rPr>
                <w:rFonts w:hint="eastAsia" w:ascii="Times New Roman" w:hAnsi="Times New Roman" w:eastAsia="宋体"/>
                <w:b w:val="0"/>
                <w:bCs w:val="0"/>
                <w:color w:val="000000" w:themeColor="text1"/>
                <w:sz w:val="24"/>
                <w:szCs w:val="24"/>
                <w:highlight w:val="none"/>
                <w:lang w:val="en-US" w:bidi="zh-CN"/>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针对本项目地下水、土壤潜在污染途径及风险点位，遵循“源头防控、过程阻断、分区防渗”的原则，结合项目生产布局、产污特性，制定全方位地下水及土壤污染防控措施，</w:t>
            </w:r>
            <w:r>
              <w:rPr>
                <w:rFonts w:hint="eastAsia" w:ascii="宋体" w:hAnsi="宋体" w:cs="宋体"/>
                <w:color w:val="000000" w:themeColor="text1"/>
                <w:kern w:val="0"/>
                <w:sz w:val="24"/>
                <w:szCs w:val="24"/>
                <w:lang w:val="en-US" w:eastAsia="zh-CN" w:bidi="ar"/>
                <w14:textFill>
                  <w14:solidFill>
                    <w14:schemeClr w14:val="tx1"/>
                  </w14:solidFill>
                </w14:textFill>
              </w:rPr>
              <w:t>从根本上</w:t>
            </w:r>
            <w:r>
              <w:rPr>
                <w:rFonts w:ascii="宋体" w:hAnsi="宋体" w:eastAsia="宋体" w:cs="宋体"/>
                <w:color w:val="000000" w:themeColor="text1"/>
                <w:kern w:val="0"/>
                <w:sz w:val="24"/>
                <w:szCs w:val="24"/>
                <w:lang w:val="en-US" w:eastAsia="zh-CN" w:bidi="ar"/>
                <w14:textFill>
                  <w14:solidFill>
                    <w14:schemeClr w14:val="tx1"/>
                  </w14:solidFill>
                </w14:textFill>
              </w:rPr>
              <w:t>杜绝物料渗漏、废水漫流、危废泄漏引发的土壤及地下水污染问题，具体防控措施如下：</w:t>
            </w:r>
          </w:p>
          <w:p w14:paraId="396F4B3F">
            <w:pPr>
              <w:pStyle w:val="200"/>
              <w:spacing w:line="360" w:lineRule="auto"/>
              <w:ind w:firstLine="480" w:firstLineChars="200"/>
              <w:jc w:val="both"/>
              <w:rPr>
                <w:rFonts w:hint="default" w:ascii="Times New Roman" w:hAnsi="Times New Roman" w:eastAsia="宋体"/>
                <w:b w:val="0"/>
                <w:bCs w:val="0"/>
                <w:color w:val="000000" w:themeColor="text1"/>
                <w:sz w:val="24"/>
                <w:szCs w:val="24"/>
                <w:highlight w:val="none"/>
                <w:lang w:val="en-US" w:bidi="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val="en-US" w:bidi="zh-CN"/>
                <w14:textFill>
                  <w14:solidFill>
                    <w14:schemeClr w14:val="tx1"/>
                  </w14:solidFill>
                </w14:textFill>
              </w:rPr>
              <w:t>（1）源头控制措施</w:t>
            </w:r>
          </w:p>
          <w:p w14:paraId="6AC27B49">
            <w:pPr>
              <w:keepNext w:val="0"/>
              <w:keepLines w:val="0"/>
              <w:widowControl/>
              <w:suppressLineNumbers w:val="0"/>
              <w:jc w:val="left"/>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源头管控为地下水与土壤污染防控核心手段，通过规范生产运营、物料贮存、废水固废管理，从源头削减污染物泄漏、扩散风险。</w:t>
            </w:r>
          </w:p>
          <w:p w14:paraId="4BAB73D2">
            <w:pPr>
              <w:keepNext w:val="0"/>
              <w:keepLines w:val="0"/>
              <w:widowControl/>
              <w:suppressLineNumbers w:val="0"/>
              <w:jc w:val="left"/>
              <w:rPr>
                <w:color w:val="000000" w:themeColor="text1"/>
                <w14:textFill>
                  <w14:solidFill>
                    <w14:schemeClr w14:val="tx1"/>
                  </w14:solidFill>
                </w14:textFill>
              </w:rPr>
            </w:pPr>
            <w:r>
              <w:rPr>
                <w:rFonts w:hint="default" w:ascii="Times New Roman" w:hAnsi="Times New Roman" w:eastAsia="微软雅黑" w:cs="Times New Roman"/>
                <w:color w:val="000000" w:themeColor="text1"/>
                <w:kern w:val="0"/>
                <w:sz w:val="24"/>
                <w:szCs w:val="24"/>
                <w:lang w:val="en-US" w:eastAsia="zh-CN" w:bidi="ar"/>
                <w14:textFill>
                  <w14:solidFill>
                    <w14:schemeClr w14:val="tx1"/>
                  </w14:solidFill>
                </w14:textFill>
              </w:rPr>
              <w:t>①</w:t>
            </w:r>
            <w:r>
              <w:rPr>
                <w:rFonts w:ascii="宋体" w:hAnsi="宋体" w:eastAsia="宋体" w:cs="宋体"/>
                <w:color w:val="000000" w:themeColor="text1"/>
                <w:kern w:val="0"/>
                <w:sz w:val="24"/>
                <w:szCs w:val="24"/>
                <w:lang w:val="en-US" w:eastAsia="zh-CN" w:bidi="ar"/>
                <w14:textFill>
                  <w14:solidFill>
                    <w14:schemeClr w14:val="tx1"/>
                  </w14:solidFill>
                </w14:textFill>
              </w:rPr>
              <w:t>生产运营管控：项目生产厂房、筛分及洗砂作业区严格规范生产操作，杜绝洗砂废水、物料浆液随意跑冒滴漏；生产设备定期检修维护，避免设备故障导致含泥废水、物料洒落。厂区抑尘用水、生产用水严格按照规范使用，杜绝积水漫流，减少地表污染物富集。</w:t>
            </w:r>
          </w:p>
          <w:p w14:paraId="08E4537F">
            <w:pPr>
              <w:keepNext w:val="0"/>
              <w:keepLines w:val="0"/>
              <w:widowControl/>
              <w:suppressLineNumbers w:val="0"/>
              <w:jc w:val="left"/>
              <w:rPr>
                <w:color w:val="000000" w:themeColor="text1"/>
                <w14:textFill>
                  <w14:solidFill>
                    <w14:schemeClr w14:val="tx1"/>
                  </w14:solidFill>
                </w14:textFill>
              </w:rPr>
            </w:pPr>
            <w:r>
              <w:rPr>
                <w:rFonts w:hint="default" w:ascii="Times New Roman" w:hAnsi="Times New Roman" w:eastAsia="微软雅黑" w:cs="Times New Roman"/>
                <w:color w:val="000000" w:themeColor="text1"/>
                <w:kern w:val="0"/>
                <w:sz w:val="24"/>
                <w:szCs w:val="24"/>
                <w:lang w:val="en-US" w:eastAsia="zh-CN" w:bidi="ar"/>
                <w14:textFill>
                  <w14:solidFill>
                    <w14:schemeClr w14:val="tx1"/>
                  </w14:solidFill>
                </w14:textFill>
              </w:rPr>
              <w:t>②</w:t>
            </w:r>
            <w:r>
              <w:rPr>
                <w:rFonts w:ascii="宋体" w:hAnsi="宋体" w:eastAsia="宋体" w:cs="宋体"/>
                <w:color w:val="000000" w:themeColor="text1"/>
                <w:kern w:val="0"/>
                <w:sz w:val="24"/>
                <w:szCs w:val="24"/>
                <w:lang w:val="en-US" w:eastAsia="zh-CN" w:bidi="ar"/>
                <w14:textFill>
                  <w14:solidFill>
                    <w14:schemeClr w14:val="tx1"/>
                  </w14:solidFill>
                </w14:textFill>
              </w:rPr>
              <w:t>废水闭环管控：项目洗砂生产废水经多级沉淀池、沉降罐处理后</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100%</w:t>
            </w:r>
            <w:r>
              <w:rPr>
                <w:rFonts w:ascii="宋体" w:hAnsi="宋体" w:eastAsia="宋体" w:cs="宋体"/>
                <w:color w:val="000000" w:themeColor="text1"/>
                <w:kern w:val="0"/>
                <w:sz w:val="24"/>
                <w:szCs w:val="24"/>
                <w:lang w:val="en-US" w:eastAsia="zh-CN" w:bidi="ar"/>
                <w14:textFill>
                  <w14:solidFill>
                    <w14:schemeClr w14:val="tx1"/>
                  </w14:solidFill>
                </w14:textFill>
              </w:rPr>
              <w:t>循环回用，无外排废水；车辆冲洗废水配套沉淀池循环利用，全程实现废水闭环管理，杜绝生产废水渗漏污染土壤及地下水。生活污水统一收集至化粪池，由专业车辆定期清运处置，无就地排放、渗漏风险。</w:t>
            </w:r>
          </w:p>
          <w:p w14:paraId="13EF1701">
            <w:pPr>
              <w:keepNext w:val="0"/>
              <w:keepLines w:val="0"/>
              <w:widowControl/>
              <w:suppressLineNumbers w:val="0"/>
              <w:jc w:val="left"/>
              <w:rPr>
                <w:rFonts w:ascii="宋体" w:hAnsi="宋体" w:eastAsia="宋体" w:cs="宋体"/>
                <w:color w:val="000000" w:themeColor="text1"/>
                <w:kern w:val="0"/>
                <w:sz w:val="24"/>
                <w:szCs w:val="24"/>
                <w:lang w:val="en-US" w:eastAsia="zh-CN" w:bidi="ar"/>
                <w14:textFill>
                  <w14:solidFill>
                    <w14:schemeClr w14:val="tx1"/>
                  </w14:solidFill>
                </w14:textFill>
              </w:rPr>
            </w:pPr>
            <w:r>
              <w:rPr>
                <w:rFonts w:hint="default" w:ascii="Times New Roman" w:hAnsi="Times New Roman" w:eastAsia="微软雅黑" w:cs="Times New Roman"/>
                <w:color w:val="000000" w:themeColor="text1"/>
                <w:kern w:val="0"/>
                <w:sz w:val="24"/>
                <w:szCs w:val="24"/>
                <w:lang w:val="en-US" w:eastAsia="zh-CN" w:bidi="ar"/>
                <w14:textFill>
                  <w14:solidFill>
                    <w14:schemeClr w14:val="tx1"/>
                  </w14:solidFill>
                </w14:textFill>
              </w:rPr>
              <w:t>③</w:t>
            </w:r>
            <w:r>
              <w:rPr>
                <w:rFonts w:ascii="宋体" w:hAnsi="宋体" w:eastAsia="宋体" w:cs="宋体"/>
                <w:color w:val="000000" w:themeColor="text1"/>
                <w:kern w:val="0"/>
                <w:sz w:val="24"/>
                <w:szCs w:val="24"/>
                <w:lang w:val="en-US" w:eastAsia="zh-CN" w:bidi="ar"/>
                <w14:textFill>
                  <w14:solidFill>
                    <w14:schemeClr w14:val="tx1"/>
                  </w14:solidFill>
                </w14:textFill>
              </w:rPr>
              <w:t>固废规范贮存处置：厂区泥饼堆场、除尘粉尘暂存区、一般固废暂存间、危废贮存库分区布设、规范管理。所有一般工业固废、危险废物分类密闭存放，及时转运处置。危废单独密闭贮存，杜绝废润滑油泄漏、渗透污染。</w:t>
            </w:r>
          </w:p>
          <w:p w14:paraId="26ECAF35">
            <w:pPr>
              <w:pStyle w:val="200"/>
              <w:spacing w:line="360" w:lineRule="auto"/>
              <w:ind w:firstLine="480" w:firstLineChars="200"/>
              <w:jc w:val="both"/>
              <w:rPr>
                <w:rFonts w:hint="eastAsia" w:ascii="Times New Roman" w:hAnsi="Times New Roman" w:eastAsia="宋体" w:cs="Times New Roman"/>
                <w:b w:val="0"/>
                <w:bCs w:val="0"/>
                <w:color w:val="000000" w:themeColor="text1"/>
                <w:sz w:val="24"/>
                <w:szCs w:val="24"/>
                <w:highlight w:val="none"/>
                <w:lang w:val="en-US" w:bidi="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bidi="zh-CN"/>
                <w14:textFill>
                  <w14:solidFill>
                    <w14:schemeClr w14:val="tx1"/>
                  </w14:solidFill>
                </w14:textFill>
              </w:rPr>
              <w:t>（2）过程阻断与排水管控措施</w:t>
            </w:r>
          </w:p>
          <w:p w14:paraId="4E970219">
            <w:pPr>
              <w:keepNext w:val="0"/>
              <w:keepLines w:val="0"/>
              <w:widowControl/>
              <w:suppressLineNumbers w:val="0"/>
              <w:jc w:val="left"/>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完善厂区排水系统，实行“雨污分流、清污分流”制度，彻底阻断污染扩散途径。厂区单独设置雨水排水沟、生产废水收集沟，雨水经收集后排入厂区雨水管网外排，生产废水、淋溶废水全部收集至沉淀池回用，严禁雨水与污水混流。</w:t>
            </w:r>
          </w:p>
          <w:p w14:paraId="0855F1E0">
            <w:pPr>
              <w:keepNext w:val="0"/>
              <w:keepLines w:val="0"/>
              <w:widowControl/>
              <w:suppressLineNumbers w:val="0"/>
              <w:jc w:val="left"/>
              <w:rPr>
                <w:color w:val="000000" w:themeColor="text1"/>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各防渗区域周边设置截排水设施，雨天及时疏导地表径流，防止雨水冲刷物料堆场、生产区域，形成含污染物漫流水体；定期清理排水沟、沉淀池淤泥，保障排水、收集系统通畅，避免积水浸泡地面造成防渗层破损、污染物下渗。</w:t>
            </w:r>
          </w:p>
          <w:p w14:paraId="427EECF5">
            <w:pPr>
              <w:pStyle w:val="200"/>
              <w:spacing w:line="360" w:lineRule="auto"/>
              <w:ind w:firstLine="480" w:firstLineChars="200"/>
              <w:jc w:val="both"/>
              <w:rPr>
                <w:rFonts w:hint="default" w:ascii="Times New Roman" w:hAnsi="Times New Roman" w:eastAsia="宋体"/>
                <w:b w:val="0"/>
                <w:bCs w:val="0"/>
                <w:color w:val="000000" w:themeColor="text1"/>
                <w:sz w:val="24"/>
                <w:szCs w:val="24"/>
                <w:highlight w:val="none"/>
                <w:lang w:val="en-US" w:bidi="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val="en-US" w:bidi="zh-CN"/>
                <w14:textFill>
                  <w14:solidFill>
                    <w14:schemeClr w14:val="tx1"/>
                  </w14:solidFill>
                </w14:textFill>
              </w:rPr>
              <w:t>（</w:t>
            </w:r>
            <w:r>
              <w:rPr>
                <w:rFonts w:hint="eastAsia"/>
                <w:b w:val="0"/>
                <w:bCs w:val="0"/>
                <w:color w:val="000000" w:themeColor="text1"/>
                <w:sz w:val="24"/>
                <w:szCs w:val="24"/>
                <w:highlight w:val="none"/>
                <w:lang w:val="en-US" w:bidi="zh-CN"/>
                <w14:textFill>
                  <w14:solidFill>
                    <w14:schemeClr w14:val="tx1"/>
                  </w14:solidFill>
                </w14:textFill>
              </w:rPr>
              <w:t>3</w:t>
            </w:r>
            <w:r>
              <w:rPr>
                <w:rFonts w:hint="eastAsia" w:ascii="Times New Roman" w:hAnsi="Times New Roman" w:eastAsia="宋体"/>
                <w:b w:val="0"/>
                <w:bCs w:val="0"/>
                <w:color w:val="000000" w:themeColor="text1"/>
                <w:sz w:val="24"/>
                <w:szCs w:val="24"/>
                <w:highlight w:val="none"/>
                <w:lang w:val="en-US" w:bidi="zh-CN"/>
                <w14:textFill>
                  <w14:solidFill>
                    <w14:schemeClr w14:val="tx1"/>
                  </w14:solidFill>
                </w14:textFill>
              </w:rPr>
              <w:t>）分区防渗措施</w:t>
            </w:r>
          </w:p>
          <w:p w14:paraId="386B4D18">
            <w:pPr>
              <w:pStyle w:val="200"/>
              <w:spacing w:line="360" w:lineRule="auto"/>
              <w:ind w:firstLine="480" w:firstLineChars="200"/>
              <w:jc w:val="both"/>
              <w:rPr>
                <w:rFonts w:hint="eastAsia" w:ascii="Times New Roman" w:hAnsi="Times New Roman" w:eastAsia="宋体"/>
                <w:b w:val="0"/>
                <w:bCs w:val="0"/>
                <w:color w:val="000000" w:themeColor="text1"/>
                <w:sz w:val="24"/>
                <w:szCs w:val="24"/>
                <w:highlight w:val="none"/>
                <w:lang w:bidi="zh-CN"/>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val="en-US" w:bidi="zh-CN"/>
                <w14:textFill>
                  <w14:solidFill>
                    <w14:schemeClr w14:val="tx1"/>
                  </w14:solidFill>
                </w14:textFill>
              </w:rPr>
              <w:t>根据本项目特点，本项目分区防渗措施，具体见下表。</w:t>
            </w:r>
          </w:p>
          <w:p w14:paraId="12F91FD3">
            <w:pPr>
              <w:pStyle w:val="200"/>
              <w:spacing w:line="360" w:lineRule="auto"/>
              <w:ind w:firstLine="0" w:firstLineChars="0"/>
              <w:jc w:val="center"/>
              <w:rPr>
                <w:rFonts w:ascii="Times New Roman" w:hAnsi="Times New Roman" w:eastAsia="宋体"/>
                <w:color w:val="000000" w:themeColor="text1"/>
                <w:sz w:val="21"/>
                <w:szCs w:val="21"/>
                <w:highlight w:val="none"/>
                <w:lang w:bidi="zh-CN"/>
                <w14:textFill>
                  <w14:solidFill>
                    <w14:schemeClr w14:val="tx1"/>
                  </w14:solidFill>
                </w14:textFill>
              </w:rPr>
            </w:pPr>
            <w:r>
              <w:rPr>
                <w:rFonts w:hint="eastAsia" w:ascii="Times New Roman" w:hAnsi="Times New Roman" w:eastAsia="宋体"/>
                <w:b/>
                <w:bCs/>
                <w:color w:val="000000" w:themeColor="text1"/>
                <w:sz w:val="21"/>
                <w:szCs w:val="21"/>
                <w:highlight w:val="none"/>
                <w:lang w:bidi="zh-CN"/>
                <w14:textFill>
                  <w14:solidFill>
                    <w14:schemeClr w14:val="tx1"/>
                  </w14:solidFill>
                </w14:textFill>
              </w:rPr>
              <w:t>表4-</w:t>
            </w:r>
            <w:r>
              <w:rPr>
                <w:rFonts w:hint="eastAsia"/>
                <w:b/>
                <w:bCs/>
                <w:color w:val="000000" w:themeColor="text1"/>
                <w:sz w:val="21"/>
                <w:szCs w:val="21"/>
                <w:highlight w:val="none"/>
                <w:lang w:val="en-US" w:bidi="zh-CN"/>
                <w14:textFill>
                  <w14:solidFill>
                    <w14:schemeClr w14:val="tx1"/>
                  </w14:solidFill>
                </w14:textFill>
              </w:rPr>
              <w:t>15</w:t>
            </w:r>
            <w:r>
              <w:rPr>
                <w:rFonts w:hint="eastAsia" w:ascii="Times New Roman" w:hAnsi="Times New Roman" w:eastAsia="宋体"/>
                <w:b/>
                <w:bCs/>
                <w:color w:val="000000" w:themeColor="text1"/>
                <w:sz w:val="21"/>
                <w:szCs w:val="21"/>
                <w:highlight w:val="none"/>
                <w:lang w:bidi="zh-CN"/>
                <w14:textFill>
                  <w14:solidFill>
                    <w14:schemeClr w14:val="tx1"/>
                  </w14:solidFill>
                </w14:textFill>
              </w:rPr>
              <w:t xml:space="preserve">  </w:t>
            </w:r>
            <w:r>
              <w:rPr>
                <w:rFonts w:hint="eastAsia" w:ascii="Times New Roman" w:hAnsi="Times New Roman" w:eastAsia="宋体"/>
                <w:b/>
                <w:bCs/>
                <w:color w:val="000000" w:themeColor="text1"/>
                <w:sz w:val="21"/>
                <w:szCs w:val="21"/>
                <w:highlight w:val="none"/>
                <w:lang w:val="en-US" w:bidi="zh-CN"/>
                <w14:textFill>
                  <w14:solidFill>
                    <w14:schemeClr w14:val="tx1"/>
                  </w14:solidFill>
                </w14:textFill>
              </w:rPr>
              <w:t>分区防渗</w:t>
            </w:r>
            <w:r>
              <w:rPr>
                <w:rFonts w:hint="eastAsia" w:ascii="Times New Roman" w:hAnsi="Times New Roman" w:eastAsia="宋体"/>
                <w:b/>
                <w:bCs/>
                <w:color w:val="000000" w:themeColor="text1"/>
                <w:sz w:val="21"/>
                <w:szCs w:val="21"/>
                <w:highlight w:val="none"/>
                <w:lang w:bidi="zh-CN"/>
                <w14:textFill>
                  <w14:solidFill>
                    <w14:schemeClr w14:val="tx1"/>
                  </w14:solidFill>
                </w14:textFill>
              </w:rPr>
              <w:t>措施一览表</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4609"/>
              <w:gridCol w:w="3947"/>
            </w:tblGrid>
            <w:tr w14:paraId="6ABC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000000" w:sz="12" w:space="0"/>
                    <w:left w:val="nil"/>
                    <w:tl2br w:val="nil"/>
                  </w:tcBorders>
                  <w:shd w:val="clear" w:color="auto" w:fill="FFFFFF"/>
                  <w:noWrap w:val="0"/>
                  <w:vAlign w:val="center"/>
                </w:tcPr>
                <w:p w14:paraId="082BC5A1">
                  <w:pPr>
                    <w:pStyle w:val="200"/>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b w:val="0"/>
                      <w:bCs/>
                      <w:caps w:val="0"/>
                      <w:smallCaps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bCs/>
                      <w:caps w:val="0"/>
                      <w:smallCaps w:val="0"/>
                      <w:color w:val="000000" w:themeColor="text1"/>
                      <w:sz w:val="21"/>
                      <w:szCs w:val="21"/>
                      <w:highlight w:val="none"/>
                      <w:lang w:val="en-US" w:bidi="zh-CN"/>
                      <w14:textFill>
                        <w14:solidFill>
                          <w14:schemeClr w14:val="tx1"/>
                        </w14:solidFill>
                      </w14:textFill>
                    </w:rPr>
                    <w:t>防渗分区</w:t>
                  </w:r>
                </w:p>
              </w:tc>
              <w:tc>
                <w:tcPr>
                  <w:tcW w:w="4591" w:type="dxa"/>
                  <w:tcBorders>
                    <w:top w:val="single" w:color="000000" w:sz="12" w:space="0"/>
                  </w:tcBorders>
                  <w:shd w:val="clear" w:color="auto" w:fill="FFFFFF"/>
                  <w:noWrap w:val="0"/>
                  <w:vAlign w:val="center"/>
                </w:tcPr>
                <w:p w14:paraId="24A9F70D">
                  <w:pPr>
                    <w:pStyle w:val="200"/>
                    <w:keepNext w:val="0"/>
                    <w:keepLines w:val="0"/>
                    <w:pageBreakBefore w:val="0"/>
                    <w:widowControl w:val="0"/>
                    <w:kinsoku/>
                    <w:wordWrap/>
                    <w:overflowPunct/>
                    <w:topLinePunct w:val="0"/>
                    <w:autoSpaceDE/>
                    <w:autoSpaceDN/>
                    <w:bidi w:val="0"/>
                    <w:adjustRightInd w:val="0"/>
                    <w:snapToGrid w:val="0"/>
                    <w:spacing w:line="360" w:lineRule="exact"/>
                    <w:ind w:firstLine="210" w:firstLineChars="100"/>
                    <w:jc w:val="center"/>
                    <w:textAlignment w:val="auto"/>
                    <w:rPr>
                      <w:rFonts w:hint="default" w:ascii="Times New Roman" w:hAnsi="Times New Roman" w:eastAsia="宋体"/>
                      <w:b w:val="0"/>
                      <w:bCs/>
                      <w:caps w:val="0"/>
                      <w:smallCaps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bCs/>
                      <w:caps w:val="0"/>
                      <w:smallCaps w:val="0"/>
                      <w:color w:val="000000" w:themeColor="text1"/>
                      <w:sz w:val="21"/>
                      <w:szCs w:val="21"/>
                      <w:highlight w:val="none"/>
                      <w:lang w:val="en-US" w:bidi="zh-CN"/>
                      <w14:textFill>
                        <w14:solidFill>
                          <w14:schemeClr w14:val="tx1"/>
                        </w14:solidFill>
                      </w14:textFill>
                    </w:rPr>
                    <w:t>防渗措施</w:t>
                  </w:r>
                </w:p>
              </w:tc>
              <w:tc>
                <w:tcPr>
                  <w:tcW w:w="3932" w:type="dxa"/>
                  <w:tcBorders>
                    <w:top w:val="single" w:color="000000" w:sz="12" w:space="0"/>
                    <w:right w:val="nil"/>
                  </w:tcBorders>
                  <w:shd w:val="clear" w:color="auto" w:fill="FFFFFF"/>
                  <w:noWrap w:val="0"/>
                  <w:vAlign w:val="center"/>
                </w:tcPr>
                <w:p w14:paraId="61354F4C">
                  <w:pPr>
                    <w:pStyle w:val="200"/>
                    <w:keepNext w:val="0"/>
                    <w:keepLines w:val="0"/>
                    <w:pageBreakBefore w:val="0"/>
                    <w:widowControl w:val="0"/>
                    <w:kinsoku/>
                    <w:wordWrap/>
                    <w:overflowPunct/>
                    <w:topLinePunct w:val="0"/>
                    <w:autoSpaceDE/>
                    <w:autoSpaceDN/>
                    <w:bidi w:val="0"/>
                    <w:adjustRightInd w:val="0"/>
                    <w:snapToGrid w:val="0"/>
                    <w:spacing w:line="360" w:lineRule="exact"/>
                    <w:ind w:firstLine="210" w:firstLineChars="100"/>
                    <w:jc w:val="center"/>
                    <w:textAlignment w:val="auto"/>
                    <w:rPr>
                      <w:rFonts w:hint="default" w:ascii="Times New Roman" w:hAnsi="Times New Roman" w:eastAsia="宋体"/>
                      <w:b w:val="0"/>
                      <w:bCs/>
                      <w:caps w:val="0"/>
                      <w:smallCaps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bCs/>
                      <w:caps w:val="0"/>
                      <w:smallCaps w:val="0"/>
                      <w:color w:val="000000" w:themeColor="text1"/>
                      <w:sz w:val="21"/>
                      <w:szCs w:val="21"/>
                      <w:highlight w:val="none"/>
                      <w:lang w:val="en-US" w:bidi="zh-CN"/>
                      <w14:textFill>
                        <w14:solidFill>
                          <w14:schemeClr w14:val="tx1"/>
                        </w14:solidFill>
                      </w14:textFill>
                    </w:rPr>
                    <w:t>防渗技术要求</w:t>
                  </w:r>
                </w:p>
              </w:tc>
            </w:tr>
            <w:tr w14:paraId="6B7D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jc w:val="center"/>
              </w:trPr>
              <w:tc>
                <w:tcPr>
                  <w:tcW w:w="994" w:type="dxa"/>
                  <w:tcBorders>
                    <w:left w:val="nil"/>
                  </w:tcBorders>
                  <w:shd w:val="clear" w:color="auto" w:fill="FFFFFF"/>
                  <w:noWrap w:val="0"/>
                  <w:vAlign w:val="center"/>
                </w:tcPr>
                <w:p w14:paraId="26B34540">
                  <w:pPr>
                    <w:pStyle w:val="200"/>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重点防渗区</w:t>
                  </w:r>
                </w:p>
              </w:tc>
              <w:tc>
                <w:tcPr>
                  <w:tcW w:w="4591" w:type="dxa"/>
                  <w:shd w:val="clear" w:color="auto" w:fill="FFFFFF"/>
                  <w:noWrap w:val="0"/>
                  <w:vAlign w:val="center"/>
                </w:tcPr>
                <w:p w14:paraId="755495AC">
                  <w:pPr>
                    <w:pStyle w:val="200"/>
                    <w:keepNext w:val="0"/>
                    <w:keepLines w:val="0"/>
                    <w:pageBreakBefore w:val="0"/>
                    <w:widowControl w:val="0"/>
                    <w:kinsoku/>
                    <w:wordWrap/>
                    <w:overflowPunct/>
                    <w:topLinePunct w:val="0"/>
                    <w:autoSpaceDE/>
                    <w:autoSpaceDN/>
                    <w:bidi w:val="0"/>
                    <w:adjustRightInd w:val="0"/>
                    <w:snapToGrid w:val="0"/>
                    <w:spacing w:line="360" w:lineRule="exact"/>
                    <w:ind w:firstLine="210" w:firstLineChars="100"/>
                    <w:textAlignment w:val="auto"/>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危废贮存</w:t>
                  </w:r>
                  <w:r>
                    <w:rPr>
                      <w:rFonts w:hint="eastAsia"/>
                      <w:b w:val="0"/>
                      <w:caps w:val="0"/>
                      <w:smallCaps w:val="0"/>
                      <w:color w:val="000000" w:themeColor="text1"/>
                      <w:sz w:val="21"/>
                      <w:szCs w:val="21"/>
                      <w:highlight w:val="none"/>
                      <w:lang w:val="en-US" w:bidi="zh-CN"/>
                      <w14:textFill>
                        <w14:solidFill>
                          <w14:schemeClr w14:val="tx1"/>
                        </w14:solidFill>
                      </w14:textFill>
                    </w:rPr>
                    <w:t>库</w:t>
                  </w: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：地面与裙脚进行重点防渗，表面防渗材料应与所接触的物料或污染物相容，可采用抗渗混凝土、高密度聚乙烯膜、钠基膨润土防水毯或其他防渗性能等效的材料。</w:t>
                  </w:r>
                </w:p>
              </w:tc>
              <w:tc>
                <w:tcPr>
                  <w:tcW w:w="3932" w:type="dxa"/>
                  <w:tcBorders>
                    <w:right w:val="nil"/>
                  </w:tcBorders>
                  <w:shd w:val="clear" w:color="auto" w:fill="FFFFFF"/>
                  <w:noWrap w:val="0"/>
                  <w:vAlign w:val="center"/>
                </w:tcPr>
                <w:p w14:paraId="21A3C17F">
                  <w:pPr>
                    <w:pStyle w:val="12"/>
                    <w:keepNext w:val="0"/>
                    <w:keepLines w:val="0"/>
                    <w:pageBreakBefore w:val="0"/>
                    <w:widowControl w:val="0"/>
                    <w:numPr>
                      <w:ilvl w:val="0"/>
                      <w:numId w:val="0"/>
                    </w:numPr>
                    <w:shd w:val="clear" w:color="auto" w:fill="auto"/>
                    <w:tabs>
                      <w:tab w:val="clear" w:pos="360"/>
                    </w:tabs>
                    <w:kinsoku/>
                    <w:wordWrap/>
                    <w:overflowPunct/>
                    <w:topLinePunct w:val="0"/>
                    <w:autoSpaceDE/>
                    <w:autoSpaceDN/>
                    <w:bidi w:val="0"/>
                    <w:spacing w:line="360" w:lineRule="exact"/>
                    <w:ind w:leftChars="0" w:right="0" w:rightChars="0" w:firstLine="210" w:firstLineChars="100"/>
                    <w:jc w:val="both"/>
                    <w:textAlignment w:val="auto"/>
                    <w:rPr>
                      <w:rFonts w:hint="default" w:ascii="Times New Roman" w:hAnsi="Times New Roman" w:eastAsia="宋体" w:cs="Times New Roman"/>
                      <w:b w:val="0"/>
                      <w:caps w:val="0"/>
                      <w:smallCaps w:val="0"/>
                      <w:color w:val="000000" w:themeColor="text1"/>
                      <w:sz w:val="21"/>
                      <w:szCs w:val="21"/>
                      <w:highlight w:val="none"/>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防渗层为至少1m厚黏土层（渗透系数不大于10</w:t>
                  </w:r>
                  <w:r>
                    <w:rPr>
                      <w:rFonts w:hint="eastAsia"/>
                      <w:b w:val="0"/>
                      <w:caps w:val="0"/>
                      <w:smallCaps w:val="0"/>
                      <w:color w:val="000000" w:themeColor="text1"/>
                      <w:sz w:val="21"/>
                      <w:szCs w:val="21"/>
                      <w:highlight w:val="none"/>
                      <w:lang w:val="en-US" w:bidi="zh-CN"/>
                      <w14:textFill>
                        <w14:solidFill>
                          <w14:schemeClr w14:val="tx1"/>
                        </w14:solidFill>
                      </w14:textFill>
                    </w:rPr>
                    <w:t>—</w:t>
                  </w:r>
                  <w:r>
                    <w:rPr>
                      <w:rFonts w:hint="eastAsia" w:ascii="Times New Roman" w:hAnsi="Times New Roman" w:eastAsia="宋体"/>
                      <w:b w:val="0"/>
                      <w:caps w:val="0"/>
                      <w:smallCaps w:val="0"/>
                      <w:color w:val="000000" w:themeColor="text1"/>
                      <w:sz w:val="21"/>
                      <w:szCs w:val="21"/>
                      <w:highlight w:val="none"/>
                      <w:vertAlign w:val="superscript"/>
                      <w:lang w:val="en-US" w:bidi="zh-CN"/>
                      <w14:textFill>
                        <w14:solidFill>
                          <w14:schemeClr w14:val="tx1"/>
                        </w14:solidFill>
                      </w14:textFill>
                    </w:rPr>
                    <w:t>7</w:t>
                  </w: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cm/s），或至少2mm厚高密度聚乙烯膜等人工防渗材料（渗透系数不大于10</w:t>
                  </w:r>
                  <w:r>
                    <w:rPr>
                      <w:rFonts w:hint="eastAsia"/>
                      <w:b w:val="0"/>
                      <w:caps w:val="0"/>
                      <w:smallCaps w:val="0"/>
                      <w:color w:val="000000" w:themeColor="text1"/>
                      <w:sz w:val="21"/>
                      <w:szCs w:val="21"/>
                      <w:highlight w:val="none"/>
                      <w:lang w:val="en-US" w:bidi="zh-CN"/>
                      <w14:textFill>
                        <w14:solidFill>
                          <w14:schemeClr w14:val="tx1"/>
                        </w14:solidFill>
                      </w14:textFill>
                    </w:rPr>
                    <w:t>—</w:t>
                  </w:r>
                  <w:r>
                    <w:rPr>
                      <w:rFonts w:hint="eastAsia" w:ascii="Times New Roman" w:hAnsi="Times New Roman" w:eastAsia="宋体"/>
                      <w:b w:val="0"/>
                      <w:caps w:val="0"/>
                      <w:smallCaps w:val="0"/>
                      <w:color w:val="000000" w:themeColor="text1"/>
                      <w:sz w:val="21"/>
                      <w:szCs w:val="21"/>
                      <w:highlight w:val="none"/>
                      <w:vertAlign w:val="superscript"/>
                      <w:lang w:val="en-US" w:bidi="zh-CN"/>
                      <w14:textFill>
                        <w14:solidFill>
                          <w14:schemeClr w14:val="tx1"/>
                        </w14:solidFill>
                      </w14:textFill>
                    </w:rPr>
                    <w:t>10</w:t>
                  </w: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cm/s），或其他防渗性能等效的材料</w:t>
                  </w:r>
                  <w:r>
                    <w:rPr>
                      <w:rFonts w:hint="eastAsia"/>
                      <w:b w:val="0"/>
                      <w:caps w:val="0"/>
                      <w:smallCaps w:val="0"/>
                      <w:color w:val="000000" w:themeColor="text1"/>
                      <w:sz w:val="21"/>
                      <w:szCs w:val="21"/>
                      <w:highlight w:val="none"/>
                      <w:lang w:val="en-US" w:bidi="zh-CN"/>
                      <w14:textFill>
                        <w14:solidFill>
                          <w14:schemeClr w14:val="tx1"/>
                        </w14:solidFill>
                      </w14:textFill>
                    </w:rPr>
                    <w:t>；</w:t>
                  </w:r>
                  <w:r>
                    <w:rPr>
                      <w:rFonts w:hint="default" w:ascii="Times New Roman" w:hAnsi="Times New Roman" w:eastAsia="宋体" w:cs="Times New Roman"/>
                      <w:b w:val="0"/>
                      <w:caps w:val="0"/>
                      <w:smallCaps w:val="0"/>
                      <w:color w:val="000000" w:themeColor="text1"/>
                      <w:sz w:val="21"/>
                      <w:szCs w:val="21"/>
                      <w:highlight w:val="none"/>
                      <w14:textFill>
                        <w14:solidFill>
                          <w14:schemeClr w14:val="tx1"/>
                        </w14:solidFill>
                      </w14:textFill>
                    </w:rPr>
                    <w:t>等效黏土防渗层Mb≥6.0m，K≤1×10</w:t>
                  </w:r>
                  <w:r>
                    <w:rPr>
                      <w:rFonts w:hint="eastAsia" w:cs="Times New Roman"/>
                      <w:b w:val="0"/>
                      <w:caps w:val="0"/>
                      <w:smallCap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caps w:val="0"/>
                      <w:smallCaps w:val="0"/>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b w:val="0"/>
                      <w:caps w:val="0"/>
                      <w:smallCaps w:val="0"/>
                      <w:color w:val="000000" w:themeColor="text1"/>
                      <w:sz w:val="21"/>
                      <w:szCs w:val="21"/>
                      <w:highlight w:val="none"/>
                      <w14:textFill>
                        <w14:solidFill>
                          <w14:schemeClr w14:val="tx1"/>
                        </w14:solidFill>
                      </w14:textFill>
                    </w:rPr>
                    <w:t>cm/s，或参考GB18598执行</w:t>
                  </w:r>
                </w:p>
              </w:tc>
            </w:tr>
            <w:tr w14:paraId="2B09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left w:val="nil"/>
                  </w:tcBorders>
                  <w:shd w:val="clear" w:color="auto" w:fill="FFFFFF"/>
                  <w:noWrap w:val="0"/>
                  <w:vAlign w:val="center"/>
                </w:tcPr>
                <w:p w14:paraId="4796D61A">
                  <w:pPr>
                    <w:pStyle w:val="200"/>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一般防渗区</w:t>
                  </w:r>
                </w:p>
              </w:tc>
              <w:tc>
                <w:tcPr>
                  <w:tcW w:w="4591" w:type="dxa"/>
                  <w:shd w:val="clear" w:color="auto" w:fill="FFFFFF"/>
                  <w:noWrap w:val="0"/>
                  <w:vAlign w:val="center"/>
                </w:tcPr>
                <w:p w14:paraId="2AC76E6C">
                  <w:pPr>
                    <w:pStyle w:val="200"/>
                    <w:keepNext w:val="0"/>
                    <w:keepLines w:val="0"/>
                    <w:pageBreakBefore w:val="0"/>
                    <w:widowControl w:val="0"/>
                    <w:kinsoku/>
                    <w:wordWrap/>
                    <w:overflowPunct/>
                    <w:topLinePunct w:val="0"/>
                    <w:autoSpaceDE/>
                    <w:autoSpaceDN/>
                    <w:bidi w:val="0"/>
                    <w:adjustRightInd w:val="0"/>
                    <w:snapToGrid w:val="0"/>
                    <w:spacing w:line="360" w:lineRule="exact"/>
                    <w:ind w:firstLine="210" w:firstLineChars="100"/>
                    <w:textAlignment w:val="auto"/>
                    <w:rPr>
                      <w:rFonts w:hint="default"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生产车间</w:t>
                  </w:r>
                  <w:r>
                    <w:rPr>
                      <w:rFonts w:hint="eastAsia"/>
                      <w:b w:val="0"/>
                      <w:caps w:val="0"/>
                      <w:smallCaps w:val="0"/>
                      <w:color w:val="000000" w:themeColor="text1"/>
                      <w:sz w:val="21"/>
                      <w:szCs w:val="21"/>
                      <w:highlight w:val="none"/>
                      <w:lang w:val="en-US" w:bidi="zh-CN"/>
                      <w14:textFill>
                        <w14:solidFill>
                          <w14:schemeClr w14:val="tx1"/>
                        </w14:solidFill>
                      </w14:textFill>
                    </w:rPr>
                    <w:t>、清水池、沉淀池、泥饼堆场</w:t>
                  </w: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：采用的混凝土抗渗等级不低于P8；混凝土强度等级不低于C30；混凝土耐久性符合现行国家标准《混凝土结构设计标准》（GB/T 50010-2010）的有关规定。</w:t>
                  </w:r>
                </w:p>
              </w:tc>
              <w:tc>
                <w:tcPr>
                  <w:tcW w:w="3932" w:type="dxa"/>
                  <w:tcBorders>
                    <w:right w:val="nil"/>
                  </w:tcBorders>
                  <w:shd w:val="clear" w:color="auto" w:fill="FFFFFF"/>
                  <w:noWrap w:val="0"/>
                  <w:vAlign w:val="center"/>
                </w:tcPr>
                <w:p w14:paraId="5E2966C8">
                  <w:pPr>
                    <w:pStyle w:val="12"/>
                    <w:keepNext w:val="0"/>
                    <w:keepLines w:val="0"/>
                    <w:pageBreakBefore w:val="0"/>
                    <w:widowControl w:val="0"/>
                    <w:numPr>
                      <w:ilvl w:val="0"/>
                      <w:numId w:val="0"/>
                    </w:numPr>
                    <w:shd w:val="clear" w:color="auto" w:fill="auto"/>
                    <w:tabs>
                      <w:tab w:val="clear" w:pos="360"/>
                    </w:tabs>
                    <w:kinsoku/>
                    <w:wordWrap/>
                    <w:overflowPunct/>
                    <w:topLinePunct w:val="0"/>
                    <w:autoSpaceDE/>
                    <w:autoSpaceDN/>
                    <w:bidi w:val="0"/>
                    <w:spacing w:line="360" w:lineRule="exact"/>
                    <w:ind w:leftChars="0" w:right="0" w:rightChars="0" w:firstLine="210" w:firstLineChars="100"/>
                    <w:jc w:val="both"/>
                    <w:textAlignment w:val="auto"/>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pPr>
                  <w:r>
                    <w:rPr>
                      <w:rFonts w:hint="default" w:ascii="Times New Roman" w:hAnsi="Times New Roman" w:eastAsia="宋体" w:cs="Times New Roman"/>
                      <w:b w:val="0"/>
                      <w:caps w:val="0"/>
                      <w:smallCaps w:val="0"/>
                      <w:color w:val="000000" w:themeColor="text1"/>
                      <w:sz w:val="21"/>
                      <w:szCs w:val="21"/>
                      <w:highlight w:val="none"/>
                      <w14:textFill>
                        <w14:solidFill>
                          <w14:schemeClr w14:val="tx1"/>
                        </w14:solidFill>
                      </w14:textFill>
                    </w:rPr>
                    <w:t>等效黏土防渗层Mb≥1.5m，K≤1×10</w:t>
                  </w:r>
                  <w:r>
                    <w:rPr>
                      <w:rFonts w:hint="eastAsia" w:cs="Times New Roman"/>
                      <w:b w:val="0"/>
                      <w:caps w:val="0"/>
                      <w:smallCaps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caps w:val="0"/>
                      <w:smallCaps w:val="0"/>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b w:val="0"/>
                      <w:caps w:val="0"/>
                      <w:smallCaps w:val="0"/>
                      <w:color w:val="000000" w:themeColor="text1"/>
                      <w:sz w:val="21"/>
                      <w:szCs w:val="21"/>
                      <w:highlight w:val="none"/>
                      <w14:textFill>
                        <w14:solidFill>
                          <w14:schemeClr w14:val="tx1"/>
                        </w14:solidFill>
                      </w14:textFill>
                    </w:rPr>
                    <w:t>cm/s，或参考GB16889执行</w:t>
                  </w:r>
                </w:p>
              </w:tc>
            </w:tr>
            <w:tr w14:paraId="6CA8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left w:val="nil"/>
                    <w:bottom w:val="single" w:color="000000" w:sz="12" w:space="0"/>
                  </w:tcBorders>
                  <w:shd w:val="clear" w:color="auto" w:fill="FFFFFF"/>
                  <w:noWrap w:val="0"/>
                  <w:vAlign w:val="center"/>
                </w:tcPr>
                <w:p w14:paraId="074B48AD">
                  <w:pPr>
                    <w:pStyle w:val="200"/>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简单防渗区</w:t>
                  </w:r>
                </w:p>
              </w:tc>
              <w:tc>
                <w:tcPr>
                  <w:tcW w:w="4591" w:type="dxa"/>
                  <w:tcBorders>
                    <w:bottom w:val="single" w:color="000000" w:sz="12" w:space="0"/>
                  </w:tcBorders>
                  <w:shd w:val="clear" w:color="auto" w:fill="FFFFFF"/>
                  <w:noWrap w:val="0"/>
                  <w:vAlign w:val="center"/>
                </w:tcPr>
                <w:p w14:paraId="374E0F6A">
                  <w:pPr>
                    <w:pStyle w:val="200"/>
                    <w:keepNext w:val="0"/>
                    <w:keepLines w:val="0"/>
                    <w:pageBreakBefore w:val="0"/>
                    <w:widowControl w:val="0"/>
                    <w:kinsoku/>
                    <w:wordWrap/>
                    <w:overflowPunct/>
                    <w:topLinePunct w:val="0"/>
                    <w:autoSpaceDE/>
                    <w:autoSpaceDN/>
                    <w:bidi w:val="0"/>
                    <w:adjustRightInd w:val="0"/>
                    <w:snapToGrid w:val="0"/>
                    <w:spacing w:line="360" w:lineRule="exact"/>
                    <w:ind w:firstLine="210" w:firstLineChars="100"/>
                    <w:textAlignment w:val="auto"/>
                    <w:rPr>
                      <w:rFonts w:hint="default"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pPr>
                  <w:r>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t>厂区其他区域进行水泥硬化</w:t>
                  </w:r>
                </w:p>
              </w:tc>
              <w:tc>
                <w:tcPr>
                  <w:tcW w:w="3932" w:type="dxa"/>
                  <w:tcBorders>
                    <w:bottom w:val="single" w:color="000000" w:sz="12" w:space="0"/>
                    <w:right w:val="nil"/>
                  </w:tcBorders>
                  <w:shd w:val="clear" w:color="auto" w:fill="FFFFFF"/>
                  <w:noWrap w:val="0"/>
                  <w:vAlign w:val="center"/>
                </w:tcPr>
                <w:p w14:paraId="60DF99E0">
                  <w:pPr>
                    <w:pStyle w:val="12"/>
                    <w:keepNext w:val="0"/>
                    <w:keepLines w:val="0"/>
                    <w:pageBreakBefore w:val="0"/>
                    <w:widowControl w:val="0"/>
                    <w:numPr>
                      <w:ilvl w:val="0"/>
                      <w:numId w:val="0"/>
                    </w:numPr>
                    <w:shd w:val="clear" w:color="auto" w:fill="auto"/>
                    <w:tabs>
                      <w:tab w:val="clear" w:pos="360"/>
                    </w:tabs>
                    <w:kinsoku/>
                    <w:wordWrap/>
                    <w:overflowPunct/>
                    <w:topLinePunct w:val="0"/>
                    <w:autoSpaceDE/>
                    <w:autoSpaceDN/>
                    <w:bidi w:val="0"/>
                    <w:spacing w:line="360" w:lineRule="exact"/>
                    <w:ind w:leftChars="0" w:right="0" w:rightChars="0"/>
                    <w:jc w:val="center"/>
                    <w:textAlignment w:val="auto"/>
                    <w:rPr>
                      <w:rFonts w:hint="eastAsia" w:ascii="Times New Roman" w:hAnsi="Times New Roman" w:eastAsia="宋体"/>
                      <w:b w:val="0"/>
                      <w:caps w:val="0"/>
                      <w:smallCaps w:val="0"/>
                      <w:color w:val="000000" w:themeColor="text1"/>
                      <w:sz w:val="21"/>
                      <w:szCs w:val="21"/>
                      <w:highlight w:val="none"/>
                      <w:lang w:val="en-US" w:bidi="zh-CN"/>
                      <w14:textFill>
                        <w14:solidFill>
                          <w14:schemeClr w14:val="tx1"/>
                        </w14:solidFill>
                      </w14:textFill>
                    </w:rPr>
                  </w:pPr>
                  <w:r>
                    <w:rPr>
                      <w:rFonts w:hint="default" w:ascii="Times New Roman" w:hAnsi="Times New Roman" w:eastAsia="宋体" w:cs="Times New Roman"/>
                      <w:b w:val="0"/>
                      <w:caps w:val="0"/>
                      <w:smallCaps w:val="0"/>
                      <w:color w:val="000000" w:themeColor="text1"/>
                      <w:sz w:val="21"/>
                      <w:szCs w:val="21"/>
                      <w:highlight w:val="none"/>
                      <w14:textFill>
                        <w14:solidFill>
                          <w14:schemeClr w14:val="tx1"/>
                        </w14:solidFill>
                      </w14:textFill>
                    </w:rPr>
                    <w:t>一般地面硬化</w:t>
                  </w:r>
                </w:p>
              </w:tc>
            </w:tr>
          </w:tbl>
          <w:p w14:paraId="1689C64D">
            <w:pPr>
              <w:pStyle w:val="200"/>
              <w:spacing w:line="360" w:lineRule="auto"/>
              <w:ind w:firstLine="480"/>
              <w:rPr>
                <w:rFonts w:hint="eastAsia" w:ascii="Times New Roman" w:hAnsi="Times New Roman" w:eastAsia="宋体"/>
                <w:iCs/>
                <w:color w:val="000000" w:themeColor="text1"/>
                <w:kern w:val="2"/>
                <w:sz w:val="24"/>
                <w:szCs w:val="24"/>
                <w:highlight w:val="none"/>
                <w:lang w:bidi="zh-CN"/>
                <w14:textFill>
                  <w14:solidFill>
                    <w14:schemeClr w14:val="tx1"/>
                  </w14:solidFill>
                </w14:textFill>
              </w:rPr>
            </w:pPr>
            <w:r>
              <w:rPr>
                <w:rFonts w:hint="eastAsia" w:ascii="Times New Roman" w:hAnsi="Times New Roman" w:eastAsia="宋体"/>
                <w:iCs/>
                <w:color w:val="000000" w:themeColor="text1"/>
                <w:kern w:val="2"/>
                <w:sz w:val="24"/>
                <w:szCs w:val="24"/>
                <w:highlight w:val="none"/>
                <w:lang w:bidi="zh-CN"/>
                <w14:textFill>
                  <w14:solidFill>
                    <w14:schemeClr w14:val="tx1"/>
                  </w14:solidFill>
                </w14:textFill>
              </w:rPr>
              <w:t>由污染途径及对应措施分析可知，项目对可能产生地下水、土壤影响的各项途径均进行有效预防，在确保各项防渗措施得以落实，并加强环境管理的前提下，可有效防治地下水和土壤环境受到污染。</w:t>
            </w:r>
          </w:p>
          <w:p w14:paraId="3287A407">
            <w:pPr>
              <w:pStyle w:val="249"/>
              <w:spacing w:line="360" w:lineRule="auto"/>
              <w:ind w:left="0" w:leftChars="0" w:firstLine="0" w:firstLineChars="0"/>
              <w:rPr>
                <w:rFonts w:ascii="Times New Roman" w:hAnsi="Times New Roman" w:eastAsia="宋体"/>
                <w:color w:val="000000" w:themeColor="text1"/>
                <w:szCs w:val="24"/>
                <w:highlight w:val="none"/>
                <w14:textFill>
                  <w14:solidFill>
                    <w14:schemeClr w14:val="tx1"/>
                  </w14:solidFill>
                </w14:textFill>
              </w:rPr>
            </w:pP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lang w:val="en-US" w:eastAsia="zh-CN"/>
                <w14:textFill>
                  <w14:solidFill>
                    <w14:schemeClr w14:val="tx1"/>
                  </w14:solidFill>
                </w14:textFill>
              </w:rPr>
              <w:t>六</w:t>
            </w:r>
            <w:r>
              <w:rPr>
                <w:rFonts w:hint="eastAsia" w:ascii="Times New Roman" w:hAnsi="Times New Roman" w:eastAsia="宋体"/>
                <w:color w:val="000000" w:themeColor="text1"/>
                <w:szCs w:val="24"/>
                <w:highlight w:val="none"/>
                <w:lang w:eastAsia="zh-CN"/>
                <w14:textFill>
                  <w14:solidFill>
                    <w14:schemeClr w14:val="tx1"/>
                  </w14:solidFill>
                </w14:textFill>
              </w:rPr>
              <w:t>）</w:t>
            </w:r>
            <w:r>
              <w:rPr>
                <w:rFonts w:hint="eastAsia" w:ascii="Times New Roman" w:hAnsi="Times New Roman" w:eastAsia="宋体"/>
                <w:color w:val="000000" w:themeColor="text1"/>
                <w:szCs w:val="24"/>
                <w:highlight w:val="none"/>
                <w14:textFill>
                  <w14:solidFill>
                    <w14:schemeClr w14:val="tx1"/>
                  </w14:solidFill>
                </w14:textFill>
              </w:rPr>
              <w:t>生态</w:t>
            </w:r>
          </w:p>
          <w:p w14:paraId="27C8AA53">
            <w:pPr>
              <w:pStyle w:val="200"/>
              <w:spacing w:line="360" w:lineRule="auto"/>
              <w:ind w:firstLine="480"/>
              <w:rPr>
                <w:rFonts w:hint="eastAsia" w:ascii="Times New Roman" w:hAnsi="Times New Roman" w:eastAsia="宋体"/>
                <w:color w:val="000000" w:themeColor="text1"/>
                <w:sz w:val="24"/>
                <w:szCs w:val="24"/>
                <w:highlight w:val="none"/>
                <w14:textFill>
                  <w14:solidFill>
                    <w14:schemeClr w14:val="tx1"/>
                  </w14:solidFill>
                </w14:textFill>
              </w:rPr>
            </w:pPr>
            <w:r>
              <w:rPr>
                <w:rFonts w:hint="eastAsia" w:ascii="Times New Roman" w:hAnsi="Times New Roman" w:eastAsia="宋体"/>
                <w:color w:val="000000" w:themeColor="text1"/>
                <w:sz w:val="24"/>
                <w:szCs w:val="24"/>
                <w:highlight w:val="none"/>
                <w:lang w:val="en-US" w:eastAsia="zh-CN"/>
                <w14:textFill>
                  <w14:solidFill>
                    <w14:schemeClr w14:val="tx1"/>
                  </w14:solidFill>
                </w14:textFill>
              </w:rPr>
              <w:t>根据调查，本项目用地范围内无生态环境保护目标，按照《建设项目环境影响报告表编制技术指南（污染影响类）（试行）》要求，无需分析生态影响和提出生态保护措施</w:t>
            </w:r>
            <w:r>
              <w:rPr>
                <w:rFonts w:hint="eastAsia" w:ascii="Times New Roman" w:hAnsi="Times New Roman" w:eastAsia="宋体"/>
                <w:color w:val="000000" w:themeColor="text1"/>
                <w:sz w:val="24"/>
                <w:szCs w:val="24"/>
                <w:highlight w:val="none"/>
                <w14:textFill>
                  <w14:solidFill>
                    <w14:schemeClr w14:val="tx1"/>
                  </w14:solidFill>
                </w14:textFill>
              </w:rPr>
              <w:t>。</w:t>
            </w:r>
          </w:p>
          <w:p w14:paraId="7C307703">
            <w:pPr>
              <w:pStyle w:val="249"/>
              <w:spacing w:line="360" w:lineRule="auto"/>
              <w:ind w:left="0" w:leftChars="0" w:firstLine="0" w:firstLineChars="0"/>
              <w:rPr>
                <w:rFonts w:hint="eastAsia" w:ascii="Times New Roman" w:hAnsi="Times New Roman" w:eastAsia="宋体" w:cs="Times New Roman"/>
                <w:color w:val="000000" w:themeColor="text1"/>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七</w:t>
            </w:r>
            <w:r>
              <w:rPr>
                <w:rFonts w:hint="eastAsia" w:ascii="Times New Roman" w:hAnsi="Times New Roman" w:eastAsia="宋体" w:cs="Times New Roman"/>
                <w:color w:val="000000" w:themeColor="text1"/>
                <w:szCs w:val="24"/>
                <w:highlight w:val="none"/>
                <w:lang w:eastAsia="zh-CN"/>
                <w14:textFill>
                  <w14:solidFill>
                    <w14:schemeClr w14:val="tx1"/>
                  </w14:solidFill>
                </w14:textFill>
              </w:rPr>
              <w:t>）环境风险</w:t>
            </w:r>
          </w:p>
          <w:p w14:paraId="4EDAD93D">
            <w:pPr>
              <w:ind w:firstLine="482"/>
              <w:rPr>
                <w:rFonts w:hint="eastAsia" w:eastAsia="宋体"/>
                <w:b/>
                <w:bCs/>
                <w:color w:val="000000" w:themeColor="text1"/>
                <w:lang w:eastAsia="zh-CN"/>
                <w14:textFill>
                  <w14:solidFill>
                    <w14:schemeClr w14:val="tx1"/>
                  </w14:solidFill>
                </w14:textFill>
              </w:rPr>
            </w:pPr>
            <w:bookmarkStart w:id="4" w:name="bookmark139"/>
            <w:r>
              <w:rPr>
                <w:rFonts w:hint="eastAsia"/>
                <w:b/>
                <w:bCs/>
                <w:color w:val="000000" w:themeColor="text1"/>
                <w14:textFill>
                  <w14:solidFill>
                    <w14:schemeClr w14:val="tx1"/>
                  </w14:solidFill>
                </w14:textFill>
              </w:rPr>
              <w:t>（1）环境风险</w:t>
            </w:r>
            <w:r>
              <w:rPr>
                <w:rFonts w:hint="eastAsia"/>
                <w:b/>
                <w:bCs/>
                <w:color w:val="000000" w:themeColor="text1"/>
                <w:lang w:val="en-US" w:eastAsia="zh-CN"/>
                <w14:textFill>
                  <w14:solidFill>
                    <w14:schemeClr w14:val="tx1"/>
                  </w14:solidFill>
                </w14:textFill>
              </w:rPr>
              <w:t>调查</w:t>
            </w:r>
          </w:p>
          <w:p w14:paraId="5C8DB915">
            <w:pPr>
              <w:keepNext w:val="0"/>
              <w:keepLines w:val="0"/>
              <w:widowControl/>
              <w:suppressLineNumbers w:val="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通过对全厂原辅材料、燃料、中间产品、副产品、最终产品、污染物、火灾和爆炸伴生</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宋体" w:hAnsi="宋体" w:eastAsia="宋体" w:cs="宋体"/>
                <w:color w:val="000000" w:themeColor="text1"/>
                <w:kern w:val="0"/>
                <w:sz w:val="24"/>
                <w:szCs w:val="24"/>
                <w:lang w:val="en-US" w:eastAsia="zh-CN" w:bidi="ar"/>
                <w14:textFill>
                  <w14:solidFill>
                    <w14:schemeClr w14:val="tx1"/>
                  </w14:solidFill>
                </w14:textFill>
              </w:rPr>
              <w:t>次生物等进行识别分析，</w:t>
            </w:r>
            <w:r>
              <w:rPr>
                <w:rFonts w:hint="eastAsia" w:ascii="宋体" w:hAnsi="宋体" w:cs="宋体"/>
                <w:color w:val="000000" w:themeColor="text1"/>
                <w:kern w:val="0"/>
                <w:sz w:val="24"/>
                <w:szCs w:val="24"/>
                <w:lang w:val="en-US" w:eastAsia="zh-CN" w:bidi="ar"/>
                <w14:textFill>
                  <w14:solidFill>
                    <w14:schemeClr w14:val="tx1"/>
                  </w14:solidFill>
                </w14:textFill>
              </w:rPr>
              <w:t>涉及</w:t>
            </w:r>
            <w:r>
              <w:rPr>
                <w:rFonts w:hint="eastAsia" w:ascii="宋体" w:hAnsi="宋体" w:eastAsia="宋体" w:cs="宋体"/>
                <w:color w:val="000000" w:themeColor="text1"/>
                <w:kern w:val="0"/>
                <w:sz w:val="24"/>
                <w:szCs w:val="24"/>
                <w:lang w:val="en-US" w:eastAsia="zh-CN" w:bidi="ar"/>
                <w14:textFill>
                  <w14:solidFill>
                    <w14:schemeClr w14:val="tx1"/>
                  </w14:solidFill>
                </w14:textFill>
              </w:rPr>
              <w:t>的危险物质主要为润滑油、废</w:t>
            </w:r>
            <w:r>
              <w:rPr>
                <w:rFonts w:hint="eastAsia" w:ascii="宋体" w:hAnsi="宋体" w:cs="宋体"/>
                <w:color w:val="000000" w:themeColor="text1"/>
                <w:kern w:val="0"/>
                <w:sz w:val="24"/>
                <w:szCs w:val="24"/>
                <w:lang w:val="en-US" w:eastAsia="zh-CN" w:bidi="ar"/>
                <w14:textFill>
                  <w14:solidFill>
                    <w14:schemeClr w14:val="tx1"/>
                  </w14:solidFill>
                </w14:textFill>
              </w:rPr>
              <w:t>润滑油和机械车辆中的柴油</w:t>
            </w:r>
            <w:r>
              <w:rPr>
                <w:rFonts w:hint="eastAsia" w:ascii="宋体" w:hAnsi="宋体" w:eastAsia="宋体" w:cs="宋体"/>
                <w:color w:val="000000" w:themeColor="text1"/>
                <w:kern w:val="0"/>
                <w:sz w:val="24"/>
                <w:szCs w:val="24"/>
                <w:lang w:val="en-US" w:eastAsia="zh-CN" w:bidi="ar"/>
                <w14:textFill>
                  <w14:solidFill>
                    <w14:schemeClr w14:val="tx1"/>
                  </w14:solidFill>
                </w14:textFill>
              </w:rPr>
              <w:t>等危险废物。</w:t>
            </w:r>
          </w:p>
          <w:p w14:paraId="668BAC75">
            <w:pPr>
              <w:keepNext w:val="0"/>
              <w:keepLines w:val="0"/>
              <w:widowControl/>
              <w:suppressLineNumbers w:val="0"/>
              <w:jc w:val="left"/>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风险潜势初判：依据《建设项目环境风险评价技术导则》（</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HJ 169-2018</w:t>
            </w:r>
            <w:r>
              <w:rPr>
                <w:rFonts w:hint="eastAsia" w:ascii="宋体" w:hAnsi="宋体" w:eastAsia="宋体" w:cs="宋体"/>
                <w:color w:val="000000" w:themeColor="text1"/>
                <w:kern w:val="0"/>
                <w:sz w:val="24"/>
                <w:szCs w:val="24"/>
                <w:lang w:val="en-US" w:eastAsia="zh-CN" w:bidi="ar"/>
                <w14:textFill>
                  <w14:solidFill>
                    <w14:schemeClr w14:val="tx1"/>
                  </w14:solidFill>
                </w14:textFill>
              </w:rPr>
              <w:t>），计算所涉及的每种危险物质在厂界内的最大存在总量与其在《建设项目环境风险评价技术导则》（</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HJ 169-2018</w:t>
            </w:r>
            <w:r>
              <w:rPr>
                <w:rFonts w:hint="eastAsia" w:ascii="宋体" w:hAnsi="宋体" w:eastAsia="宋体" w:cs="宋体"/>
                <w:color w:val="000000" w:themeColor="text1"/>
                <w:kern w:val="0"/>
                <w:sz w:val="24"/>
                <w:szCs w:val="24"/>
                <w:lang w:val="en-US" w:eastAsia="zh-CN" w:bidi="ar"/>
                <w14:textFill>
                  <w14:solidFill>
                    <w14:schemeClr w14:val="tx1"/>
                  </w14:solidFill>
                </w14:textFill>
              </w:rPr>
              <w:t>）附录</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B</w:t>
            </w:r>
            <w:r>
              <w:rPr>
                <w:rFonts w:hint="eastAsia" w:ascii="宋体" w:hAnsi="宋体" w:eastAsia="宋体" w:cs="宋体"/>
                <w:color w:val="000000" w:themeColor="text1"/>
                <w:kern w:val="0"/>
                <w:sz w:val="24"/>
                <w:szCs w:val="24"/>
                <w:lang w:val="en-US" w:eastAsia="zh-CN" w:bidi="ar"/>
                <w14:textFill>
                  <w14:solidFill>
                    <w14:schemeClr w14:val="tx1"/>
                  </w14:solidFill>
                </w14:textFill>
              </w:rPr>
              <w:t>中对应临界量的比值</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Q</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p>
          <w:p w14:paraId="62A35FA7">
            <w:pPr>
              <w:keepNext w:val="0"/>
              <w:keepLines w:val="0"/>
              <w:widowControl/>
              <w:suppressLineNumbers w:val="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在不同厂区的同一种物质，按其在厂界内的最大存在总量计算。</w:t>
            </w:r>
          </w:p>
          <w:bookmarkEnd w:id="4"/>
          <w:p w14:paraId="0AD41F2B">
            <w:pPr>
              <w:keepNext w:val="0"/>
              <w:keepLines w:val="0"/>
              <w:pageBreakBefore w:val="0"/>
              <w:kinsoku/>
              <w:wordWrap/>
              <w:overflowPunct/>
              <w:topLinePunct w:val="0"/>
              <w:autoSpaceDE/>
              <w:autoSpaceDN/>
              <w:bidi w:val="0"/>
              <w:ind w:left="0" w:leftChars="0" w:firstLine="480"/>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drawing>
                <wp:anchor distT="0" distB="0" distL="114300" distR="114300" simplePos="0" relativeHeight="251662336" behindDoc="0" locked="0" layoutInCell="1" allowOverlap="1">
                  <wp:simplePos x="0" y="0"/>
                  <wp:positionH relativeFrom="column">
                    <wp:posOffset>1943735</wp:posOffset>
                  </wp:positionH>
                  <wp:positionV relativeFrom="paragraph">
                    <wp:posOffset>501015</wp:posOffset>
                  </wp:positionV>
                  <wp:extent cx="1461135" cy="448945"/>
                  <wp:effectExtent l="0" t="0" r="0" b="0"/>
                  <wp:wrapNone/>
                  <wp:docPr id="9" name="Object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ject 458"/>
                          <pic:cNvPicPr>
                            <a:picLocks noChangeAspect="1"/>
                          </pic:cNvPicPr>
                        </pic:nvPicPr>
                        <pic:blipFill>
                          <a:blip r:embed="rId29"/>
                          <a:stretch>
                            <a:fillRect/>
                          </a:stretch>
                        </pic:blipFill>
                        <pic:spPr>
                          <a:xfrm>
                            <a:off x="0" y="0"/>
                            <a:ext cx="1461135" cy="448945"/>
                          </a:xfrm>
                          <a:prstGeom prst="rect">
                            <a:avLst/>
                          </a:prstGeom>
                          <a:noFill/>
                          <a:ln w="9525">
                            <a:noFill/>
                          </a:ln>
                        </pic:spPr>
                      </pic:pic>
                    </a:graphicData>
                  </a:graphic>
                </wp:anchor>
              </w:drawing>
            </w:r>
            <w:r>
              <w:rPr>
                <w:rFonts w:hint="default" w:ascii="Times New Roman" w:hAnsi="Times New Roman" w:cs="Times New Roman"/>
                <w:color w:val="000000" w:themeColor="text1"/>
                <w:position w:val="0"/>
                <w:sz w:val="24"/>
                <w:szCs w:val="24"/>
                <w14:textFill>
                  <w14:solidFill>
                    <w14:schemeClr w14:val="tx1"/>
                  </w14:solidFill>
                </w14:textFill>
              </w:rPr>
              <w:t>当只涉及一种危险物质时，计算该物质的总量与其临界量比值，即为Q；当存在多种危险物质时，则按下式计算物质总量与其临界量比值（Q）。</w:t>
            </w:r>
          </w:p>
          <w:p w14:paraId="050E4685">
            <w:pPr>
              <w:pStyle w:val="3"/>
              <w:rPr>
                <w:rFonts w:hint="eastAsia" w:eastAsia="宋体"/>
                <w:color w:val="000000" w:themeColor="text1"/>
                <w:lang w:eastAsia="zh-CN"/>
                <w14:textFill>
                  <w14:solidFill>
                    <w14:schemeClr w14:val="tx1"/>
                  </w14:solidFill>
                </w14:textFill>
              </w:rPr>
            </w:pPr>
          </w:p>
          <w:p w14:paraId="1B5BF95C">
            <w:pPr>
              <w:ind w:left="0" w:leftChars="0" w:firstLine="0" w:firstLineChars="0"/>
              <w:rPr>
                <w:rFonts w:hint="eastAsia"/>
                <w:color w:val="000000" w:themeColor="text1"/>
                <w:lang w:eastAsia="zh-CN"/>
                <w14:textFill>
                  <w14:solidFill>
                    <w14:schemeClr w14:val="tx1"/>
                  </w14:solidFill>
                </w14:textFill>
              </w:rPr>
            </w:pPr>
          </w:p>
          <w:p w14:paraId="06BC7B35">
            <w:pPr>
              <w:keepNext w:val="0"/>
              <w:keepLines w:val="0"/>
              <w:pageBreakBefore w:val="0"/>
              <w:kinsoku/>
              <w:wordWrap/>
              <w:overflowPunct/>
              <w:topLinePunct w:val="0"/>
              <w:autoSpaceDE/>
              <w:autoSpaceDN/>
              <w:bidi w:val="0"/>
              <w:snapToGrid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式中：q1、q2、…/qn——每种风险物质的存在量，t；</w:t>
            </w:r>
          </w:p>
          <w:p w14:paraId="07CF57C8">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Q1、Q2、…、Qn——每种风险物质的临界量，t。</w:t>
            </w:r>
          </w:p>
          <w:p w14:paraId="3867379F">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当Q＜1时，该项目环境风险潜势为Ⅰ。</w:t>
            </w:r>
          </w:p>
          <w:p w14:paraId="6ACDAFCB">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当Q≥1时，将Q值划分为：（1）1≤Q＜10；（2）10≤Q＜100；（3）Q≥100。</w:t>
            </w:r>
          </w:p>
          <w:p w14:paraId="668AA49B">
            <w:pPr>
              <w:keepNext w:val="0"/>
              <w:keepLines w:val="0"/>
              <w:widowControl/>
              <w:suppressLineNumbers w:val="0"/>
              <w:jc w:val="left"/>
              <w:rPr>
                <w:rFonts w:hint="eastAsia" w:ascii="Times New Roman" w:hAnsi="Times New Roman" w:eastAsia="宋体" w:cs="Times New Roman"/>
                <w:b/>
                <w:bCs w:val="0"/>
                <w:color w:val="000000" w:themeColor="text1"/>
                <w:sz w:val="24"/>
                <w:szCs w:val="20"/>
                <w:lang w:val="en-US" w:eastAsia="zh-CN"/>
                <w14:textFill>
                  <w14:solidFill>
                    <w14:schemeClr w14:val="tx1"/>
                  </w14:solidFill>
                </w14:textFill>
              </w:rPr>
            </w:pPr>
            <w:bookmarkStart w:id="5" w:name="bookmark140"/>
            <w:bookmarkEnd w:id="5"/>
            <w:r>
              <w:rPr>
                <w:rFonts w:hint="eastAsia" w:ascii="宋体" w:hAnsi="宋体" w:eastAsia="宋体" w:cs="宋体"/>
                <w:color w:val="000000" w:themeColor="text1"/>
                <w:kern w:val="0"/>
                <w:sz w:val="24"/>
                <w:szCs w:val="24"/>
                <w:lang w:val="en-US" w:eastAsia="zh-CN" w:bidi="ar"/>
                <w14:textFill>
                  <w14:solidFill>
                    <w14:schemeClr w14:val="tx1"/>
                  </w14:solidFill>
                </w14:textFill>
              </w:rPr>
              <w:t>通过对本项目所涉及的危险物质梳理，得出本项目风险物质</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Q</w:t>
            </w:r>
            <w:r>
              <w:rPr>
                <w:rFonts w:hint="eastAsia" w:ascii="宋体" w:hAnsi="宋体" w:eastAsia="宋体" w:cs="宋体"/>
                <w:color w:val="000000" w:themeColor="text1"/>
                <w:kern w:val="0"/>
                <w:sz w:val="24"/>
                <w:szCs w:val="24"/>
                <w:lang w:val="en-US" w:eastAsia="zh-CN" w:bidi="ar"/>
                <w14:textFill>
                  <w14:solidFill>
                    <w14:schemeClr w14:val="tx1"/>
                  </w14:solidFill>
                </w14:textFill>
              </w:rPr>
              <w:t>值见表</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4-</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1</w:t>
            </w:r>
            <w:r>
              <w:rPr>
                <w:rFonts w:hint="eastAsia" w:cs="Times New Roman"/>
                <w:color w:val="000000" w:themeColor="text1"/>
                <w:kern w:val="0"/>
                <w:sz w:val="24"/>
                <w:szCs w:val="24"/>
                <w:lang w:val="en-US" w:eastAsia="zh-CN" w:bidi="ar"/>
                <w14:textFill>
                  <w14:solidFill>
                    <w14:schemeClr w14:val="tx1"/>
                  </w14:solidFill>
                </w14:textFill>
              </w:rPr>
              <w:t>6</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p>
          <w:p w14:paraId="2247E76D">
            <w:pPr>
              <w:tabs>
                <w:tab w:val="left" w:pos="2395"/>
              </w:tabs>
              <w:spacing w:line="240" w:lineRule="auto"/>
              <w:jc w:val="cente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表4-1</w:t>
            </w:r>
            <w:r>
              <w:rPr>
                <w:rFonts w:hint="eastAsia" w:cs="Times New Roman"/>
                <w:b/>
                <w:bCs w:val="0"/>
                <w:color w:val="000000" w:themeColor="text1"/>
                <w:sz w:val="21"/>
                <w:szCs w:val="21"/>
                <w:lang w:val="en-US" w:eastAsia="zh-CN"/>
                <w14:textFill>
                  <w14:solidFill>
                    <w14:schemeClr w14:val="tx1"/>
                  </w14:solidFill>
                </w14:textFill>
              </w:rPr>
              <w:t>6</w:t>
            </w: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 xml:space="preserve">   环境风险物质最大储存量和临界量</w:t>
            </w:r>
          </w:p>
          <w:tbl>
            <w:tblPr>
              <w:tblStyle w:val="42"/>
              <w:tblW w:w="4997" w:type="pct"/>
              <w:jc w:val="center"/>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686"/>
              <w:gridCol w:w="2618"/>
              <w:gridCol w:w="1952"/>
              <w:gridCol w:w="3302"/>
            </w:tblGrid>
            <w:tr w14:paraId="74650E5A">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3" w:hRule="atLeast"/>
                <w:jc w:val="center"/>
              </w:trPr>
              <w:tc>
                <w:tcPr>
                  <w:tcW w:w="882" w:type="pct"/>
                  <w:tcBorders>
                    <w:top w:val="single" w:color="000000" w:sz="12" w:space="0"/>
                    <w:tl2br w:val="nil"/>
                    <w:tr2bl w:val="nil"/>
                  </w:tcBorders>
                  <w:shd w:val="clear" w:color="auto" w:fill="FFFFFF"/>
                  <w:noWrap w:val="0"/>
                  <w:vAlign w:val="center"/>
                </w:tcPr>
                <w:p w14:paraId="3AF65F4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风险物质</w:t>
                  </w:r>
                </w:p>
              </w:tc>
              <w:tc>
                <w:tcPr>
                  <w:tcW w:w="1369" w:type="pct"/>
                  <w:tcBorders>
                    <w:top w:val="single" w:color="000000" w:sz="12" w:space="0"/>
                    <w:tl2br w:val="nil"/>
                    <w:tr2bl w:val="nil"/>
                  </w:tcBorders>
                  <w:shd w:val="clear" w:color="auto" w:fill="FFFFFF"/>
                  <w:noWrap w:val="0"/>
                  <w:vAlign w:val="center"/>
                </w:tcPr>
                <w:p w14:paraId="490C1EF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最大存储量（t）</w:t>
                  </w:r>
                </w:p>
              </w:tc>
              <w:tc>
                <w:tcPr>
                  <w:tcW w:w="1021" w:type="pct"/>
                  <w:tcBorders>
                    <w:top w:val="single" w:color="000000" w:sz="12" w:space="0"/>
                    <w:tl2br w:val="nil"/>
                    <w:tr2bl w:val="nil"/>
                  </w:tcBorders>
                  <w:shd w:val="clear" w:color="auto" w:fill="FFFFFF"/>
                  <w:noWrap w:val="0"/>
                  <w:vAlign w:val="center"/>
                </w:tcPr>
                <w:p w14:paraId="32CB149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临界量</w:t>
                  </w:r>
                </w:p>
                <w:p w14:paraId="3A78191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t</w:t>
                  </w:r>
                  <w:r>
                    <w:rPr>
                      <w:rFonts w:hint="eastAsia" w:cs="Times New Roman"/>
                      <w:b w:val="0"/>
                      <w:bCs/>
                      <w:color w:val="000000" w:themeColor="text1"/>
                      <w:sz w:val="21"/>
                      <w:szCs w:val="21"/>
                      <w:lang w:val="en-US" w:eastAsia="zh-CN"/>
                      <w14:textFill>
                        <w14:solidFill>
                          <w14:schemeClr w14:val="tx1"/>
                        </w14:solidFill>
                      </w14:textFill>
                    </w:rPr>
                    <w:t>)</w:t>
                  </w:r>
                </w:p>
              </w:tc>
              <w:tc>
                <w:tcPr>
                  <w:tcW w:w="1727" w:type="pct"/>
                  <w:tcBorders>
                    <w:top w:val="single" w:color="000000" w:sz="12" w:space="0"/>
                    <w:tl2br w:val="nil"/>
                    <w:tr2bl w:val="nil"/>
                  </w:tcBorders>
                  <w:shd w:val="clear" w:color="auto" w:fill="FFFFFF"/>
                  <w:noWrap w:val="0"/>
                  <w:vAlign w:val="center"/>
                </w:tcPr>
                <w:p w14:paraId="1075E35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最大存在量与临界量比值</w:t>
                  </w:r>
                </w:p>
              </w:tc>
            </w:tr>
            <w:tr w14:paraId="27F742B9">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882" w:type="pct"/>
                  <w:tcBorders>
                    <w:tl2br w:val="nil"/>
                    <w:tr2bl w:val="nil"/>
                  </w:tcBorders>
                  <w:shd w:val="clear" w:color="auto" w:fill="FFFFFF"/>
                  <w:noWrap w:val="0"/>
                  <w:vAlign w:val="center"/>
                </w:tcPr>
                <w:p w14:paraId="7814841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润滑油</w:t>
                  </w:r>
                </w:p>
              </w:tc>
              <w:tc>
                <w:tcPr>
                  <w:tcW w:w="1369" w:type="pct"/>
                  <w:tcBorders>
                    <w:tl2br w:val="nil"/>
                    <w:tr2bl w:val="nil"/>
                  </w:tcBorders>
                  <w:shd w:val="clear" w:color="auto" w:fill="FFFFFF"/>
                  <w:noWrap w:val="0"/>
                  <w:vAlign w:val="center"/>
                </w:tcPr>
                <w:p w14:paraId="23A7A46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0.2</w:t>
                  </w:r>
                </w:p>
              </w:tc>
              <w:tc>
                <w:tcPr>
                  <w:tcW w:w="1021" w:type="pct"/>
                  <w:tcBorders>
                    <w:tl2br w:val="nil"/>
                    <w:tr2bl w:val="nil"/>
                  </w:tcBorders>
                  <w:shd w:val="clear" w:color="auto" w:fill="FFFFFF"/>
                  <w:noWrap w:val="0"/>
                  <w:vAlign w:val="center"/>
                </w:tcPr>
                <w:p w14:paraId="51B1651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2500</w:t>
                  </w:r>
                </w:p>
              </w:tc>
              <w:tc>
                <w:tcPr>
                  <w:tcW w:w="1727" w:type="pct"/>
                  <w:tcBorders>
                    <w:tl2br w:val="nil"/>
                    <w:tr2bl w:val="nil"/>
                  </w:tcBorders>
                  <w:shd w:val="clear" w:color="auto" w:fill="FFFFFF"/>
                  <w:noWrap w:val="0"/>
                  <w:vAlign w:val="center"/>
                </w:tcPr>
                <w:p w14:paraId="3E525BB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0.00008</w:t>
                  </w:r>
                </w:p>
              </w:tc>
            </w:tr>
            <w:tr w14:paraId="6742F3FF">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882" w:type="pct"/>
                  <w:tcBorders>
                    <w:tl2br w:val="nil"/>
                    <w:tr2bl w:val="nil"/>
                  </w:tcBorders>
                  <w:shd w:val="clear" w:color="auto" w:fill="FFFFFF"/>
                  <w:noWrap w:val="0"/>
                  <w:vAlign w:val="center"/>
                </w:tcPr>
                <w:p w14:paraId="53E77B8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废润滑油</w:t>
                  </w:r>
                </w:p>
              </w:tc>
              <w:tc>
                <w:tcPr>
                  <w:tcW w:w="1369" w:type="pct"/>
                  <w:tcBorders>
                    <w:tl2br w:val="nil"/>
                    <w:tr2bl w:val="nil"/>
                  </w:tcBorders>
                  <w:shd w:val="clear" w:color="auto" w:fill="FFFFFF"/>
                  <w:noWrap w:val="0"/>
                  <w:vAlign w:val="center"/>
                </w:tcPr>
                <w:p w14:paraId="4E2A419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0.</w:t>
                  </w:r>
                  <w:r>
                    <w:rPr>
                      <w:rFonts w:hint="eastAsia" w:ascii="Times New Roman" w:hAnsi="Times New Roman" w:cs="Times New Roman"/>
                      <w:b w:val="0"/>
                      <w:color w:val="000000" w:themeColor="text1"/>
                      <w:sz w:val="21"/>
                      <w:szCs w:val="21"/>
                      <w:lang w:val="en-US" w:eastAsia="zh-CN"/>
                      <w14:textFill>
                        <w14:solidFill>
                          <w14:schemeClr w14:val="tx1"/>
                        </w14:solidFill>
                      </w14:textFill>
                    </w:rPr>
                    <w:t>1</w:t>
                  </w:r>
                </w:p>
              </w:tc>
              <w:tc>
                <w:tcPr>
                  <w:tcW w:w="1021" w:type="pct"/>
                  <w:tcBorders>
                    <w:tl2br w:val="nil"/>
                    <w:tr2bl w:val="nil"/>
                  </w:tcBorders>
                  <w:shd w:val="clear" w:color="auto" w:fill="FFFFFF"/>
                  <w:noWrap w:val="0"/>
                  <w:vAlign w:val="center"/>
                </w:tcPr>
                <w:p w14:paraId="01C3032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2500</w:t>
                  </w:r>
                </w:p>
              </w:tc>
              <w:tc>
                <w:tcPr>
                  <w:tcW w:w="1727" w:type="pct"/>
                  <w:tcBorders>
                    <w:tl2br w:val="nil"/>
                    <w:tr2bl w:val="nil"/>
                  </w:tcBorders>
                  <w:shd w:val="clear" w:color="auto" w:fill="FFFFFF"/>
                  <w:noWrap w:val="0"/>
                  <w:vAlign w:val="center"/>
                </w:tcPr>
                <w:p w14:paraId="0D6E6BD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color w:val="000000" w:themeColor="text1"/>
                      <w:sz w:val="21"/>
                      <w:szCs w:val="21"/>
                      <w:lang w:val="en-US" w:eastAsia="zh-CN"/>
                      <w14:textFill>
                        <w14:solidFill>
                          <w14:schemeClr w14:val="tx1"/>
                        </w14:solidFill>
                      </w14:textFill>
                    </w:rPr>
                    <w:t>0.00004</w:t>
                  </w:r>
                </w:p>
              </w:tc>
            </w:tr>
            <w:tr w14:paraId="25F74910">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882" w:type="pct"/>
                  <w:tcBorders>
                    <w:tl2br w:val="nil"/>
                    <w:tr2bl w:val="nil"/>
                  </w:tcBorders>
                  <w:shd w:val="clear" w:color="auto" w:fill="FFFFFF"/>
                  <w:noWrap w:val="0"/>
                  <w:vAlign w:val="center"/>
                </w:tcPr>
                <w:p w14:paraId="341066E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废</w:t>
                  </w:r>
                  <w:r>
                    <w:rPr>
                      <w:rFonts w:hint="eastAsia" w:ascii="Times New Roman" w:hAnsi="Times New Roman" w:cs="Times New Roman"/>
                      <w:b w:val="0"/>
                      <w:bCs/>
                      <w:color w:val="000000" w:themeColor="text1"/>
                      <w:kern w:val="2"/>
                      <w:sz w:val="21"/>
                      <w:szCs w:val="21"/>
                      <w:lang w:val="en-US" w:eastAsia="zh-CN" w:bidi="ar-SA"/>
                      <w14:textFill>
                        <w14:solidFill>
                          <w14:schemeClr w14:val="tx1"/>
                        </w14:solidFill>
                      </w14:textFill>
                    </w:rPr>
                    <w:t>润滑油桶</w:t>
                  </w:r>
                </w:p>
              </w:tc>
              <w:tc>
                <w:tcPr>
                  <w:tcW w:w="1369" w:type="pct"/>
                  <w:tcBorders>
                    <w:tl2br w:val="nil"/>
                    <w:tr2bl w:val="nil"/>
                  </w:tcBorders>
                  <w:shd w:val="clear" w:color="auto" w:fill="FFFFFF"/>
                  <w:noWrap w:val="0"/>
                  <w:vAlign w:val="center"/>
                </w:tcPr>
                <w:p w14:paraId="35FF715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0.</w:t>
                  </w:r>
                  <w:r>
                    <w:rPr>
                      <w:rFonts w:hint="eastAsia" w:ascii="Times New Roman" w:hAnsi="Times New Roman" w:cs="Times New Roman"/>
                      <w:b w:val="0"/>
                      <w:color w:val="000000" w:themeColor="text1"/>
                      <w:sz w:val="21"/>
                      <w:szCs w:val="21"/>
                      <w:lang w:val="en-US" w:eastAsia="zh-CN"/>
                      <w14:textFill>
                        <w14:solidFill>
                          <w14:schemeClr w14:val="tx1"/>
                        </w14:solidFill>
                      </w14:textFill>
                    </w:rPr>
                    <w:t>1</w:t>
                  </w:r>
                </w:p>
              </w:tc>
              <w:tc>
                <w:tcPr>
                  <w:tcW w:w="1021" w:type="pct"/>
                  <w:tcBorders>
                    <w:tl2br w:val="nil"/>
                    <w:tr2bl w:val="nil"/>
                  </w:tcBorders>
                  <w:shd w:val="clear" w:color="auto" w:fill="FFFFFF"/>
                  <w:noWrap w:val="0"/>
                  <w:vAlign w:val="center"/>
                </w:tcPr>
                <w:p w14:paraId="6734437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color w:val="000000" w:themeColor="text1"/>
                      <w:sz w:val="21"/>
                      <w:szCs w:val="21"/>
                      <w:lang w:val="en-US" w:eastAsia="zh-CN"/>
                      <w14:textFill>
                        <w14:solidFill>
                          <w14:schemeClr w14:val="tx1"/>
                        </w14:solidFill>
                      </w14:textFill>
                    </w:rPr>
                    <w:t>2500</w:t>
                  </w:r>
                </w:p>
              </w:tc>
              <w:tc>
                <w:tcPr>
                  <w:tcW w:w="1727" w:type="pct"/>
                  <w:tcBorders>
                    <w:tl2br w:val="nil"/>
                    <w:tr2bl w:val="nil"/>
                  </w:tcBorders>
                  <w:shd w:val="clear" w:color="auto" w:fill="FFFFFF"/>
                  <w:noWrap w:val="0"/>
                  <w:vAlign w:val="center"/>
                </w:tcPr>
                <w:p w14:paraId="6019E11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color w:val="000000" w:themeColor="text1"/>
                      <w:sz w:val="21"/>
                      <w:szCs w:val="21"/>
                      <w:lang w:val="en-US" w:eastAsia="zh-CN"/>
                      <w14:textFill>
                        <w14:solidFill>
                          <w14:schemeClr w14:val="tx1"/>
                        </w14:solidFill>
                      </w14:textFill>
                    </w:rPr>
                    <w:t>0.00004</w:t>
                  </w:r>
                </w:p>
              </w:tc>
            </w:tr>
            <w:tr w14:paraId="2158E445">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882" w:type="pct"/>
                  <w:tcBorders>
                    <w:tl2br w:val="nil"/>
                    <w:tr2bl w:val="nil"/>
                  </w:tcBorders>
                  <w:shd w:val="clear" w:color="auto" w:fill="FFFFFF"/>
                  <w:noWrap w:val="0"/>
                  <w:vAlign w:val="center"/>
                </w:tcPr>
                <w:p w14:paraId="1808874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1"/>
                      <w:szCs w:val="21"/>
                      <w:lang w:val="en-US" w:eastAsia="zh-CN" w:bidi="ar-SA"/>
                      <w14:textFill>
                        <w14:solidFill>
                          <w14:schemeClr w14:val="tx1"/>
                        </w14:solidFill>
                      </w14:textFill>
                    </w:rPr>
                    <w:t>柴油</w:t>
                  </w:r>
                </w:p>
              </w:tc>
              <w:tc>
                <w:tcPr>
                  <w:tcW w:w="1369" w:type="pct"/>
                  <w:tcBorders>
                    <w:tl2br w:val="nil"/>
                    <w:tr2bl w:val="nil"/>
                  </w:tcBorders>
                  <w:shd w:val="clear" w:color="auto" w:fill="FFFFFF"/>
                  <w:noWrap w:val="0"/>
                  <w:vAlign w:val="center"/>
                </w:tcPr>
                <w:p w14:paraId="3192B02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color w:val="000000" w:themeColor="text1"/>
                      <w:sz w:val="21"/>
                      <w:szCs w:val="21"/>
                      <w:lang w:val="en-US" w:eastAsia="zh-CN"/>
                      <w14:textFill>
                        <w14:solidFill>
                          <w14:schemeClr w14:val="tx1"/>
                        </w14:solidFill>
                      </w14:textFill>
                    </w:rPr>
                    <w:t>0.5</w:t>
                  </w:r>
                </w:p>
              </w:tc>
              <w:tc>
                <w:tcPr>
                  <w:tcW w:w="1021" w:type="pct"/>
                  <w:tcBorders>
                    <w:tl2br w:val="nil"/>
                    <w:tr2bl w:val="nil"/>
                  </w:tcBorders>
                  <w:shd w:val="clear" w:color="auto" w:fill="FFFFFF"/>
                  <w:noWrap w:val="0"/>
                  <w:vAlign w:val="center"/>
                </w:tcPr>
                <w:p w14:paraId="2628970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color w:val="000000" w:themeColor="text1"/>
                      <w:sz w:val="21"/>
                      <w:szCs w:val="21"/>
                      <w:lang w:val="en-US" w:eastAsia="zh-CN"/>
                      <w14:textFill>
                        <w14:solidFill>
                          <w14:schemeClr w14:val="tx1"/>
                        </w14:solidFill>
                      </w14:textFill>
                    </w:rPr>
                    <w:t>2500</w:t>
                  </w:r>
                </w:p>
              </w:tc>
              <w:tc>
                <w:tcPr>
                  <w:tcW w:w="1727" w:type="pct"/>
                  <w:tcBorders>
                    <w:tl2br w:val="nil"/>
                    <w:tr2bl w:val="nil"/>
                  </w:tcBorders>
                  <w:shd w:val="clear" w:color="auto" w:fill="FFFFFF"/>
                  <w:noWrap w:val="0"/>
                  <w:vAlign w:val="center"/>
                </w:tcPr>
                <w:p w14:paraId="025B88A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0.00002</w:t>
                  </w:r>
                </w:p>
              </w:tc>
            </w:tr>
            <w:tr w14:paraId="28699E44">
              <w:tblPrEx>
                <w:tblBorders>
                  <w:top w:val="double" w:color="000000" w:sz="4" w:space="0"/>
                  <w:left w:val="none" w:color="auto" w:sz="0" w:space="0"/>
                  <w:bottom w:val="double" w:color="000000"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3272" w:type="pct"/>
                  <w:gridSpan w:val="3"/>
                  <w:tcBorders>
                    <w:bottom w:val="single" w:color="000000" w:sz="12" w:space="0"/>
                    <w:tl2br w:val="nil"/>
                    <w:tr2bl w:val="nil"/>
                  </w:tcBorders>
                  <w:shd w:val="clear" w:color="auto" w:fill="FFFFFF"/>
                  <w:noWrap w:val="0"/>
                  <w:vAlign w:val="center"/>
                </w:tcPr>
                <w:p w14:paraId="2B9C14C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合计</w:t>
                  </w:r>
                </w:p>
              </w:tc>
              <w:tc>
                <w:tcPr>
                  <w:tcW w:w="1727" w:type="pct"/>
                  <w:tcBorders>
                    <w:bottom w:val="single" w:color="000000" w:sz="12" w:space="0"/>
                    <w:tl2br w:val="nil"/>
                    <w:tr2bl w:val="nil"/>
                  </w:tcBorders>
                  <w:shd w:val="clear" w:color="auto" w:fill="FFFFFF"/>
                  <w:noWrap w:val="0"/>
                  <w:vAlign w:val="center"/>
                </w:tcPr>
                <w:p w14:paraId="0540C0B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color w:val="000000" w:themeColor="text1"/>
                      <w:sz w:val="21"/>
                      <w:szCs w:val="21"/>
                      <w:lang w:val="en-US" w:eastAsia="zh-CN"/>
                      <w14:textFill>
                        <w14:solidFill>
                          <w14:schemeClr w14:val="tx1"/>
                        </w14:solidFill>
                      </w14:textFill>
                    </w:rPr>
                    <w:t>0.00018</w:t>
                  </w:r>
                </w:p>
              </w:tc>
            </w:tr>
          </w:tbl>
          <w:p w14:paraId="6FDDE133">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根据上表辨识结果可知，Q＜1，本项目环境风险潜势为Ⅰ。</w:t>
            </w:r>
          </w:p>
          <w:p w14:paraId="3A316180">
            <w:pPr>
              <w:keepNext w:val="0"/>
              <w:keepLines w:val="0"/>
              <w:pageBreakBefore w:val="0"/>
              <w:widowControl/>
              <w:kinsoku/>
              <w:wordWrap/>
              <w:overflowPunct/>
              <w:topLinePunct w:val="0"/>
              <w:autoSpaceDE/>
              <w:autoSpaceDN/>
              <w:bidi w:val="0"/>
              <w:ind w:left="0" w:leftChars="0" w:firstLine="480"/>
              <w:jc w:val="left"/>
              <w:textAlignment w:val="auto"/>
              <w:rPr>
                <w:rFonts w:hint="eastAsia" w:ascii="Times New Roman" w:hAnsi="Times New Roman" w:eastAsia="宋体" w:cs="Times New Roman"/>
                <w:color w:val="000000" w:themeColor="text1"/>
                <w:position w:val="0"/>
                <w:sz w:val="24"/>
                <w:szCs w:val="24"/>
                <w:lang w:eastAsia="zh-CN"/>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根据《建设项目环境风险评价技术导则》（HJ169-2018）附录C，直接判定本项目环境风险潜势为I，故本评价仅对本项目环境风险做简单分析。</w:t>
            </w:r>
          </w:p>
          <w:p w14:paraId="137644E4">
            <w:pPr>
              <w:keepNext w:val="0"/>
              <w:keepLines w:val="0"/>
              <w:pageBreakBefore w:val="0"/>
              <w:kinsoku/>
              <w:wordWrap/>
              <w:overflowPunct/>
              <w:topLinePunct w:val="0"/>
              <w:autoSpaceDE/>
              <w:autoSpaceDN/>
              <w:bidi w:val="0"/>
              <w:ind w:left="0" w:leftChars="0" w:firstLine="482"/>
              <w:textAlignment w:val="auto"/>
              <w:rPr>
                <w:rFonts w:hint="default" w:ascii="Times New Roman" w:hAnsi="Times New Roman" w:cs="Times New Roman"/>
                <w:b/>
                <w:bCs/>
                <w:color w:val="000000" w:themeColor="text1"/>
                <w:position w:val="0"/>
                <w:sz w:val="24"/>
                <w:szCs w:val="24"/>
                <w14:textFill>
                  <w14:solidFill>
                    <w14:schemeClr w14:val="tx1"/>
                  </w14:solidFill>
                </w14:textFill>
              </w:rPr>
            </w:pPr>
            <w:r>
              <w:rPr>
                <w:rFonts w:hint="default" w:ascii="Times New Roman" w:hAnsi="Times New Roman" w:cs="Times New Roman"/>
                <w:b/>
                <w:bCs/>
                <w:color w:val="000000" w:themeColor="text1"/>
                <w:position w:val="0"/>
                <w:sz w:val="24"/>
                <w:szCs w:val="24"/>
                <w14:textFill>
                  <w14:solidFill>
                    <w14:schemeClr w14:val="tx1"/>
                  </w14:solidFill>
                </w14:textFill>
              </w:rPr>
              <w:t xml:space="preserve">（2）可能影响环境的途径 </w:t>
            </w:r>
          </w:p>
          <w:p w14:paraId="343F79DB">
            <w:pPr>
              <w:keepNext w:val="0"/>
              <w:keepLines w:val="0"/>
              <w:widowControl/>
              <w:suppressLineNumbers w:val="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项目环境风险类型、危险物质向环境转移的可能途径具体如下表：</w:t>
            </w:r>
          </w:p>
          <w:p w14:paraId="4824BDD7">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表4</w:t>
            </w:r>
            <w:r>
              <w:rPr>
                <w:rFonts w:hint="eastAsia"/>
                <w:b/>
                <w:bCs/>
                <w:color w:val="000000" w:themeColor="text1"/>
                <w:sz w:val="21"/>
                <w:szCs w:val="21"/>
                <w14:textFill>
                  <w14:solidFill>
                    <w14:schemeClr w14:val="tx1"/>
                  </w14:solidFill>
                </w14:textFill>
              </w:rPr>
              <w:t>-1</w:t>
            </w:r>
            <w:r>
              <w:rPr>
                <w:rFonts w:hint="eastAsia"/>
                <w:b/>
                <w:bCs/>
                <w:color w:val="000000" w:themeColor="text1"/>
                <w:sz w:val="21"/>
                <w:szCs w:val="21"/>
                <w:lang w:val="en-US" w:eastAsia="zh-CN"/>
                <w14:textFill>
                  <w14:solidFill>
                    <w14:schemeClr w14:val="tx1"/>
                  </w14:solidFill>
                </w14:textFill>
              </w:rPr>
              <w:t>7</w:t>
            </w:r>
            <w:r>
              <w:rPr>
                <w:b/>
                <w:bCs/>
                <w:color w:val="000000" w:themeColor="text1"/>
                <w:sz w:val="21"/>
                <w:szCs w:val="21"/>
                <w14:textFill>
                  <w14:solidFill>
                    <w14:schemeClr w14:val="tx1"/>
                  </w14:solidFill>
                </w14:textFill>
              </w:rPr>
              <w:t xml:space="preserve">  本项目</w:t>
            </w:r>
            <w:r>
              <w:rPr>
                <w:rFonts w:hint="eastAsia"/>
                <w:b/>
                <w:bCs/>
                <w:color w:val="000000" w:themeColor="text1"/>
                <w:sz w:val="21"/>
                <w:szCs w:val="21"/>
                <w14:textFill>
                  <w14:solidFill>
                    <w14:schemeClr w14:val="tx1"/>
                  </w14:solidFill>
                </w14:textFill>
              </w:rPr>
              <w:t>典型事故情景</w:t>
            </w:r>
          </w:p>
          <w:tbl>
            <w:tblPr>
              <w:tblStyle w:val="42"/>
              <w:tblW w:w="4994" w:type="pct"/>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26"/>
              <w:gridCol w:w="390"/>
              <w:gridCol w:w="914"/>
              <w:gridCol w:w="1390"/>
              <w:gridCol w:w="1854"/>
              <w:gridCol w:w="2204"/>
              <w:gridCol w:w="2275"/>
            </w:tblGrid>
            <w:tr w14:paraId="6BBF585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c>
                <w:tcPr>
                  <w:tcW w:w="275" w:type="pct"/>
                  <w:tcBorders>
                    <w:top w:val="single" w:color="000000" w:sz="12" w:space="0"/>
                    <w:tl2br w:val="nil"/>
                    <w:tr2bl w:val="nil"/>
                  </w:tcBorders>
                  <w:shd w:val="clear" w:color="auto" w:fill="FFFFFF"/>
                  <w:vAlign w:val="center"/>
                </w:tcPr>
                <w:p w14:paraId="4493AD1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序号</w:t>
                  </w:r>
                </w:p>
              </w:tc>
              <w:tc>
                <w:tcPr>
                  <w:tcW w:w="204" w:type="pct"/>
                  <w:tcBorders>
                    <w:top w:val="single" w:color="000000" w:sz="12" w:space="0"/>
                    <w:tl2br w:val="nil"/>
                    <w:tr2bl w:val="nil"/>
                  </w:tcBorders>
                  <w:shd w:val="clear" w:color="auto" w:fill="FFFFFF"/>
                  <w:vAlign w:val="center"/>
                </w:tcPr>
                <w:p w14:paraId="7063DF8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风险单元</w:t>
                  </w:r>
                </w:p>
              </w:tc>
              <w:tc>
                <w:tcPr>
                  <w:tcW w:w="478" w:type="pct"/>
                  <w:tcBorders>
                    <w:top w:val="single" w:color="000000" w:sz="12" w:space="0"/>
                    <w:tl2br w:val="nil"/>
                    <w:tr2bl w:val="nil"/>
                  </w:tcBorders>
                  <w:shd w:val="clear" w:color="auto" w:fill="FFFFFF"/>
                  <w:vAlign w:val="center"/>
                </w:tcPr>
                <w:p w14:paraId="4282791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风险源</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类型</w:t>
                  </w:r>
                </w:p>
              </w:tc>
              <w:tc>
                <w:tcPr>
                  <w:tcW w:w="727" w:type="pct"/>
                  <w:tcBorders>
                    <w:top w:val="single" w:color="000000" w:sz="12" w:space="0"/>
                    <w:tl2br w:val="nil"/>
                    <w:tr2bl w:val="nil"/>
                  </w:tcBorders>
                  <w:shd w:val="clear" w:color="auto" w:fill="FFFFFF"/>
                  <w:vAlign w:val="center"/>
                </w:tcPr>
                <w:p w14:paraId="226CFCD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典型事件情景</w:t>
                  </w:r>
                </w:p>
              </w:tc>
              <w:tc>
                <w:tcPr>
                  <w:tcW w:w="970" w:type="pct"/>
                  <w:tcBorders>
                    <w:top w:val="single" w:color="000000" w:sz="12" w:space="0"/>
                    <w:tl2br w:val="nil"/>
                    <w:tr2bl w:val="nil"/>
                  </w:tcBorders>
                  <w:shd w:val="clear" w:color="auto" w:fill="FFFFFF"/>
                  <w:vAlign w:val="center"/>
                </w:tcPr>
                <w:p w14:paraId="63F1A35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污染物环境迁移途径</w:t>
                  </w:r>
                </w:p>
              </w:tc>
              <w:tc>
                <w:tcPr>
                  <w:tcW w:w="1153" w:type="pct"/>
                  <w:tcBorders>
                    <w:top w:val="single" w:color="000000" w:sz="12" w:space="0"/>
                    <w:tl2br w:val="nil"/>
                    <w:tr2bl w:val="nil"/>
                  </w:tcBorders>
                  <w:shd w:val="clear" w:color="auto" w:fill="FFFFFF"/>
                  <w:vAlign w:val="center"/>
                </w:tcPr>
                <w:p w14:paraId="0639113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受影响环境敏感目标</w:t>
                  </w:r>
                </w:p>
              </w:tc>
              <w:tc>
                <w:tcPr>
                  <w:tcW w:w="1190" w:type="pct"/>
                  <w:tcBorders>
                    <w:top w:val="single" w:color="000000" w:sz="12" w:space="0"/>
                    <w:tl2br w:val="nil"/>
                    <w:tr2bl w:val="nil"/>
                  </w:tcBorders>
                  <w:shd w:val="clear" w:color="auto" w:fill="FFFFFF"/>
                  <w:vAlign w:val="center"/>
                </w:tcPr>
                <w:p w14:paraId="56E4B0B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环境危害后果</w:t>
                  </w:r>
                </w:p>
              </w:tc>
            </w:tr>
            <w:tr w14:paraId="41ADDC1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69" w:hRule="atLeast"/>
              </w:trPr>
              <w:tc>
                <w:tcPr>
                  <w:tcW w:w="275" w:type="pct"/>
                  <w:tcBorders>
                    <w:tl2br w:val="nil"/>
                    <w:tr2bl w:val="nil"/>
                  </w:tcBorders>
                  <w:shd w:val="clear" w:color="auto" w:fill="FFFFFF"/>
                  <w:vAlign w:val="center"/>
                </w:tcPr>
                <w:p w14:paraId="07FF655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1</w:t>
                  </w:r>
                </w:p>
              </w:tc>
              <w:tc>
                <w:tcPr>
                  <w:tcW w:w="204" w:type="pct"/>
                  <w:tcBorders>
                    <w:tl2br w:val="nil"/>
                    <w:tr2bl w:val="nil"/>
                  </w:tcBorders>
                  <w:shd w:val="clear" w:color="auto" w:fill="FFFFFF"/>
                  <w:vAlign w:val="center"/>
                </w:tcPr>
                <w:p w14:paraId="6BE00D4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危废贮存库</w:t>
                  </w:r>
                </w:p>
              </w:tc>
              <w:tc>
                <w:tcPr>
                  <w:tcW w:w="478" w:type="pct"/>
                  <w:tcBorders>
                    <w:tl2br w:val="nil"/>
                    <w:tr2bl w:val="nil"/>
                  </w:tcBorders>
                  <w:shd w:val="clear" w:color="auto" w:fill="FFFFFF"/>
                  <w:vAlign w:val="center"/>
                </w:tcPr>
                <w:p w14:paraId="0D6B3A7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危险废物泄漏</w:t>
                  </w:r>
                </w:p>
              </w:tc>
              <w:tc>
                <w:tcPr>
                  <w:tcW w:w="727" w:type="pct"/>
                  <w:tcBorders>
                    <w:tl2br w:val="nil"/>
                    <w:tr2bl w:val="nil"/>
                  </w:tcBorders>
                  <w:shd w:val="clear" w:color="auto" w:fill="FFFFFF"/>
                  <w:vAlign w:val="center"/>
                </w:tcPr>
                <w:p w14:paraId="175268C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包装桶碰撞倾倒可能导致桶内液体泄漏，污染地下水、土壤。</w:t>
                  </w:r>
                </w:p>
              </w:tc>
              <w:tc>
                <w:tcPr>
                  <w:tcW w:w="970" w:type="pct"/>
                  <w:tcBorders>
                    <w:tl2br w:val="nil"/>
                    <w:tr2bl w:val="nil"/>
                  </w:tcBorders>
                  <w:shd w:val="clear" w:color="auto" w:fill="FFFFFF"/>
                  <w:vAlign w:val="center"/>
                </w:tcPr>
                <w:p w14:paraId="49BCF04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①垂直下渗：泄漏油品渗入危废库地面，若防渗层破损，经土壤孔隙持续下渗污染浅层地下水；②地表漫流：雨水冲刷携带油污沿截排水沟流出厂区，污染厂区土壤；③少量挥发：油品轻质组分挥发进入厂区局部大气</w:t>
                  </w:r>
                </w:p>
              </w:tc>
              <w:tc>
                <w:tcPr>
                  <w:tcW w:w="1153" w:type="pct"/>
                  <w:tcBorders>
                    <w:tl2br w:val="nil"/>
                    <w:tr2bl w:val="nil"/>
                  </w:tcBorders>
                  <w:shd w:val="clear" w:color="auto" w:fill="FFFFFF"/>
                  <w:vAlign w:val="center"/>
                </w:tcPr>
                <w:p w14:paraId="1EA77F8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大气敏感目标：厂区办公人员、东南侧常胜村居民；土壤/地下水敏感目标：厂区耕作耕地、区域浅层潜水含水层</w:t>
                  </w:r>
                </w:p>
              </w:tc>
              <w:tc>
                <w:tcPr>
                  <w:tcW w:w="1190" w:type="pct"/>
                  <w:tcBorders>
                    <w:tl2br w:val="nil"/>
                    <w:tr2bl w:val="nil"/>
                  </w:tcBorders>
                  <w:shd w:val="clear" w:color="auto" w:fill="FFFFFF"/>
                  <w:vAlign w:val="center"/>
                </w:tcPr>
                <w:p w14:paraId="378B95D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1.土壤：油污吸附土壤颗粒，破坏土壤结构，影响周边农作物生长；2.地下水：烃类有机物长期留存含水层，地下水修复周期极长；3.大气：局部异味，近距离人员头晕、呼吸道刺激；4.无地表水体直接汇入，不会污染三工河地表水</w:t>
                  </w:r>
                </w:p>
              </w:tc>
            </w:tr>
            <w:tr w14:paraId="58ACB98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41" w:hRule="atLeast"/>
              </w:trPr>
              <w:tc>
                <w:tcPr>
                  <w:tcW w:w="275" w:type="pct"/>
                  <w:tcBorders>
                    <w:tl2br w:val="nil"/>
                    <w:tr2bl w:val="nil"/>
                  </w:tcBorders>
                  <w:shd w:val="clear" w:color="auto" w:fill="FFFFFF"/>
                  <w:vAlign w:val="center"/>
                </w:tcPr>
                <w:p w14:paraId="7377FAD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2</w:t>
                  </w:r>
                </w:p>
              </w:tc>
              <w:tc>
                <w:tcPr>
                  <w:tcW w:w="204" w:type="pct"/>
                  <w:tcBorders>
                    <w:tl2br w:val="nil"/>
                    <w:tr2bl w:val="nil"/>
                  </w:tcBorders>
                  <w:shd w:val="clear" w:color="auto" w:fill="FFFFFF"/>
                  <w:vAlign w:val="center"/>
                </w:tcPr>
                <w:p w14:paraId="5CDEB7E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火灾次生污染</w:t>
                  </w:r>
                </w:p>
              </w:tc>
              <w:tc>
                <w:tcPr>
                  <w:tcW w:w="478" w:type="pct"/>
                  <w:tcBorders>
                    <w:tl2br w:val="nil"/>
                    <w:tr2bl w:val="nil"/>
                  </w:tcBorders>
                  <w:shd w:val="clear" w:color="auto" w:fill="FFFFFF"/>
                  <w:vAlign w:val="center"/>
                </w:tcPr>
                <w:p w14:paraId="674158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厂区</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润滑油及废润滑油</w:t>
                  </w: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等遇明火发生火灾。</w:t>
                  </w:r>
                </w:p>
              </w:tc>
              <w:tc>
                <w:tcPr>
                  <w:tcW w:w="727" w:type="pct"/>
                  <w:tcBorders>
                    <w:tl2br w:val="nil"/>
                    <w:tr2bl w:val="nil"/>
                  </w:tcBorders>
                  <w:shd w:val="clear" w:color="auto" w:fill="FFFFFF"/>
                  <w:vAlign w:val="center"/>
                </w:tcPr>
                <w:p w14:paraId="50F4D80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火灾</w:t>
                  </w: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次生污染</w:t>
                  </w: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环境空气及地下水、土壤。</w:t>
                  </w:r>
                </w:p>
              </w:tc>
              <w:tc>
                <w:tcPr>
                  <w:tcW w:w="970" w:type="pct"/>
                  <w:tcBorders>
                    <w:tl2br w:val="nil"/>
                    <w:tr2bl w:val="nil"/>
                  </w:tcBorders>
                  <w:shd w:val="clear" w:color="auto" w:fill="FFFFFF"/>
                  <w:vAlign w:val="center"/>
                </w:tcPr>
                <w:p w14:paraId="392AEC7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①大气扩散：不完全燃烧产生CO、烃类烟气、烟尘，随主导西南风向扩散至厂区东侧、东南居民区；②消防废水漫流：灭火产生大量含油消防废水，突破围堰、截流沟，漫流渗入土壤、下渗地下水；③燃烧残渣：沾染油污灰烬形成危险固废，随意堆放遇雨水淋溶二次渗漏</w:t>
                  </w:r>
                </w:p>
              </w:tc>
              <w:tc>
                <w:tcPr>
                  <w:tcW w:w="1153" w:type="pct"/>
                  <w:tcBorders>
                    <w:tl2br w:val="nil"/>
                    <w:tr2bl w:val="nil"/>
                  </w:tcBorders>
                  <w:shd w:val="clear" w:color="auto" w:fill="FFFFFF"/>
                  <w:vAlign w:val="center"/>
                </w:tcPr>
                <w:p w14:paraId="3B758A1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大气敏感目标：东南常胜村村民、厂区作业人员；水土敏感目标：厂区耕地、浅层地下水</w:t>
                  </w:r>
                </w:p>
              </w:tc>
              <w:tc>
                <w:tcPr>
                  <w:tcW w:w="1190" w:type="pct"/>
                  <w:tcBorders>
                    <w:tl2br w:val="nil"/>
                    <w:tr2bl w:val="nil"/>
                  </w:tcBorders>
                  <w:shd w:val="clear" w:color="auto" w:fill="FFFFFF"/>
                  <w:vAlign w:val="center"/>
                </w:tcPr>
                <w:p w14:paraId="66E5698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1.大气：短时高浓度烟气，影响居民呼吸，产生异味扰民；2.水土：含油消防废水大面积污染土壤，渗入地下水形成长期有机污染；3.衍生危废增加处置成本，存在二次泄漏风险</w:t>
                  </w:r>
                </w:p>
              </w:tc>
            </w:tr>
            <w:tr w14:paraId="012ECD7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42" w:hRule="atLeast"/>
              </w:trPr>
              <w:tc>
                <w:tcPr>
                  <w:tcW w:w="275" w:type="pct"/>
                  <w:tcBorders>
                    <w:bottom w:val="single" w:color="000000" w:sz="12" w:space="0"/>
                    <w:tl2br w:val="nil"/>
                    <w:tr2bl w:val="nil"/>
                  </w:tcBorders>
                  <w:shd w:val="clear" w:color="auto" w:fill="FFFFFF"/>
                  <w:vAlign w:val="center"/>
                </w:tcPr>
                <w:p w14:paraId="6D45586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3</w:t>
                  </w:r>
                </w:p>
              </w:tc>
              <w:tc>
                <w:tcPr>
                  <w:tcW w:w="204" w:type="pct"/>
                  <w:tcBorders>
                    <w:bottom w:val="single" w:color="000000" w:sz="12" w:space="0"/>
                    <w:tl2br w:val="nil"/>
                    <w:tr2bl w:val="nil"/>
                  </w:tcBorders>
                  <w:shd w:val="clear" w:color="auto" w:fill="FFFFFF"/>
                  <w:vAlign w:val="center"/>
                </w:tcPr>
                <w:p w14:paraId="003C3A8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车辆停放区</w:t>
                  </w:r>
                </w:p>
              </w:tc>
              <w:tc>
                <w:tcPr>
                  <w:tcW w:w="478" w:type="pct"/>
                  <w:tcBorders>
                    <w:bottom w:val="single" w:color="000000" w:sz="12" w:space="0"/>
                    <w:tl2br w:val="nil"/>
                    <w:tr2bl w:val="nil"/>
                  </w:tcBorders>
                  <w:shd w:val="clear" w:color="auto" w:fill="FFFFFF"/>
                  <w:vAlign w:val="center"/>
                </w:tcPr>
                <w:p w14:paraId="5626A05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柴油泄漏风险</w:t>
                  </w:r>
                </w:p>
              </w:tc>
              <w:tc>
                <w:tcPr>
                  <w:tcW w:w="727" w:type="pct"/>
                  <w:tcBorders>
                    <w:bottom w:val="single" w:color="000000" w:sz="12" w:space="0"/>
                    <w:tl2br w:val="nil"/>
                    <w:tr2bl w:val="nil"/>
                  </w:tcBorders>
                  <w:shd w:val="clear" w:color="auto" w:fill="FFFFFF"/>
                  <w:vAlign w:val="center"/>
                </w:tcPr>
                <w:p w14:paraId="1E29324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车辆柴油油箱破损、渗入土壤并下渗污染地下水。</w:t>
                  </w:r>
                </w:p>
              </w:tc>
              <w:tc>
                <w:tcPr>
                  <w:tcW w:w="970" w:type="pct"/>
                  <w:tcBorders>
                    <w:bottom w:val="single" w:color="000000" w:sz="12" w:space="0"/>
                    <w:tl2br w:val="nil"/>
                    <w:tr2bl w:val="nil"/>
                  </w:tcBorders>
                  <w:shd w:val="clear" w:color="auto" w:fill="FFFFFF"/>
                  <w:vAlign w:val="center"/>
                </w:tcPr>
                <w:p w14:paraId="00DB4F0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①垂直渗透：柴油直接滴落硬化地面缝隙，下渗土壤、潜水层；②雨水携带：降雨形成地表径流，将油污带至堆场、厂区空地扩大污染范围；③轻质组分挥发，局部空气污染</w:t>
                  </w:r>
                </w:p>
              </w:tc>
              <w:tc>
                <w:tcPr>
                  <w:tcW w:w="1153" w:type="pct"/>
                  <w:tcBorders>
                    <w:bottom w:val="single" w:color="000000" w:sz="12" w:space="0"/>
                    <w:tl2br w:val="nil"/>
                    <w:tr2bl w:val="nil"/>
                  </w:tcBorders>
                  <w:shd w:val="clear" w:color="auto" w:fill="FFFFFF"/>
                  <w:vAlign w:val="center"/>
                </w:tcPr>
                <w:p w14:paraId="47D7DCE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大气敏感目标：厂区作业人员；水土敏感目标：厂区周边耕地、浅层地下水含水层</w:t>
                  </w:r>
                </w:p>
              </w:tc>
              <w:tc>
                <w:tcPr>
                  <w:tcW w:w="1190" w:type="pct"/>
                  <w:tcBorders>
                    <w:bottom w:val="single" w:color="000000" w:sz="12" w:space="0"/>
                    <w:tl2br w:val="nil"/>
                    <w:tr2bl w:val="nil"/>
                  </w:tcBorders>
                  <w:shd w:val="clear" w:color="auto" w:fill="FFFFFF"/>
                  <w:vAlign w:val="center"/>
                </w:tcPr>
                <w:p w14:paraId="72B84AF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1.土壤油污污染，农作物根系中毒枯萎；2.地下水烃类污染，难以治理；3. 局部油气积聚，存在次生爆炸火灾隐患</w:t>
                  </w:r>
                </w:p>
              </w:tc>
            </w:tr>
          </w:tbl>
          <w:p w14:paraId="72926014">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color w:val="000000" w:themeColor="text1"/>
                <w:position w:val="0"/>
                <w:sz w:val="24"/>
                <w:szCs w:val="24"/>
                <w14:textFill>
                  <w14:solidFill>
                    <w14:schemeClr w14:val="tx1"/>
                  </w14:solidFill>
                </w14:textFill>
              </w:rPr>
              <w:t>可能影响环境的途径、风险源及敏感目标识别</w:t>
            </w:r>
          </w:p>
          <w:p w14:paraId="67560EA3">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color w:val="000000" w:themeColor="text1"/>
                <w:position w:val="0"/>
                <w:sz w:val="24"/>
                <w:szCs w:val="24"/>
                <w:lang w:val="en-US" w:eastAsia="zh-CN"/>
                <w14:textFill>
                  <w14:solidFill>
                    <w14:schemeClr w14:val="tx1"/>
                  </w14:solidFill>
                </w14:textFill>
              </w:rPr>
              <w:t>依据《建设项目环境风险评价技术导则》（HJ169-2018）7.2.4条款要求，开展风险单元、危险物质、事故类型、污染迁移路径、环境敏感受体全要素识别：</w:t>
            </w:r>
          </w:p>
          <w:p w14:paraId="7B4E411D">
            <w:pPr>
              <w:pStyle w:val="17"/>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b/>
                <w:bCs/>
                <w:color w:val="000000" w:themeColor="text1"/>
                <w:position w:val="0"/>
                <w:sz w:val="24"/>
                <w:szCs w:val="24"/>
                <w14:textFill>
                  <w14:solidFill>
                    <w14:schemeClr w14:val="tx1"/>
                  </w14:solidFill>
                </w14:textFill>
              </w:rPr>
              <w:t>危险单元划分</w:t>
            </w:r>
            <w:r>
              <w:rPr>
                <w:rFonts w:hint="default" w:ascii="Times New Roman" w:hAnsi="Times New Roman" w:eastAsia="宋体" w:cs="Times New Roman"/>
                <w:color w:val="000000" w:themeColor="text1"/>
                <w:position w:val="0"/>
                <w:sz w:val="24"/>
                <w:szCs w:val="24"/>
                <w14:textFill>
                  <w14:solidFill>
                    <w14:schemeClr w14:val="tx1"/>
                  </w14:solidFill>
                </w14:textFill>
              </w:rPr>
              <w:t>：本项目共划分2个核心风险单元，分别为</w:t>
            </w:r>
            <w:r>
              <w:rPr>
                <w:rFonts w:hint="eastAsia" w:ascii="Times New Roman" w:hAnsi="Times New Roman" w:eastAsia="宋体" w:cs="Times New Roman"/>
                <w:color w:val="000000" w:themeColor="text1"/>
                <w:position w:val="0"/>
                <w:sz w:val="24"/>
                <w:szCs w:val="24"/>
                <w:lang w:val="en-US" w:eastAsia="zh-CN"/>
                <w14:textFill>
                  <w14:solidFill>
                    <w14:schemeClr w14:val="tx1"/>
                  </w14:solidFill>
                </w14:textFill>
              </w:rPr>
              <w:t>危废贮存库</w:t>
            </w:r>
            <w:r>
              <w:rPr>
                <w:rFonts w:hint="default" w:ascii="Times New Roman" w:hAnsi="Times New Roman" w:eastAsia="宋体" w:cs="Times New Roman"/>
                <w:color w:val="000000" w:themeColor="text1"/>
                <w:position w:val="0"/>
                <w:sz w:val="24"/>
                <w:szCs w:val="24"/>
                <w14:textFill>
                  <w14:solidFill>
                    <w14:schemeClr w14:val="tx1"/>
                  </w14:solidFill>
                </w14:textFill>
              </w:rPr>
              <w:t>（贮存废润滑油HW08）、车辆停放区；厂区生产线砂石原料、成品、洗砂泥水无易燃易爆、有毒液态风险物质，不属于环境风险单元。</w:t>
            </w:r>
          </w:p>
          <w:p w14:paraId="0AF8FAB1">
            <w:pPr>
              <w:pStyle w:val="17"/>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b/>
                <w:bCs/>
                <w:color w:val="000000" w:themeColor="text1"/>
                <w:position w:val="0"/>
                <w:sz w:val="24"/>
                <w:szCs w:val="24"/>
                <w14:textFill>
                  <w14:solidFill>
                    <w14:schemeClr w14:val="tx1"/>
                  </w14:solidFill>
                </w14:textFill>
              </w:rPr>
              <w:t>危险物质识别</w:t>
            </w:r>
            <w:r>
              <w:rPr>
                <w:rFonts w:hint="default" w:ascii="Times New Roman" w:hAnsi="Times New Roman" w:eastAsia="宋体" w:cs="Times New Roman"/>
                <w:color w:val="000000" w:themeColor="text1"/>
                <w:position w:val="0"/>
                <w:sz w:val="24"/>
                <w:szCs w:val="24"/>
                <w14:textFill>
                  <w14:solidFill>
                    <w14:schemeClr w14:val="tx1"/>
                  </w14:solidFill>
                </w14:textFill>
              </w:rPr>
              <w:t>：项目涉及风险物质为废润滑油、柴油，均属于烃类易燃液体，泄漏后可污染土壤、地下水，遇明火易引燃并产生次生烟气、含油消防废水。</w:t>
            </w:r>
          </w:p>
          <w:p w14:paraId="0F322B46">
            <w:pPr>
              <w:pStyle w:val="17"/>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default" w:ascii="Times New Roman" w:hAnsi="Times New Roman" w:eastAsia="宋体" w:cs="Times New Roman"/>
                <w:b/>
                <w:bCs/>
                <w:color w:val="000000" w:themeColor="text1"/>
                <w:position w:val="0"/>
                <w:sz w:val="24"/>
                <w:szCs w:val="24"/>
                <w14:textFill>
                  <w14:solidFill>
                    <w14:schemeClr w14:val="tx1"/>
                  </w14:solidFill>
                </w14:textFill>
              </w:rPr>
            </w:pPr>
            <w:r>
              <w:rPr>
                <w:rFonts w:hint="default" w:ascii="Times New Roman" w:hAnsi="Times New Roman" w:eastAsia="宋体" w:cs="Times New Roman"/>
                <w:b/>
                <w:bCs/>
                <w:color w:val="000000" w:themeColor="text1"/>
                <w:position w:val="0"/>
                <w:sz w:val="24"/>
                <w:szCs w:val="24"/>
                <w14:textFill>
                  <w14:solidFill>
                    <w14:schemeClr w14:val="tx1"/>
                  </w14:solidFill>
                </w14:textFill>
              </w:rPr>
              <w:t>环境敏感目标识别</w:t>
            </w:r>
          </w:p>
          <w:p w14:paraId="422A3D69">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color w:val="000000" w:themeColor="text1"/>
                <w:position w:val="0"/>
                <w:sz w:val="24"/>
                <w:szCs w:val="24"/>
                <w14:textFill>
                  <w14:solidFill>
                    <w14:schemeClr w14:val="tx1"/>
                  </w14:solidFill>
                </w14:textFill>
              </w:rPr>
              <w:t>大气环境风险受体：厂区办公操作人员、厂区东南侧常胜村居民（侧风向，存在烟气、异味扩散风险）；</w:t>
            </w:r>
          </w:p>
          <w:p w14:paraId="150A0690">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color w:val="000000" w:themeColor="text1"/>
                <w:position w:val="0"/>
                <w:sz w:val="24"/>
                <w:szCs w:val="24"/>
                <w14:textFill>
                  <w14:solidFill>
                    <w14:schemeClr w14:val="tx1"/>
                  </w14:solidFill>
                </w14:textFill>
              </w:rPr>
              <w:t>土壤、地下水风险受体：厂区及周边农用耕地、区域浅层潜水含水层；本项目厂界500m范围内无集中式地下水饮用水源、三工河地表水距离厂区较远，事故情景下无直接地表水体污染途径。</w:t>
            </w:r>
          </w:p>
          <w:p w14:paraId="049AB092">
            <w:pPr>
              <w:pStyle w:val="17"/>
              <w:keepNext w:val="0"/>
              <w:keepLines w:val="0"/>
              <w:pageBreakBefore w:val="0"/>
              <w:widowControl w:val="0"/>
              <w:kinsoku/>
              <w:wordWrap/>
              <w:overflowPunct/>
              <w:topLinePunct w:val="0"/>
              <w:autoSpaceDE/>
              <w:autoSpaceDN/>
              <w:bidi w:val="0"/>
              <w:spacing w:line="360" w:lineRule="auto"/>
              <w:ind w:left="0" w:leftChars="0" w:firstLine="482"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b/>
                <w:bCs/>
                <w:color w:val="000000" w:themeColor="text1"/>
                <w:position w:val="0"/>
                <w:sz w:val="24"/>
                <w:szCs w:val="24"/>
                <w14:textFill>
                  <w14:solidFill>
                    <w14:schemeClr w14:val="tx1"/>
                  </w14:solidFill>
                </w14:textFill>
              </w:rPr>
              <w:t>污染物迁移途径分类</w:t>
            </w:r>
          </w:p>
          <w:p w14:paraId="2CF76117">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color w:val="000000" w:themeColor="text1"/>
                <w:position w:val="0"/>
                <w:sz w:val="24"/>
                <w:szCs w:val="24"/>
                <w14:textFill>
                  <w14:solidFill>
                    <w14:schemeClr w14:val="tx1"/>
                  </w14:solidFill>
                </w14:textFill>
              </w:rPr>
              <w:t>大气迁移：油品挥发、火灾燃烧烟气通过空气对流、区域主导西南风横向扩散；</w:t>
            </w:r>
          </w:p>
          <w:p w14:paraId="2BA57347">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color w:val="000000" w:themeColor="text1"/>
                <w:position w:val="0"/>
                <w:sz w:val="24"/>
                <w:szCs w:val="24"/>
                <w14:textFill>
                  <w14:solidFill>
                    <w14:schemeClr w14:val="tx1"/>
                  </w14:solidFill>
                </w14:textFill>
              </w:rPr>
              <w:t>土壤/地下水垂直迁移：液态油品渗漏、雨水淋溶，向下穿透硬化层、包气带进入浅层地下水；</w:t>
            </w:r>
          </w:p>
          <w:p w14:paraId="7DCDC42F">
            <w:pPr>
              <w:pStyle w:val="17"/>
              <w:keepNext w:val="0"/>
              <w:keepLines w:val="0"/>
              <w:pageBreakBefore w:val="0"/>
              <w:widowControl w:val="0"/>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eastAsia="宋体" w:cs="Times New Roman"/>
                <w:color w:val="000000" w:themeColor="text1"/>
                <w:position w:val="0"/>
                <w:sz w:val="24"/>
                <w:szCs w:val="24"/>
                <w14:textFill>
                  <w14:solidFill>
                    <w14:schemeClr w14:val="tx1"/>
                  </w14:solidFill>
                </w14:textFill>
              </w:rPr>
            </w:pPr>
            <w:r>
              <w:rPr>
                <w:rFonts w:hint="default" w:ascii="Times New Roman" w:hAnsi="Times New Roman" w:eastAsia="宋体" w:cs="Times New Roman"/>
                <w:color w:val="000000" w:themeColor="text1"/>
                <w:position w:val="0"/>
                <w:sz w:val="24"/>
                <w:szCs w:val="24"/>
                <w14:textFill>
                  <w14:solidFill>
                    <w14:schemeClr w14:val="tx1"/>
                  </w14:solidFill>
                </w14:textFill>
              </w:rPr>
              <w:t>地表径流横向迁移：事故油污、消防废水随雨水、地面漫流扩大土壤污染范围。</w:t>
            </w:r>
          </w:p>
          <w:p w14:paraId="2355DE6D">
            <w:pPr>
              <w:keepNext w:val="0"/>
              <w:keepLines w:val="0"/>
              <w:pageBreakBefore w:val="0"/>
              <w:kinsoku/>
              <w:wordWrap/>
              <w:overflowPunct/>
              <w:topLinePunct w:val="0"/>
              <w:autoSpaceDE/>
              <w:autoSpaceDN/>
              <w:bidi w:val="0"/>
              <w:ind w:firstLine="48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w:t>
            </w:r>
            <w:r>
              <w:rPr>
                <w:b/>
                <w:bCs/>
                <w:color w:val="000000" w:themeColor="text1"/>
                <w14:textFill>
                  <w14:solidFill>
                    <w14:schemeClr w14:val="tx1"/>
                  </w14:solidFill>
                </w14:textFill>
              </w:rPr>
              <w:t>环境风险防范措施</w:t>
            </w:r>
          </w:p>
          <w:p w14:paraId="45CEBB3A">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①危废</w:t>
            </w:r>
            <w:r>
              <w:rPr>
                <w:rFonts w:hint="eastAsia" w:cs="Times New Roman"/>
                <w:color w:val="000000" w:themeColor="text1"/>
                <w:position w:val="0"/>
                <w:sz w:val="24"/>
                <w:szCs w:val="24"/>
                <w:lang w:val="en-US" w:eastAsia="zh-CN"/>
                <w14:textFill>
                  <w14:solidFill>
                    <w14:schemeClr w14:val="tx1"/>
                  </w14:solidFill>
                </w14:textFill>
              </w:rPr>
              <w:t>贮存库</w:t>
            </w:r>
            <w:r>
              <w:rPr>
                <w:rFonts w:hint="default" w:ascii="Times New Roman" w:hAnsi="Times New Roman" w:cs="Times New Roman"/>
                <w:color w:val="000000" w:themeColor="text1"/>
                <w:position w:val="0"/>
                <w:sz w:val="24"/>
                <w:szCs w:val="24"/>
                <w14:textFill>
                  <w14:solidFill>
                    <w14:schemeClr w14:val="tx1"/>
                  </w14:solidFill>
                </w14:textFill>
              </w:rPr>
              <w:t>风险防范措施</w:t>
            </w:r>
          </w:p>
          <w:p w14:paraId="5B7F88AB">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危废</w:t>
            </w:r>
            <w:r>
              <w:rPr>
                <w:rFonts w:hint="eastAsia" w:cs="Times New Roman"/>
                <w:color w:val="000000" w:themeColor="text1"/>
                <w:position w:val="0"/>
                <w:sz w:val="24"/>
                <w:szCs w:val="24"/>
                <w:lang w:val="en-US" w:eastAsia="zh-CN"/>
                <w14:textFill>
                  <w14:solidFill>
                    <w14:schemeClr w14:val="tx1"/>
                  </w14:solidFill>
                </w14:textFill>
              </w:rPr>
              <w:t>贮存库</w:t>
            </w:r>
            <w:r>
              <w:rPr>
                <w:rFonts w:hint="default" w:ascii="Times New Roman" w:hAnsi="Times New Roman" w:cs="Times New Roman"/>
                <w:color w:val="000000" w:themeColor="text1"/>
                <w:position w:val="0"/>
                <w:sz w:val="24"/>
                <w:szCs w:val="24"/>
                <w14:textFill>
                  <w14:solidFill>
                    <w14:schemeClr w14:val="tx1"/>
                  </w14:solidFill>
                </w14:textFill>
              </w:rPr>
              <w:t>严格按照《危险废物贮存污染控制标准》（GB 18597）建设，地面采取防渗硬化处理，设置防渗托盘、收集沟与应急收集池，有效容纳泄漏废液，防止废液漫流、下渗污染土壤和地下水。</w:t>
            </w:r>
          </w:p>
          <w:p w14:paraId="69480C1E">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废润滑油等液态危险废物全部采用密闭完好的金属桶盛装，分类分区存放，桶身张贴规范危废标签；桶体之间预留安全间距，规范堆放，避免搬运、堆放过</w:t>
            </w:r>
            <w:r>
              <w:rPr>
                <w:rFonts w:hint="eastAsia" w:cs="Times New Roman"/>
                <w:color w:val="000000" w:themeColor="text1"/>
                <w:position w:val="0"/>
                <w:sz w:val="24"/>
                <w:szCs w:val="24"/>
                <w:lang w:eastAsia="zh-CN"/>
                <w14:textFill>
                  <w14:solidFill>
                    <w14:schemeClr w14:val="tx1"/>
                  </w14:solidFill>
                </w14:textFill>
              </w:rPr>
              <w:t>程中</w:t>
            </w:r>
            <w:r>
              <w:rPr>
                <w:rFonts w:hint="default" w:ascii="Times New Roman" w:hAnsi="Times New Roman" w:cs="Times New Roman"/>
                <w:color w:val="000000" w:themeColor="text1"/>
                <w:position w:val="0"/>
                <w:sz w:val="24"/>
                <w:szCs w:val="24"/>
                <w14:textFill>
                  <w14:solidFill>
                    <w14:schemeClr w14:val="tx1"/>
                  </w14:solidFill>
                </w14:textFill>
              </w:rPr>
              <w:t>发生碰撞倾倒。</w:t>
            </w:r>
          </w:p>
          <w:p w14:paraId="0671AE3E">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建立危废出入库管理制度，作业人员转运、装卸危废轻拿轻放；定期检查包装桶完好性，发现破损、渗漏容器立即转移至应急区域更换包装。</w:t>
            </w:r>
          </w:p>
          <w:p w14:paraId="51DB2B7E">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暂存间配备沙土、吸油毡、专用收集桶等应急物资，用于及时吸附收集泄漏废液。</w:t>
            </w:r>
          </w:p>
          <w:p w14:paraId="3A527DEE">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②油品泄漏防范措施（润滑油、柴油）</w:t>
            </w:r>
          </w:p>
          <w:p w14:paraId="24EECA46">
            <w:pPr>
              <w:keepNext w:val="0"/>
              <w:keepLines w:val="0"/>
              <w:pageBreakBefore w:val="0"/>
              <w:widowControl/>
              <w:kinsoku/>
              <w:wordWrap/>
              <w:overflowPunct/>
              <w:topLinePunct w:val="0"/>
              <w:autoSpaceDE/>
              <w:autoSpaceDN/>
              <w:bidi w:val="0"/>
              <w:ind w:left="0" w:leftChars="0" w:firstLine="480"/>
              <w:jc w:val="left"/>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机械设备停放区域地面进行防渗硬化处理；定期对场内各类设备油路、储油容器开展检修维护，及时更换老化油管、密封件，降低容器破损、管路渗漏引发润滑油泄漏的环境风险。</w:t>
            </w:r>
          </w:p>
          <w:p w14:paraId="355F3E78">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油品加注、转运作业现场常备吸油毡、干沙等应急物资，一旦发生润滑油泄漏，第一时间围挡封堵、吸附收集泄漏油液，严禁使用清水冲洗泄漏油污，避免含油废液下渗污染土壤及地下水</w:t>
            </w:r>
            <w:r>
              <w:rPr>
                <w:rFonts w:hint="default" w:ascii="Times New Roman" w:hAnsi="Times New Roman" w:cs="Times New Roman"/>
                <w:color w:val="000000" w:themeColor="text1"/>
                <w:position w:val="0"/>
                <w:sz w:val="24"/>
                <w:szCs w:val="24"/>
                <w14:textFill>
                  <w14:solidFill>
                    <w14:schemeClr w14:val="tx1"/>
                  </w14:solidFill>
                </w14:textFill>
              </w:rPr>
              <w:t>。</w:t>
            </w:r>
          </w:p>
          <w:p w14:paraId="1F3E0859">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③火灾及次生污染防范措施</w:t>
            </w:r>
          </w:p>
          <w:p w14:paraId="78C90DCC">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厂区、</w:t>
            </w:r>
            <w:r>
              <w:rPr>
                <w:rFonts w:hint="eastAsia" w:cs="Times New Roman"/>
                <w:color w:val="000000" w:themeColor="text1"/>
                <w:position w:val="0"/>
                <w:sz w:val="24"/>
                <w:szCs w:val="24"/>
                <w:lang w:val="en-US" w:eastAsia="zh-CN"/>
                <w14:textFill>
                  <w14:solidFill>
                    <w14:schemeClr w14:val="tx1"/>
                  </w14:solidFill>
                </w14:textFill>
              </w:rPr>
              <w:t>危废贮存库</w:t>
            </w:r>
            <w:r>
              <w:rPr>
                <w:rFonts w:hint="default" w:ascii="Times New Roman" w:hAnsi="Times New Roman" w:cs="Times New Roman"/>
                <w:color w:val="000000" w:themeColor="text1"/>
                <w:position w:val="0"/>
                <w:sz w:val="24"/>
                <w:szCs w:val="24"/>
                <w14:textFill>
                  <w14:solidFill>
                    <w14:schemeClr w14:val="tx1"/>
                  </w14:solidFill>
                </w14:textFill>
              </w:rPr>
              <w:t>、油品存放区严禁违规动火、吸烟，设置明显禁烟、防火警示标识；配备干粉灭火器、灭火毯等消防器材。</w:t>
            </w:r>
          </w:p>
          <w:p w14:paraId="1BAAAF50">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规范电气线路敷设，电气设备选用防爆型，定期巡检，杜绝电气火花引燃润滑油、废润滑油、柴油等易燃物质。</w:t>
            </w:r>
          </w:p>
          <w:p w14:paraId="267AEA7D">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若发生火灾，优先采用干粉灭火，严控消防废水漫流；利用围堰、收集沟截留消防废水，避免携带油类的消防废水下渗污染土壤及地下水；火灾产生的烟气通过自然扩散稀释，降低大气环境影响。</w:t>
            </w:r>
          </w:p>
          <w:p w14:paraId="1D46292A">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④管理与应急防控措施</w:t>
            </w:r>
          </w:p>
          <w:p w14:paraId="27EF7B9C">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建立环境风险日常巡检制度，定期巡查危废</w:t>
            </w:r>
            <w:r>
              <w:rPr>
                <w:rFonts w:hint="eastAsia" w:cs="Times New Roman"/>
                <w:color w:val="000000" w:themeColor="text1"/>
                <w:position w:val="0"/>
                <w:sz w:val="24"/>
                <w:szCs w:val="24"/>
                <w:lang w:val="en-US" w:eastAsia="zh-CN"/>
                <w14:textFill>
                  <w14:solidFill>
                    <w14:schemeClr w14:val="tx1"/>
                  </w14:solidFill>
                </w14:textFill>
              </w:rPr>
              <w:t>贮存库</w:t>
            </w:r>
            <w:r>
              <w:rPr>
                <w:rFonts w:hint="default" w:ascii="Times New Roman" w:hAnsi="Times New Roman" w:cs="Times New Roman"/>
                <w:color w:val="000000" w:themeColor="text1"/>
                <w:position w:val="0"/>
                <w:sz w:val="24"/>
                <w:szCs w:val="24"/>
                <w14:textFill>
                  <w14:solidFill>
                    <w14:schemeClr w14:val="tx1"/>
                  </w14:solidFill>
                </w14:textFill>
              </w:rPr>
              <w:t>、车辆</w:t>
            </w:r>
            <w:r>
              <w:rPr>
                <w:rFonts w:hint="eastAsia" w:cs="Times New Roman"/>
                <w:color w:val="000000" w:themeColor="text1"/>
                <w:position w:val="0"/>
                <w:sz w:val="24"/>
                <w:szCs w:val="24"/>
                <w:lang w:val="en-US" w:eastAsia="zh-CN"/>
                <w14:textFill>
                  <w14:solidFill>
                    <w14:schemeClr w14:val="tx1"/>
                  </w14:solidFill>
                </w14:textFill>
              </w:rPr>
              <w:t>停放区</w:t>
            </w:r>
            <w:r>
              <w:rPr>
                <w:rFonts w:hint="default" w:ascii="Times New Roman" w:hAnsi="Times New Roman" w:cs="Times New Roman"/>
                <w:color w:val="000000" w:themeColor="text1"/>
                <w:position w:val="0"/>
                <w:sz w:val="24"/>
                <w:szCs w:val="24"/>
                <w14:textFill>
                  <w14:solidFill>
                    <w14:schemeClr w14:val="tx1"/>
                  </w14:solidFill>
                </w14:textFill>
              </w:rPr>
              <w:t>，排查容器破损、防渗设施破损、火灾隐患等问题。</w:t>
            </w:r>
          </w:p>
          <w:p w14:paraId="0DD392BF">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对作业人员开展环境风险培训，普及泄漏处置、初期火灾扑救应急操作。</w:t>
            </w:r>
          </w:p>
          <w:p w14:paraId="1F717023">
            <w:pPr>
              <w:keepNext w:val="0"/>
              <w:keepLines w:val="0"/>
              <w:pageBreakBefore w:val="0"/>
              <w:widowControl/>
              <w:kinsoku/>
              <w:wordWrap/>
              <w:overflowPunct/>
              <w:topLinePunct w:val="0"/>
              <w:autoSpaceDE/>
              <w:autoSpaceDN/>
              <w:bidi w:val="0"/>
              <w:ind w:left="0" w:leftChars="0" w:firstLine="480"/>
              <w:jc w:val="left"/>
              <w:textAlignment w:val="auto"/>
              <w:rPr>
                <w:rFonts w:hint="default" w:ascii="Times New Roman" w:hAnsi="Times New Roman" w:cs="Times New Roman"/>
                <w:color w:val="000000" w:themeColor="text1"/>
                <w:position w:val="0"/>
                <w:sz w:val="24"/>
                <w:szCs w:val="24"/>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储备足量应急物资：吸油毡、沙土、塑料收集桶、防渗围挡、灭火器等，并定期检查物资有效性。</w:t>
            </w:r>
          </w:p>
          <w:p w14:paraId="1193543C">
            <w:pPr>
              <w:keepNext w:val="0"/>
              <w:keepLines w:val="0"/>
              <w:pageBreakBefore w:val="0"/>
              <w:widowControl/>
              <w:kinsoku/>
              <w:wordWrap/>
              <w:overflowPunct/>
              <w:topLinePunct w:val="0"/>
              <w:autoSpaceDE/>
              <w:autoSpaceDN/>
              <w:bidi w:val="0"/>
              <w:ind w:left="0" w:leftChars="0" w:firstLine="480"/>
              <w:jc w:val="left"/>
              <w:textAlignment w:val="auto"/>
              <w:rPr>
                <w:color w:val="000000" w:themeColor="text1"/>
                <w:sz w:val="12"/>
                <w:szCs w:val="12"/>
                <w14:textFill>
                  <w14:solidFill>
                    <w14:schemeClr w14:val="tx1"/>
                  </w14:solidFill>
                </w14:textFill>
              </w:rPr>
            </w:pPr>
            <w:r>
              <w:rPr>
                <w:rFonts w:hint="default" w:ascii="Times New Roman" w:hAnsi="Times New Roman" w:cs="Times New Roman"/>
                <w:color w:val="000000" w:themeColor="text1"/>
                <w:position w:val="0"/>
                <w:sz w:val="24"/>
                <w:szCs w:val="24"/>
                <w14:textFill>
                  <w14:solidFill>
                    <w14:schemeClr w14:val="tx1"/>
                  </w14:solidFill>
                </w14:textFill>
              </w:rPr>
              <w:t>制定突发环境事件简易处置流程，一旦发生泄漏、火灾事故，第一时间启动应急处置，控制污染范围；事故产生的沾染沙土、吸油毡统一按危险废物收集处置。</w:t>
            </w:r>
          </w:p>
          <w:p w14:paraId="0B1E00F2">
            <w:pPr>
              <w:pStyle w:val="17"/>
              <w:keepNext w:val="0"/>
              <w:keepLines w:val="0"/>
              <w:pageBreakBefore w:val="0"/>
              <w:widowControl w:val="0"/>
              <w:kinsoku/>
              <w:wordWrap/>
              <w:overflowPunct/>
              <w:topLinePunct w:val="0"/>
              <w:autoSpaceDE/>
              <w:autoSpaceDN/>
              <w:bidi w:val="0"/>
              <w:spacing w:line="360" w:lineRule="auto"/>
              <w:ind w:firstLine="480" w:firstLineChars="200"/>
              <w:jc w:val="left"/>
              <w:rPr>
                <w:rFonts w:hint="eastAsia" w:ascii="宋体" w:hAnsi="宋体" w:cs="宋体"/>
                <w:color w:val="000000" w:themeColor="text1"/>
                <w:lang w:bidi="ar"/>
                <w14:textFill>
                  <w14:solidFill>
                    <w14:schemeClr w14:val="tx1"/>
                  </w14:solidFill>
                </w14:textFill>
              </w:rPr>
            </w:pPr>
            <w:r>
              <w:rPr>
                <w:rFonts w:hint="eastAsia"/>
                <w:color w:val="000000" w:themeColor="text1"/>
                <w:szCs w:val="24"/>
                <w14:textFill>
                  <w14:solidFill>
                    <w14:schemeClr w14:val="tx1"/>
                  </w14:solidFill>
                </w14:textFill>
              </w:rPr>
              <w:t>综上，本项目不存在重大危险源，在采取相应的环境风险防</w:t>
            </w:r>
            <w:r>
              <w:rPr>
                <w:rFonts w:hint="eastAsia" w:ascii="宋体" w:hAnsi="宋体" w:cs="宋体"/>
                <w:color w:val="000000" w:themeColor="text1"/>
                <w:lang w:bidi="ar"/>
                <w14:textFill>
                  <w14:solidFill>
                    <w14:schemeClr w14:val="tx1"/>
                  </w14:solidFill>
                </w14:textFill>
              </w:rPr>
              <w:t>范措施下，项目环境风险为可接受水平。</w:t>
            </w:r>
          </w:p>
          <w:p w14:paraId="7A3F7C3C">
            <w:pPr>
              <w:spacing w:line="360" w:lineRule="auto"/>
              <w:ind w:firstLine="422" w:firstLineChars="200"/>
              <w:jc w:val="center"/>
              <w:rPr>
                <w:rFonts w:hint="eastAsia" w:ascii="宋体" w:hAnsi="宋体" w:eastAsia="宋体" w:cs="宋体"/>
                <w:b/>
                <w:bCs/>
                <w:color w:val="000000" w:themeColor="text1"/>
                <w:sz w:val="21"/>
                <w:szCs w:val="21"/>
                <w:lang w:val="en-US" w:eastAsia="zh-CN" w:bidi="ar"/>
                <w14:textFill>
                  <w14:solidFill>
                    <w14:schemeClr w14:val="tx1"/>
                  </w14:solidFill>
                </w14:textFill>
              </w:rPr>
            </w:pPr>
            <w:r>
              <w:rPr>
                <w:rFonts w:hint="eastAsia" w:ascii="宋体" w:hAnsi="宋体" w:eastAsia="宋体" w:cs="宋体"/>
                <w:b/>
                <w:bCs/>
                <w:color w:val="000000" w:themeColor="text1"/>
                <w:sz w:val="21"/>
                <w:szCs w:val="21"/>
                <w:lang w:val="en-US" w:eastAsia="zh-CN" w:bidi="ar"/>
                <w14:textFill>
                  <w14:solidFill>
                    <w14:schemeClr w14:val="tx1"/>
                  </w14:solidFill>
                </w14:textFill>
              </w:rPr>
              <w:t>表</w:t>
            </w:r>
            <w:r>
              <w:rPr>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4-18</w:t>
            </w:r>
            <w:r>
              <w:rPr>
                <w:rFonts w:hint="eastAsia" w:ascii="宋体" w:hAnsi="宋体" w:eastAsia="宋体" w:cs="宋体"/>
                <w:b/>
                <w:bCs/>
                <w:color w:val="000000" w:themeColor="text1"/>
                <w:sz w:val="21"/>
                <w:szCs w:val="21"/>
                <w:lang w:val="en-US" w:eastAsia="zh-CN" w:bidi="ar"/>
                <w14:textFill>
                  <w14:solidFill>
                    <w14:schemeClr w14:val="tx1"/>
                  </w14:solidFill>
                </w14:textFill>
              </w:rPr>
              <w:t xml:space="preserve">   建设项目环境风险简单分析表</w:t>
            </w:r>
          </w:p>
          <w:tbl>
            <w:tblPr>
              <w:tblStyle w:val="43"/>
              <w:tblW w:w="499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7695"/>
            </w:tblGrid>
            <w:tr w14:paraId="251D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 w:type="pct"/>
                  <w:tcBorders>
                    <w:top w:val="single" w:color="000000" w:sz="12" w:space="0"/>
                    <w:left w:val="nil"/>
                    <w:tl2br w:val="nil"/>
                  </w:tcBorders>
                  <w:shd w:val="clear" w:color="auto" w:fill="FFFFFF"/>
                  <w:noWrap w:val="0"/>
                  <w:vAlign w:val="top"/>
                </w:tcPr>
                <w:p w14:paraId="0835564C">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建设项目名称</w:t>
                  </w:r>
                </w:p>
              </w:tc>
              <w:tc>
                <w:tcPr>
                  <w:tcW w:w="4027" w:type="pct"/>
                  <w:tcBorders>
                    <w:top w:val="single" w:color="000000" w:sz="12" w:space="0"/>
                    <w:right w:val="nil"/>
                  </w:tcBorders>
                  <w:shd w:val="clear" w:color="auto" w:fill="FFFFFF"/>
                  <w:noWrap w:val="0"/>
                  <w:vAlign w:val="top"/>
                </w:tcPr>
                <w:p w14:paraId="01E43C00">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新疆森淼建筑工程有限公司年产8万吨砂厂固废处理加工扩建项目</w:t>
                  </w:r>
                </w:p>
              </w:tc>
            </w:tr>
            <w:tr w14:paraId="6708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 w:type="pct"/>
                  <w:tcBorders>
                    <w:left w:val="nil"/>
                  </w:tcBorders>
                  <w:shd w:val="clear" w:color="auto" w:fill="FFFFFF"/>
                  <w:noWrap w:val="0"/>
                  <w:vAlign w:val="top"/>
                </w:tcPr>
                <w:p w14:paraId="4679CCC7">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建设项目地点</w:t>
                  </w:r>
                </w:p>
              </w:tc>
              <w:tc>
                <w:tcPr>
                  <w:tcW w:w="4027" w:type="pct"/>
                  <w:tcBorders>
                    <w:right w:val="nil"/>
                  </w:tcBorders>
                  <w:shd w:val="clear" w:color="auto" w:fill="FFFFFF"/>
                  <w:noWrap w:val="0"/>
                  <w:vAlign w:val="top"/>
                </w:tcPr>
                <w:p w14:paraId="183D92AA">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 xml:space="preserve">新疆昌吉回族自治州昌吉市三工镇常胜四队99号 </w:t>
                  </w:r>
                </w:p>
              </w:tc>
            </w:tr>
            <w:tr w14:paraId="7B5F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 w:type="pct"/>
                  <w:tcBorders>
                    <w:left w:val="nil"/>
                  </w:tcBorders>
                  <w:shd w:val="clear" w:color="auto" w:fill="FFFFFF"/>
                  <w:noWrap w:val="0"/>
                  <w:vAlign w:val="top"/>
                </w:tcPr>
                <w:p w14:paraId="21F8912E">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建设地点坐标</w:t>
                  </w:r>
                </w:p>
              </w:tc>
              <w:tc>
                <w:tcPr>
                  <w:tcW w:w="4027" w:type="pct"/>
                  <w:tcBorders>
                    <w:right w:val="nil"/>
                  </w:tcBorders>
                  <w:shd w:val="clear" w:color="auto" w:fill="FFFFFF"/>
                  <w:noWrap w:val="0"/>
                  <w:vAlign w:val="top"/>
                </w:tcPr>
                <w:p w14:paraId="3EAAA79B">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东经87度11分50.652秒，北纬43度59分17.970秒</w:t>
                  </w:r>
                </w:p>
              </w:tc>
            </w:tr>
            <w:tr w14:paraId="116D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 w:type="pct"/>
                  <w:tcBorders>
                    <w:left w:val="nil"/>
                  </w:tcBorders>
                  <w:shd w:val="clear" w:color="auto" w:fill="FFFFFF"/>
                  <w:noWrap w:val="0"/>
                  <w:vAlign w:val="top"/>
                </w:tcPr>
                <w:p w14:paraId="5E596387">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主要危险物质以及分布</w:t>
                  </w:r>
                </w:p>
              </w:tc>
              <w:tc>
                <w:tcPr>
                  <w:tcW w:w="4027" w:type="pct"/>
                  <w:tcBorders>
                    <w:right w:val="nil"/>
                  </w:tcBorders>
                  <w:shd w:val="clear" w:color="auto" w:fill="FFFFFF"/>
                  <w:noWrap w:val="0"/>
                  <w:vAlign w:val="top"/>
                </w:tcPr>
                <w:p w14:paraId="2AC2253E">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①废润滑油（HW08）：贮存于危废贮存库，产生量0.1t/a；②润滑油：分布于各生产设备润滑点，日常使用量较小；③柴油：分布于车辆停放区运输车辆油箱，厂区不设储油罐，无大量柴油贮存</w:t>
                  </w:r>
                </w:p>
              </w:tc>
            </w:tr>
            <w:tr w14:paraId="1572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 w:type="pct"/>
                  <w:tcBorders>
                    <w:left w:val="nil"/>
                  </w:tcBorders>
                  <w:shd w:val="clear" w:color="auto" w:fill="FFFFFF"/>
                  <w:noWrap w:val="0"/>
                  <w:vAlign w:val="top"/>
                </w:tcPr>
                <w:p w14:paraId="52AE34FE">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环境影响途径以及后果</w:t>
                  </w:r>
                </w:p>
              </w:tc>
              <w:tc>
                <w:tcPr>
                  <w:tcW w:w="4027" w:type="pct"/>
                  <w:tcBorders>
                    <w:right w:val="nil"/>
                  </w:tcBorders>
                  <w:shd w:val="clear" w:color="auto" w:fill="FFFFFF"/>
                  <w:noWrap w:val="0"/>
                  <w:vAlign w:val="top"/>
                </w:tcPr>
                <w:p w14:paraId="52760B74">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①危废贮存库废润滑油包装桶碰撞倾倒泄漏，油品渗入土壤并下渗污染地下水；②油品火灾次生污染事故：润滑油、废润滑油、柴油遇明火、电气短路引发火灾，不完全燃烧产生烟尘、VOCs随主导风向扩散，对厂区人员、常胜村居民产生短时大气影响；灭火产生含油消防废水，若截流失效将渗入土壤、地下水；燃烧沾染油污残渣形成危险废物，处置不当易发生二次淋溶污染；③车辆停放区柴油油箱破损渗入土壤并下渗污染地下水。</w:t>
                  </w:r>
                </w:p>
              </w:tc>
            </w:tr>
            <w:tr w14:paraId="37C0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 w:type="pct"/>
                  <w:tcBorders>
                    <w:left w:val="nil"/>
                    <w:bottom w:val="single" w:color="000000" w:sz="12" w:space="0"/>
                  </w:tcBorders>
                  <w:shd w:val="clear" w:color="auto" w:fill="FFFFFF"/>
                  <w:noWrap w:val="0"/>
                  <w:vAlign w:val="top"/>
                </w:tcPr>
                <w:p w14:paraId="06B601E7">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风险防范措施</w:t>
                  </w:r>
                </w:p>
              </w:tc>
              <w:tc>
                <w:tcPr>
                  <w:tcW w:w="4027" w:type="pct"/>
                  <w:tcBorders>
                    <w:bottom w:val="single" w:color="000000" w:sz="12" w:space="0"/>
                    <w:right w:val="nil"/>
                  </w:tcBorders>
                  <w:shd w:val="clear" w:color="auto" w:fill="FFFFFF"/>
                  <w:noWrap w:val="0"/>
                  <w:vAlign w:val="top"/>
                </w:tcPr>
                <w:p w14:paraId="797D8062">
                  <w:pPr>
                    <w:pStyle w:val="2"/>
                    <w:keepNext w:val="0"/>
                    <w:keepLines w:val="0"/>
                    <w:pageBreakBefore w:val="0"/>
                    <w:kinsoku/>
                    <w:wordWrap/>
                    <w:overflowPunct/>
                    <w:topLinePunct w:val="0"/>
                    <w:autoSpaceDE/>
                    <w:autoSpaceDN/>
                    <w:bidi w:val="0"/>
                    <w:spacing w:before="0" w:beforeLines="0" w:after="0" w:afterLines="0" w:line="300" w:lineRule="exact"/>
                    <w:jc w:val="center"/>
                    <w:textAlignment w:val="auto"/>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lang w:val="en-US" w:eastAsia="zh-CN"/>
                      <w14:textFill>
                        <w14:solidFill>
                          <w14:schemeClr w14:val="tx1"/>
                        </w14:solidFill>
                      </w14:textFill>
                    </w:rPr>
                    <w:t>①危废贮存库按 GB18597-2023重点防渗，设置围堰及导流沟，废油桶置于铁质托盘上，配备吸油毡、沙袋等应急物资，规范张贴警示标识；②厂区配备灭火器、消防沙等消防器材，严禁明火，落实防火巡查制度；③车辆停放区地面硬化防渗，配备应急吸油物资；④制定环境风险应急预案，定期开展应急演练。</w:t>
                  </w:r>
                </w:p>
              </w:tc>
            </w:tr>
          </w:tbl>
          <w:p w14:paraId="4CEB2DC7">
            <w:pPr>
              <w:keepNext w:val="0"/>
              <w:keepLines w:val="0"/>
              <w:pageBreakBefore w:val="0"/>
              <w:kinsoku/>
              <w:wordWrap/>
              <w:overflowPunct/>
              <w:topLinePunct w:val="0"/>
              <w:autoSpaceDE/>
              <w:autoSpaceDN/>
              <w:bidi w:val="0"/>
              <w:ind w:firstLine="482"/>
              <w:rPr>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8.</w:t>
            </w:r>
            <w:r>
              <w:rPr>
                <w:rFonts w:hint="eastAsia"/>
                <w:b/>
                <w:bCs/>
                <w:color w:val="000000" w:themeColor="text1"/>
                <w14:textFill>
                  <w14:solidFill>
                    <w14:schemeClr w14:val="tx1"/>
                  </w14:solidFill>
                </w14:textFill>
              </w:rPr>
              <w:t>电磁辐射</w:t>
            </w:r>
          </w:p>
          <w:p w14:paraId="75481B28">
            <w:pPr>
              <w:pStyle w:val="197"/>
              <w:keepNext w:val="0"/>
              <w:keepLines w:val="0"/>
              <w:pageBreakBefore w:val="0"/>
              <w:kinsoku/>
              <w:wordWrap/>
              <w:overflowPunct/>
              <w:topLinePunct w:val="0"/>
              <w:autoSpaceDE/>
              <w:autoSpaceDN/>
              <w:bidi w:val="0"/>
              <w:ind w:firstLine="480"/>
              <w:rPr>
                <w:rFonts w:ascii="宋体" w:hAnsi="宋体" w:cs="宋体"/>
                <w:b/>
                <w:bCs/>
                <w:color w:val="000000" w:themeColor="text1"/>
                <w:kern w:val="2"/>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本项目不涉及</w:t>
            </w:r>
            <w:r>
              <w:rPr>
                <w:rFonts w:hint="eastAsia" w:ascii="宋体" w:hAnsi="宋体" w:cs="宋体"/>
                <w:color w:val="000000" w:themeColor="text1"/>
                <w:kern w:val="2"/>
                <w:sz w:val="24"/>
                <w:szCs w:val="24"/>
                <w14:textFill>
                  <w14:solidFill>
                    <w14:schemeClr w14:val="tx1"/>
                  </w14:solidFill>
                </w14:textFill>
              </w:rPr>
              <w:t>。</w:t>
            </w:r>
          </w:p>
          <w:p w14:paraId="4DBF5598">
            <w:pPr>
              <w:pStyle w:val="200"/>
              <w:spacing w:line="360" w:lineRule="auto"/>
              <w:ind w:firstLine="0" w:firstLineChars="0"/>
              <w:rPr>
                <w:rFonts w:hint="eastAsia" w:ascii="Times New Roman" w:hAnsi="Times New Roman" w:eastAsia="宋体"/>
                <w:b/>
                <w:bCs/>
                <w:color w:val="000000" w:themeColor="text1"/>
                <w:sz w:val="24"/>
                <w:szCs w:val="24"/>
                <w:highlight w:val="none"/>
                <w14:textFill>
                  <w14:solidFill>
                    <w14:schemeClr w14:val="tx1"/>
                  </w14:solidFill>
                </w14:textFill>
              </w:rPr>
            </w:pPr>
            <w:r>
              <w:rPr>
                <w:rFonts w:hint="eastAsia" w:ascii="Times New Roman" w:hAnsi="Times New Roman" w:eastAsia="宋体"/>
                <w:b/>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b/>
                <w:bCs/>
                <w:color w:val="000000" w:themeColor="text1"/>
                <w:sz w:val="24"/>
                <w:szCs w:val="24"/>
                <w:highlight w:val="none"/>
                <w:lang w:val="en-US" w:eastAsia="zh-CN"/>
                <w14:textFill>
                  <w14:solidFill>
                    <w14:schemeClr w14:val="tx1"/>
                  </w14:solidFill>
                </w14:textFill>
              </w:rPr>
              <w:t>八</w:t>
            </w:r>
            <w:r>
              <w:rPr>
                <w:rFonts w:hint="eastAsia" w:ascii="Times New Roman" w:hAnsi="Times New Roman" w:eastAsia="宋体"/>
                <w:b/>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b/>
                <w:bCs/>
                <w:color w:val="000000" w:themeColor="text1"/>
                <w:sz w:val="24"/>
                <w:szCs w:val="24"/>
                <w:highlight w:val="none"/>
                <w14:textFill>
                  <w14:solidFill>
                    <w14:schemeClr w14:val="tx1"/>
                  </w14:solidFill>
                </w14:textFill>
              </w:rPr>
              <w:t>环保投资</w:t>
            </w:r>
          </w:p>
          <w:p w14:paraId="2073E0B4">
            <w:pPr>
              <w:spacing w:line="360" w:lineRule="auto"/>
              <w:ind w:firstLine="480" w:firstLineChars="200"/>
              <w:rPr>
                <w:rFonts w:hint="eastAsia" w:ascii="Times New Roman" w:hAnsi="Times New Roman" w:eastAsia="宋体" w:cs="宋体"/>
                <w:color w:val="000000" w:themeColor="text1"/>
                <w:sz w:val="24"/>
                <w:szCs w:val="24"/>
                <w:highlight w:val="none"/>
                <w:lang w:eastAsia="zh-CN"/>
                <w14:textFill>
                  <w14:solidFill>
                    <w14:schemeClr w14:val="tx1"/>
                  </w14:solidFill>
                </w14:textFill>
              </w:rPr>
            </w:pP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本项目总投资</w:t>
            </w:r>
            <w:r>
              <w:rPr>
                <w:rFonts w:hint="eastAsia" w:cs="宋体"/>
                <w:color w:val="000000" w:themeColor="text1"/>
                <w:sz w:val="24"/>
                <w:szCs w:val="24"/>
                <w:highlight w:val="none"/>
                <w:lang w:val="en-US" w:eastAsia="zh-CN"/>
                <w14:textFill>
                  <w14:solidFill>
                    <w14:schemeClr w14:val="tx1"/>
                  </w14:solidFill>
                </w14:textFill>
              </w:rPr>
              <w:t>200</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万元，其中环保投资</w:t>
            </w:r>
            <w:r>
              <w:rPr>
                <w:rFonts w:hint="eastAsia" w:cs="宋体"/>
                <w:color w:val="000000" w:themeColor="text1"/>
                <w:sz w:val="24"/>
                <w:szCs w:val="24"/>
                <w:highlight w:val="none"/>
                <w:lang w:val="en-US" w:eastAsia="zh-CN"/>
                <w14:textFill>
                  <w14:solidFill>
                    <w14:schemeClr w14:val="tx1"/>
                  </w14:solidFill>
                </w14:textFill>
              </w:rPr>
              <w:t>23</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万元，环保投资占总投资的</w:t>
            </w:r>
            <w:r>
              <w:rPr>
                <w:rFonts w:hint="eastAsia" w:cs="宋体"/>
                <w:color w:val="000000" w:themeColor="text1"/>
                <w:sz w:val="24"/>
                <w:szCs w:val="24"/>
                <w:highlight w:val="none"/>
                <w:lang w:val="en-US" w:eastAsia="zh-CN"/>
                <w14:textFill>
                  <w14:solidFill>
                    <w14:schemeClr w14:val="tx1"/>
                  </w14:solidFill>
                </w14:textFill>
              </w:rPr>
              <w:t>11.5</w:t>
            </w:r>
            <w:r>
              <w:rPr>
                <w:rFonts w:hint="eastAsia" w:ascii="Times New Roman" w:hAnsi="Times New Roman" w:eastAsia="宋体" w:cs="宋体"/>
                <w:color w:val="000000" w:themeColor="text1"/>
                <w:sz w:val="24"/>
                <w:szCs w:val="24"/>
                <w:highlight w:val="none"/>
                <w:lang w:eastAsia="zh-CN"/>
                <w14:textFill>
                  <w14:solidFill>
                    <w14:schemeClr w14:val="tx1"/>
                  </w14:solidFill>
                </w14:textFill>
              </w:rPr>
              <w:t>%，项目环保治理措施及投资见下表。</w:t>
            </w:r>
          </w:p>
          <w:p w14:paraId="29507978">
            <w:pPr>
              <w:spacing w:line="360" w:lineRule="auto"/>
              <w:ind w:firstLine="422" w:firstLineChars="200"/>
              <w:jc w:val="center"/>
              <w:rPr>
                <w:rFonts w:hint="eastAsia" w:ascii="Times New Roman" w:hAnsi="Times New Roman" w:eastAsia="宋体" w:cs="宋体"/>
                <w:b/>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color w:val="000000" w:themeColor="text1"/>
                <w:sz w:val="21"/>
                <w:szCs w:val="21"/>
                <w:highlight w:val="none"/>
                <w:lang w:eastAsia="zh-CN"/>
                <w14:textFill>
                  <w14:solidFill>
                    <w14:schemeClr w14:val="tx1"/>
                  </w14:solidFill>
                </w14:textFill>
              </w:rPr>
              <w:t>表4-</w:t>
            </w:r>
            <w:r>
              <w:rPr>
                <w:rFonts w:hint="eastAsia" w:cs="宋体"/>
                <w:b/>
                <w:color w:val="000000" w:themeColor="text1"/>
                <w:sz w:val="21"/>
                <w:szCs w:val="21"/>
                <w:highlight w:val="none"/>
                <w:lang w:val="en-US" w:eastAsia="zh-CN"/>
                <w14:textFill>
                  <w14:solidFill>
                    <w14:schemeClr w14:val="tx1"/>
                  </w14:solidFill>
                </w14:textFill>
              </w:rPr>
              <w:t>19</w:t>
            </w:r>
            <w:r>
              <w:rPr>
                <w:rFonts w:hint="eastAsia" w:ascii="Times New Roman" w:hAnsi="Times New Roman" w:eastAsia="宋体" w:cs="宋体"/>
                <w:b/>
                <w:color w:val="000000" w:themeColor="text1"/>
                <w:sz w:val="21"/>
                <w:szCs w:val="21"/>
                <w:highlight w:val="none"/>
                <w:lang w:eastAsia="zh-CN"/>
                <w14:textFill>
                  <w14:solidFill>
                    <w14:schemeClr w14:val="tx1"/>
                  </w14:solidFill>
                </w14:textFill>
              </w:rPr>
              <w:t xml:space="preserve">  环境保护措施及投资估算一览表</w:t>
            </w:r>
          </w:p>
          <w:tbl>
            <w:tblPr>
              <w:tblStyle w:val="42"/>
              <w:tblW w:w="49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704"/>
              <w:gridCol w:w="5919"/>
              <w:gridCol w:w="1055"/>
            </w:tblGrid>
            <w:tr w14:paraId="6ABF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1" w:type="dxa"/>
                  <w:tcBorders>
                    <w:top w:val="single" w:color="000000" w:sz="12" w:space="0"/>
                    <w:left w:val="nil"/>
                    <w:tl2br w:val="nil"/>
                  </w:tcBorders>
                  <w:shd w:val="clear" w:color="auto" w:fill="FFFFFF"/>
                  <w:noWrap w:val="0"/>
                  <w:vAlign w:val="center"/>
                </w:tcPr>
                <w:p w14:paraId="316A9205">
                  <w:pPr>
                    <w:spacing w:line="360" w:lineRule="exact"/>
                    <w:ind w:left="0" w:leftChars="0" w:firstLine="0" w:firstLineChars="0"/>
                    <w:jc w:val="both"/>
                    <w:rPr>
                      <w:rFonts w:hint="eastAsia" w:ascii="Times New Roman" w:hAnsi="Times New Roman" w:eastAsia="宋体" w:cs="宋体"/>
                      <w:b w:val="0"/>
                      <w:color w:val="000000" w:themeColor="text1"/>
                      <w:sz w:val="21"/>
                      <w:szCs w:val="21"/>
                      <w:highlight w:val="none"/>
                      <w14:textFill>
                        <w14:solidFill>
                          <w14:schemeClr w14:val="tx1"/>
                        </w14:solidFill>
                      </w14:textFill>
                    </w:rPr>
                  </w:pPr>
                  <w:r>
                    <w:rPr>
                      <w:rFonts w:hint="eastAsia" w:ascii="Times New Roman" w:hAnsi="Times New Roman" w:eastAsia="宋体" w:cs="宋体"/>
                      <w:b w:val="0"/>
                      <w:color w:val="000000" w:themeColor="text1"/>
                      <w:sz w:val="21"/>
                      <w:szCs w:val="21"/>
                      <w:highlight w:val="none"/>
                      <w14:textFill>
                        <w14:solidFill>
                          <w14:schemeClr w14:val="tx1"/>
                        </w14:solidFill>
                      </w14:textFill>
                    </w:rPr>
                    <w:t>内容</w:t>
                  </w:r>
                </w:p>
              </w:tc>
              <w:tc>
                <w:tcPr>
                  <w:tcW w:w="1705" w:type="dxa"/>
                  <w:tcBorders>
                    <w:top w:val="single" w:color="000000" w:sz="12" w:space="0"/>
                  </w:tcBorders>
                  <w:shd w:val="clear" w:color="auto" w:fill="FFFFFF"/>
                  <w:noWrap w:val="0"/>
                  <w:vAlign w:val="center"/>
                </w:tcPr>
                <w:p w14:paraId="59BDAB87">
                  <w:pPr>
                    <w:spacing w:line="360" w:lineRule="exact"/>
                    <w:jc w:val="center"/>
                    <w:rPr>
                      <w:rFonts w:hint="eastAsia" w:ascii="Times New Roman" w:hAnsi="Times New Roman" w:eastAsia="宋体" w:cs="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color w:val="000000" w:themeColor="text1"/>
                      <w:sz w:val="21"/>
                      <w:szCs w:val="21"/>
                      <w:highlight w:val="none"/>
                      <w14:textFill>
                        <w14:solidFill>
                          <w14:schemeClr w14:val="tx1"/>
                        </w14:solidFill>
                      </w14:textFill>
                    </w:rPr>
                    <w:t>污染</w:t>
                  </w:r>
                  <w:r>
                    <w:rPr>
                      <w:rFonts w:hint="eastAsia" w:ascii="Times New Roman" w:hAnsi="Times New Roman" w:eastAsia="宋体" w:cs="宋体"/>
                      <w:b w:val="0"/>
                      <w:color w:val="000000" w:themeColor="text1"/>
                      <w:sz w:val="21"/>
                      <w:szCs w:val="21"/>
                      <w:highlight w:val="none"/>
                      <w:lang w:eastAsia="zh-CN"/>
                      <w14:textFill>
                        <w14:solidFill>
                          <w14:schemeClr w14:val="tx1"/>
                        </w14:solidFill>
                      </w14:textFill>
                    </w:rPr>
                    <w:t>物</w:t>
                  </w:r>
                </w:p>
              </w:tc>
              <w:tc>
                <w:tcPr>
                  <w:tcW w:w="5926" w:type="dxa"/>
                  <w:tcBorders>
                    <w:top w:val="single" w:color="000000" w:sz="12" w:space="0"/>
                  </w:tcBorders>
                  <w:shd w:val="clear" w:color="auto" w:fill="FFFFFF"/>
                  <w:noWrap w:val="0"/>
                  <w:vAlign w:val="center"/>
                </w:tcPr>
                <w:p w14:paraId="04938E15">
                  <w:pPr>
                    <w:spacing w:line="360" w:lineRule="exact"/>
                    <w:jc w:val="center"/>
                    <w:rPr>
                      <w:rFonts w:hint="eastAsia" w:ascii="Times New Roman" w:hAnsi="Times New Roman" w:eastAsia="宋体" w:cs="宋体"/>
                      <w:b w:val="0"/>
                      <w:color w:val="000000" w:themeColor="text1"/>
                      <w:sz w:val="21"/>
                      <w:szCs w:val="21"/>
                      <w:highlight w:val="none"/>
                      <w14:textFill>
                        <w14:solidFill>
                          <w14:schemeClr w14:val="tx1"/>
                        </w14:solidFill>
                      </w14:textFill>
                    </w:rPr>
                  </w:pPr>
                  <w:r>
                    <w:rPr>
                      <w:rFonts w:hint="eastAsia" w:ascii="Times New Roman" w:hAnsi="Times New Roman" w:eastAsia="宋体" w:cs="宋体"/>
                      <w:b w:val="0"/>
                      <w:color w:val="000000" w:themeColor="text1"/>
                      <w:sz w:val="21"/>
                      <w:szCs w:val="21"/>
                      <w:highlight w:val="none"/>
                      <w:lang w:eastAsia="zh-CN"/>
                      <w14:textFill>
                        <w14:solidFill>
                          <w14:schemeClr w14:val="tx1"/>
                        </w14:solidFill>
                      </w14:textFill>
                    </w:rPr>
                    <w:t>环境保护</w:t>
                  </w:r>
                  <w:r>
                    <w:rPr>
                      <w:rFonts w:hint="eastAsia" w:ascii="Times New Roman" w:hAnsi="Times New Roman" w:eastAsia="宋体" w:cs="宋体"/>
                      <w:b w:val="0"/>
                      <w:color w:val="000000" w:themeColor="text1"/>
                      <w:sz w:val="21"/>
                      <w:szCs w:val="21"/>
                      <w:highlight w:val="none"/>
                      <w14:textFill>
                        <w14:solidFill>
                          <w14:schemeClr w14:val="tx1"/>
                        </w14:solidFill>
                      </w14:textFill>
                    </w:rPr>
                    <w:t>措施</w:t>
                  </w:r>
                </w:p>
              </w:tc>
              <w:tc>
                <w:tcPr>
                  <w:tcW w:w="1056" w:type="dxa"/>
                  <w:tcBorders>
                    <w:top w:val="single" w:color="000000" w:sz="12" w:space="0"/>
                    <w:right w:val="nil"/>
                  </w:tcBorders>
                  <w:shd w:val="clear" w:color="auto" w:fill="FFFFFF"/>
                  <w:noWrap w:val="0"/>
                  <w:vAlign w:val="center"/>
                </w:tcPr>
                <w:p w14:paraId="6ECE23C1">
                  <w:pPr>
                    <w:spacing w:line="360" w:lineRule="exact"/>
                    <w:ind w:left="0" w:leftChars="0" w:firstLine="0" w:firstLineChars="0"/>
                    <w:jc w:val="both"/>
                    <w:rPr>
                      <w:rFonts w:hint="eastAsia" w:ascii="Times New Roman" w:hAnsi="Times New Roman" w:eastAsia="宋体" w:cs="宋体"/>
                      <w:b w:val="0"/>
                      <w:color w:val="000000" w:themeColor="text1"/>
                      <w:sz w:val="21"/>
                      <w:szCs w:val="21"/>
                      <w:highlight w:val="none"/>
                      <w14:textFill>
                        <w14:solidFill>
                          <w14:schemeClr w14:val="tx1"/>
                        </w14:solidFill>
                      </w14:textFill>
                    </w:rPr>
                  </w:pPr>
                  <w:r>
                    <w:rPr>
                      <w:rFonts w:hint="eastAsia" w:ascii="Times New Roman" w:hAnsi="Times New Roman" w:eastAsia="宋体" w:cs="宋体"/>
                      <w:b w:val="0"/>
                      <w:color w:val="000000" w:themeColor="text1"/>
                      <w:sz w:val="21"/>
                      <w:szCs w:val="21"/>
                      <w:highlight w:val="none"/>
                      <w14:textFill>
                        <w14:solidFill>
                          <w14:schemeClr w14:val="tx1"/>
                        </w14:solidFill>
                      </w14:textFill>
                    </w:rPr>
                    <w:t>投资（万元）</w:t>
                  </w:r>
                </w:p>
              </w:tc>
            </w:tr>
            <w:tr w14:paraId="5DBF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1" w:type="dxa"/>
                  <w:tcBorders>
                    <w:left w:val="nil"/>
                  </w:tcBorders>
                  <w:shd w:val="clear" w:color="auto" w:fill="FFFFFF"/>
                  <w:noWrap w:val="0"/>
                  <w:vAlign w:val="center"/>
                </w:tcPr>
                <w:p w14:paraId="04828DDC">
                  <w:pPr>
                    <w:spacing w:line="360" w:lineRule="exact"/>
                    <w:ind w:left="0" w:leftChars="0" w:firstLine="0" w:firstLineChars="0"/>
                    <w:jc w:val="center"/>
                    <w:rPr>
                      <w:rFonts w:ascii="Times New Roman" w:hAnsi="Times New Roman" w:eastAsia="宋体" w:cs="宋体"/>
                      <w:b w:val="0"/>
                      <w:bCs/>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t>废水治理</w:t>
                  </w:r>
                </w:p>
              </w:tc>
              <w:tc>
                <w:tcPr>
                  <w:tcW w:w="1705" w:type="dxa"/>
                  <w:shd w:val="clear" w:color="auto" w:fill="FFFFFF"/>
                  <w:noWrap w:val="0"/>
                  <w:vAlign w:val="center"/>
                </w:tcPr>
                <w:p w14:paraId="59D8F8AA">
                  <w:pPr>
                    <w:spacing w:line="360" w:lineRule="exact"/>
                    <w:ind w:left="0" w:leftChars="0" w:firstLine="0" w:firstLineChars="0"/>
                    <w:jc w:val="center"/>
                    <w:rPr>
                      <w:rFonts w:ascii="Times New Roman" w:hAnsi="Times New Roman" w:eastAsia="宋体" w:cs="宋体"/>
                      <w:b w:val="0"/>
                      <w:bCs/>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t>生活污水</w:t>
                  </w:r>
                </w:p>
              </w:tc>
              <w:tc>
                <w:tcPr>
                  <w:tcW w:w="5926" w:type="dxa"/>
                  <w:shd w:val="clear" w:color="auto" w:fill="FFFFFF"/>
                  <w:noWrap w:val="0"/>
                  <w:vAlign w:val="center"/>
                </w:tcPr>
                <w:p w14:paraId="7D3DB770">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vertAlign w:val="baseline"/>
                      <w:lang w:val="en-US" w:eastAsia="zh-CN"/>
                      <w14:textFill>
                        <w14:solidFill>
                          <w14:schemeClr w14:val="tx1"/>
                        </w14:solidFill>
                      </w14:textFill>
                    </w:rPr>
                    <w:t>吸污车运往</w:t>
                  </w:r>
                  <w:r>
                    <w:rPr>
                      <w:rFonts w:hint="default" w:ascii="Times New Roman" w:hAnsi="Times New Roman" w:eastAsia="宋体" w:cs="Times New Roman"/>
                      <w:b w:val="0"/>
                      <w:color w:val="000000" w:themeColor="text1"/>
                      <w:spacing w:val="0"/>
                      <w:sz w:val="21"/>
                      <w:szCs w:val="21"/>
                      <w:lang w:val="en-US" w:eastAsia="zh-CN"/>
                      <w14:textFill>
                        <w14:solidFill>
                          <w14:schemeClr w14:val="tx1"/>
                        </w14:solidFill>
                      </w14:textFill>
                    </w:rPr>
                    <w:t>昌吉市第二污水处理厂</w:t>
                  </w:r>
                  <w:r>
                    <w:rPr>
                      <w:rFonts w:hint="eastAsia" w:ascii="Times New Roman" w:hAnsi="Times New Roman" w:eastAsia="宋体" w:cs="Times New Roman"/>
                      <w:b w:val="0"/>
                      <w:color w:val="000000" w:themeColor="text1"/>
                      <w:sz w:val="21"/>
                      <w:szCs w:val="21"/>
                      <w:highlight w:val="none"/>
                      <w:vertAlign w:val="baseline"/>
                      <w:lang w:val="en-US" w:eastAsia="zh-CN"/>
                      <w14:textFill>
                        <w14:solidFill>
                          <w14:schemeClr w14:val="tx1"/>
                        </w14:solidFill>
                      </w14:textFill>
                    </w:rPr>
                    <w:t>处理</w:t>
                  </w:r>
                </w:p>
              </w:tc>
              <w:tc>
                <w:tcPr>
                  <w:tcW w:w="1056" w:type="dxa"/>
                  <w:tcBorders>
                    <w:right w:val="nil"/>
                  </w:tcBorders>
                  <w:shd w:val="clear" w:color="auto" w:fill="FFFFFF"/>
                  <w:noWrap w:val="0"/>
                  <w:vAlign w:val="center"/>
                </w:tcPr>
                <w:p w14:paraId="175F8D49">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0.</w:t>
                  </w:r>
                  <w:r>
                    <w:rPr>
                      <w:rFonts w:hint="eastAsia" w:ascii="Times New Roman" w:hAnsi="Times New Roman" w:eastAsia="宋体" w:cs="宋体"/>
                      <w:b w:val="0"/>
                      <w:bCs/>
                      <w:color w:val="000000" w:themeColor="text1"/>
                      <w:sz w:val="21"/>
                      <w:szCs w:val="21"/>
                      <w:highlight w:val="none"/>
                      <w:lang w:val="en-US" w:eastAsia="zh-CN"/>
                      <w14:textFill>
                        <w14:solidFill>
                          <w14:schemeClr w14:val="tx1"/>
                        </w14:solidFill>
                      </w14:textFill>
                    </w:rPr>
                    <w:t>5</w:t>
                  </w:r>
                </w:p>
              </w:tc>
            </w:tr>
            <w:tr w14:paraId="7F15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791" w:type="dxa"/>
                  <w:vMerge w:val="restart"/>
                  <w:tcBorders>
                    <w:left w:val="nil"/>
                  </w:tcBorders>
                  <w:shd w:val="clear" w:color="auto" w:fill="FFFFFF"/>
                  <w:noWrap w:val="0"/>
                  <w:vAlign w:val="center"/>
                </w:tcPr>
                <w:p w14:paraId="344D164C">
                  <w:pPr>
                    <w:spacing w:line="360" w:lineRule="exact"/>
                    <w:ind w:left="0" w:leftChars="0" w:firstLine="0" w:firstLineChars="0"/>
                    <w:jc w:val="center"/>
                    <w:rPr>
                      <w:rFonts w:hint="eastAsia" w:ascii="Times New Roman" w:hAnsi="Times New Roman" w:eastAsia="宋体" w:cs="宋体"/>
                      <w:b w:val="0"/>
                      <w:bCs/>
                      <w:color w:val="000000" w:themeColor="text1"/>
                      <w:sz w:val="21"/>
                      <w:szCs w:val="21"/>
                      <w:highlight w:val="none"/>
                      <w14:textFill>
                        <w14:solidFill>
                          <w14:schemeClr w14:val="tx1"/>
                        </w14:solidFill>
                      </w14:textFill>
                    </w:rPr>
                  </w:pPr>
                  <w:r>
                    <w:rPr>
                      <w:rFonts w:hint="eastAsia" w:ascii="Times New Roman" w:hAnsi="Times New Roman" w:eastAsia="宋体" w:cs="宋体"/>
                      <w:b w:val="0"/>
                      <w:bCs/>
                      <w:color w:val="000000" w:themeColor="text1"/>
                      <w:sz w:val="21"/>
                      <w:szCs w:val="21"/>
                      <w:highlight w:val="none"/>
                      <w14:textFill>
                        <w14:solidFill>
                          <w14:schemeClr w14:val="tx1"/>
                        </w14:solidFill>
                      </w14:textFill>
                    </w:rPr>
                    <w:t>废气治理</w:t>
                  </w:r>
                </w:p>
              </w:tc>
              <w:tc>
                <w:tcPr>
                  <w:tcW w:w="1705" w:type="dxa"/>
                  <w:shd w:val="clear" w:color="auto" w:fill="FFFFFF"/>
                  <w:noWrap w:val="0"/>
                  <w:vAlign w:val="center"/>
                </w:tcPr>
                <w:p w14:paraId="55139A1C">
                  <w:pPr>
                    <w:keepNext w:val="0"/>
                    <w:keepLines w:val="0"/>
                    <w:pageBreakBefore w:val="0"/>
                    <w:widowControl w:val="0"/>
                    <w:overflowPunct/>
                    <w:autoSpaceDE/>
                    <w:autoSpaceDN/>
                    <w:bidi w:val="0"/>
                    <w:adjustRightInd w:val="0"/>
                    <w:snapToGrid w:val="0"/>
                    <w:spacing w:line="360" w:lineRule="exact"/>
                    <w:ind w:firstLine="0" w:firstLineChars="0"/>
                    <w:jc w:val="center"/>
                    <w:textAlignment w:val="auto"/>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上料、振动筛分生产过程中产生的颗粒物</w:t>
                  </w:r>
                </w:p>
              </w:tc>
              <w:tc>
                <w:tcPr>
                  <w:tcW w:w="5926" w:type="dxa"/>
                  <w:shd w:val="clear" w:color="auto" w:fill="FFFFFF"/>
                  <w:noWrap w:val="0"/>
                  <w:vAlign w:val="center"/>
                </w:tcPr>
                <w:p w14:paraId="6BB3FB51">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b w:val="0"/>
                      <w:color w:val="000000" w:themeColor="text1"/>
                      <w:sz w:val="21"/>
                      <w:szCs w:val="21"/>
                      <w:highlight w:val="none"/>
                      <w:vertAlign w:val="baseline"/>
                      <w:lang w:val="en-US" w:eastAsia="zh-CN"/>
                      <w14:textFill>
                        <w14:solidFill>
                          <w14:schemeClr w14:val="tx1"/>
                        </w14:solidFill>
                      </w14:textFill>
                    </w:rPr>
                    <w:t>布袋除尘器</w:t>
                  </w:r>
                  <w:r>
                    <w:rPr>
                      <w:rFonts w:hint="eastAsia" w:ascii="Times New Roman" w:hAnsi="Times New Roman" w:eastAsia="宋体"/>
                      <w:b w:val="0"/>
                      <w:color w:val="000000" w:themeColor="text1"/>
                      <w:sz w:val="21"/>
                      <w:szCs w:val="21"/>
                      <w:highlight w:val="none"/>
                      <w:vertAlign w:val="baseline"/>
                      <w14:textFill>
                        <w14:solidFill>
                          <w14:schemeClr w14:val="tx1"/>
                        </w14:solidFill>
                      </w14:textFill>
                    </w:rPr>
                    <w:t>装置处理后，通过1根15m排气筒（DA00</w:t>
                  </w:r>
                  <w:r>
                    <w:rPr>
                      <w:rFonts w:hint="eastAsia"/>
                      <w:b w:val="0"/>
                      <w:color w:val="000000" w:themeColor="text1"/>
                      <w:sz w:val="21"/>
                      <w:szCs w:val="21"/>
                      <w:highlight w:val="none"/>
                      <w:vertAlign w:val="baseline"/>
                      <w:lang w:val="en-US" w:eastAsia="zh-CN"/>
                      <w14:textFill>
                        <w14:solidFill>
                          <w14:schemeClr w14:val="tx1"/>
                        </w14:solidFill>
                      </w14:textFill>
                    </w:rPr>
                    <w:t>2</w:t>
                  </w:r>
                  <w:r>
                    <w:rPr>
                      <w:rFonts w:hint="eastAsia" w:ascii="Times New Roman" w:hAnsi="Times New Roman" w:eastAsia="宋体"/>
                      <w:b w:val="0"/>
                      <w:color w:val="000000" w:themeColor="text1"/>
                      <w:sz w:val="21"/>
                      <w:szCs w:val="21"/>
                      <w:highlight w:val="none"/>
                      <w:vertAlign w:val="baseline"/>
                      <w14:textFill>
                        <w14:solidFill>
                          <w14:schemeClr w14:val="tx1"/>
                        </w14:solidFill>
                      </w14:textFill>
                    </w:rPr>
                    <w:t>）排放</w:t>
                  </w:r>
                </w:p>
              </w:tc>
              <w:tc>
                <w:tcPr>
                  <w:tcW w:w="1056" w:type="dxa"/>
                  <w:tcBorders>
                    <w:right w:val="nil"/>
                  </w:tcBorders>
                  <w:shd w:val="clear" w:color="auto" w:fill="FFFFFF"/>
                  <w:noWrap w:val="0"/>
                  <w:vAlign w:val="center"/>
                </w:tcPr>
                <w:p w14:paraId="762C2E94">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val="en-US" w:eastAsia="zh-CN"/>
                      <w14:textFill>
                        <w14:solidFill>
                          <w14:schemeClr w14:val="tx1"/>
                        </w14:solidFill>
                      </w14:textFill>
                    </w:rPr>
                    <w:t>3</w:t>
                  </w:r>
                </w:p>
              </w:tc>
            </w:tr>
            <w:tr w14:paraId="4B9F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791" w:type="dxa"/>
                  <w:vMerge w:val="continue"/>
                  <w:tcBorders>
                    <w:left w:val="nil"/>
                  </w:tcBorders>
                  <w:shd w:val="clear" w:color="auto" w:fill="FFFFFF"/>
                  <w:noWrap w:val="0"/>
                  <w:vAlign w:val="center"/>
                </w:tcPr>
                <w:p w14:paraId="2170DC0A">
                  <w:pPr>
                    <w:spacing w:line="360" w:lineRule="exact"/>
                    <w:ind w:left="0" w:leftChars="0" w:firstLine="0" w:firstLineChars="0"/>
                    <w:jc w:val="both"/>
                    <w:rPr>
                      <w:rFonts w:hint="eastAsia" w:ascii="Times New Roman" w:hAnsi="Times New Roman" w:eastAsia="宋体" w:cs="宋体"/>
                      <w:b w:val="0"/>
                      <w:bCs/>
                      <w:color w:val="000000" w:themeColor="text1"/>
                      <w:sz w:val="21"/>
                      <w:szCs w:val="21"/>
                      <w:highlight w:val="none"/>
                      <w14:textFill>
                        <w14:solidFill>
                          <w14:schemeClr w14:val="tx1"/>
                        </w14:solidFill>
                      </w14:textFill>
                    </w:rPr>
                  </w:pPr>
                </w:p>
              </w:tc>
              <w:tc>
                <w:tcPr>
                  <w:tcW w:w="1705" w:type="dxa"/>
                  <w:shd w:val="clear" w:color="auto" w:fill="FFFFFF"/>
                  <w:noWrap w:val="0"/>
                  <w:vAlign w:val="center"/>
                </w:tcPr>
                <w:p w14:paraId="08159A3F">
                  <w:pPr>
                    <w:keepNext w:val="0"/>
                    <w:keepLines w:val="0"/>
                    <w:pageBreakBefore w:val="0"/>
                    <w:widowControl w:val="0"/>
                    <w:overflowPunct/>
                    <w:autoSpaceDE/>
                    <w:autoSpaceDN/>
                    <w:bidi w:val="0"/>
                    <w:adjustRightInd w:val="0"/>
                    <w:snapToGrid w:val="0"/>
                    <w:spacing w:line="360" w:lineRule="exact"/>
                    <w:ind w:firstLine="0" w:firstLineChars="0"/>
                    <w:jc w:val="center"/>
                    <w:textAlignment w:val="auto"/>
                    <w:rPr>
                      <w:rFonts w:hint="default"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原料堆场、成品堆场产生颗粒物</w:t>
                  </w:r>
                </w:p>
              </w:tc>
              <w:tc>
                <w:tcPr>
                  <w:tcW w:w="5926" w:type="dxa"/>
                  <w:shd w:val="clear" w:color="auto" w:fill="FFFFFF"/>
                  <w:noWrap w:val="0"/>
                  <w:vAlign w:val="center"/>
                </w:tcPr>
                <w:p w14:paraId="53B95DD0">
                  <w:pPr>
                    <w:spacing w:line="360" w:lineRule="exact"/>
                    <w:ind w:firstLine="210" w:firstLineChars="100"/>
                    <w:jc w:val="center"/>
                    <w:rPr>
                      <w:rFonts w:hint="default"/>
                      <w:b w:val="0"/>
                      <w:color w:val="000000" w:themeColor="text1"/>
                      <w:sz w:val="21"/>
                      <w:szCs w:val="21"/>
                      <w:highlight w:val="none"/>
                      <w:vertAlign w:val="baseline"/>
                      <w:lang w:val="en-US" w:eastAsia="zh-CN"/>
                      <w14:textFill>
                        <w14:solidFill>
                          <w14:schemeClr w14:val="tx1"/>
                        </w14:solidFill>
                      </w14:textFill>
                    </w:rPr>
                  </w:pPr>
                  <w:r>
                    <w:rPr>
                      <w:rFonts w:hint="eastAsia"/>
                      <w:b w:val="0"/>
                      <w:color w:val="000000" w:themeColor="text1"/>
                      <w:sz w:val="21"/>
                      <w:szCs w:val="21"/>
                      <w:highlight w:val="none"/>
                      <w:vertAlign w:val="baseline"/>
                      <w:lang w:val="en-US" w:eastAsia="zh-CN"/>
                      <w14:textFill>
                        <w14:solidFill>
                          <w14:schemeClr w14:val="tx1"/>
                        </w14:solidFill>
                      </w14:textFill>
                    </w:rPr>
                    <w:t>防风抑尘网+洒水</w:t>
                  </w:r>
                </w:p>
              </w:tc>
              <w:tc>
                <w:tcPr>
                  <w:tcW w:w="1056" w:type="dxa"/>
                  <w:tcBorders>
                    <w:right w:val="nil"/>
                  </w:tcBorders>
                  <w:shd w:val="clear" w:color="auto" w:fill="FFFFFF"/>
                  <w:noWrap w:val="0"/>
                  <w:vAlign w:val="center"/>
                </w:tcPr>
                <w:p w14:paraId="153F2AB8">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3</w:t>
                  </w:r>
                </w:p>
              </w:tc>
            </w:tr>
            <w:tr w14:paraId="2A37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1" w:type="dxa"/>
                  <w:tcBorders>
                    <w:left w:val="nil"/>
                  </w:tcBorders>
                  <w:shd w:val="clear" w:color="auto" w:fill="FFFFFF"/>
                  <w:noWrap w:val="0"/>
                  <w:vAlign w:val="center"/>
                </w:tcPr>
                <w:p w14:paraId="114C9F8C">
                  <w:pPr>
                    <w:spacing w:line="360" w:lineRule="exact"/>
                    <w:ind w:left="0" w:leftChars="0" w:firstLine="0" w:firstLineChars="0"/>
                    <w:jc w:val="center"/>
                    <w:rPr>
                      <w:rFonts w:hint="eastAsia" w:ascii="Times New Roman" w:hAnsi="Times New Roman" w:eastAsia="宋体" w:cs="宋体"/>
                      <w:b w:val="0"/>
                      <w:bCs/>
                      <w:color w:val="000000" w:themeColor="text1"/>
                      <w:sz w:val="21"/>
                      <w:szCs w:val="21"/>
                      <w:highlight w:val="none"/>
                      <w14:textFill>
                        <w14:solidFill>
                          <w14:schemeClr w14:val="tx1"/>
                        </w14:solidFill>
                      </w14:textFill>
                    </w:rPr>
                  </w:pPr>
                  <w:r>
                    <w:rPr>
                      <w:rFonts w:hint="eastAsia" w:ascii="Times New Roman" w:hAnsi="Times New Roman" w:eastAsia="宋体" w:cs="宋体"/>
                      <w:b w:val="0"/>
                      <w:bCs/>
                      <w:color w:val="000000" w:themeColor="text1"/>
                      <w:sz w:val="21"/>
                      <w:szCs w:val="21"/>
                      <w:highlight w:val="none"/>
                      <w14:textFill>
                        <w14:solidFill>
                          <w14:schemeClr w14:val="tx1"/>
                        </w14:solidFill>
                      </w14:textFill>
                    </w:rPr>
                    <w:t>噪声治理</w:t>
                  </w:r>
                </w:p>
              </w:tc>
              <w:tc>
                <w:tcPr>
                  <w:tcW w:w="1705" w:type="dxa"/>
                  <w:shd w:val="clear" w:color="auto" w:fill="FFFFFF"/>
                  <w:noWrap w:val="0"/>
                  <w:vAlign w:val="center"/>
                </w:tcPr>
                <w:p w14:paraId="37F36865">
                  <w:pPr>
                    <w:spacing w:line="360" w:lineRule="exact"/>
                    <w:jc w:val="cente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t>设备噪声</w:t>
                  </w:r>
                </w:p>
              </w:tc>
              <w:tc>
                <w:tcPr>
                  <w:tcW w:w="5926" w:type="dxa"/>
                  <w:shd w:val="clear" w:color="auto" w:fill="FFFFFF"/>
                  <w:noWrap w:val="0"/>
                  <w:vAlign w:val="center"/>
                </w:tcPr>
                <w:p w14:paraId="58C88BB1">
                  <w:pPr>
                    <w:spacing w:line="360" w:lineRule="exact"/>
                    <w:ind w:left="0" w:leftChars="0" w:firstLine="0" w:firstLineChars="0"/>
                    <w:jc w:val="cente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color w:val="000000" w:themeColor="text1"/>
                      <w:sz w:val="21"/>
                      <w:szCs w:val="21"/>
                      <w:highlight w:val="none"/>
                      <w:lang w:val="en-US" w:eastAsia="zh-CN"/>
                      <w14:textFill>
                        <w14:solidFill>
                          <w14:schemeClr w14:val="tx1"/>
                        </w14:solidFill>
                      </w14:textFill>
                    </w:rPr>
                    <w:t>选用低噪声设备、</w:t>
                  </w:r>
                  <w:r>
                    <w:rPr>
                      <w:rFonts w:hint="eastAsia" w:ascii="Times New Roman" w:hAnsi="Times New Roman" w:eastAsia="宋体" w:cs="宋体"/>
                      <w:b w:val="0"/>
                      <w:color w:val="000000" w:themeColor="text1"/>
                      <w:sz w:val="21"/>
                      <w:szCs w:val="21"/>
                      <w:highlight w:val="none"/>
                      <w:lang w:eastAsia="zh-CN"/>
                      <w14:textFill>
                        <w14:solidFill>
                          <w14:schemeClr w14:val="tx1"/>
                        </w14:solidFill>
                      </w14:textFill>
                    </w:rPr>
                    <w:t>厂房封闭隔声、设备基础减振、加强设备维护</w:t>
                  </w:r>
                </w:p>
              </w:tc>
              <w:tc>
                <w:tcPr>
                  <w:tcW w:w="1056" w:type="dxa"/>
                  <w:tcBorders>
                    <w:right w:val="nil"/>
                  </w:tcBorders>
                  <w:shd w:val="clear" w:color="auto" w:fill="FFFFFF"/>
                  <w:noWrap w:val="0"/>
                  <w:vAlign w:val="center"/>
                </w:tcPr>
                <w:p w14:paraId="788B3DE8">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2</w:t>
                  </w:r>
                </w:p>
              </w:tc>
            </w:tr>
            <w:tr w14:paraId="3AE2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1" w:type="dxa"/>
                  <w:vMerge w:val="restart"/>
                  <w:tcBorders>
                    <w:left w:val="nil"/>
                  </w:tcBorders>
                  <w:shd w:val="clear" w:color="auto" w:fill="FFFFFF"/>
                  <w:noWrap w:val="0"/>
                  <w:vAlign w:val="center"/>
                </w:tcPr>
                <w:p w14:paraId="20457703">
                  <w:pPr>
                    <w:spacing w:line="360" w:lineRule="exact"/>
                    <w:ind w:left="0" w:leftChars="0" w:firstLine="0" w:firstLineChars="0"/>
                    <w:jc w:val="both"/>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t>固废治理</w:t>
                  </w:r>
                </w:p>
              </w:tc>
              <w:tc>
                <w:tcPr>
                  <w:tcW w:w="1705" w:type="dxa"/>
                  <w:shd w:val="clear" w:color="auto" w:fill="FFFFFF"/>
                  <w:noWrap w:val="0"/>
                  <w:vAlign w:val="center"/>
                </w:tcPr>
                <w:p w14:paraId="582CA5F3">
                  <w:pPr>
                    <w:pStyle w:val="200"/>
                    <w:spacing w:line="360" w:lineRule="exact"/>
                    <w:ind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val="en-US" w:eastAsia="zh-CN"/>
                      <w14:textFill>
                        <w14:solidFill>
                          <w14:schemeClr w14:val="tx1"/>
                        </w14:solidFill>
                      </w14:textFill>
                    </w:rPr>
                    <w:t>生活垃圾</w:t>
                  </w:r>
                </w:p>
              </w:tc>
              <w:tc>
                <w:tcPr>
                  <w:tcW w:w="5926" w:type="dxa"/>
                  <w:shd w:val="clear" w:color="auto" w:fill="FFFFFF"/>
                  <w:noWrap w:val="0"/>
                  <w:vAlign w:val="center"/>
                </w:tcPr>
                <w:p w14:paraId="1BEC683E">
                  <w:pPr>
                    <w:spacing w:line="360" w:lineRule="exact"/>
                    <w:ind w:firstLine="210" w:firstLineChars="100"/>
                    <w:jc w:val="center"/>
                    <w:rPr>
                      <w:rFonts w:hint="default" w:ascii="Times New Roman" w:hAnsi="Times New Roman" w:eastAsia="宋体" w:cs="宋体"/>
                      <w:b w:val="0"/>
                      <w:color w:val="000000" w:themeColor="text1"/>
                      <w:sz w:val="21"/>
                      <w:szCs w:val="21"/>
                      <w:highlight w:val="none"/>
                      <w:lang w:val="en-US" w:eastAsia="zh-CN"/>
                      <w14:textFill>
                        <w14:solidFill>
                          <w14:schemeClr w14:val="tx1"/>
                        </w14:solidFill>
                      </w14:textFill>
                    </w:rPr>
                  </w:pPr>
                  <w:r>
                    <w:rPr>
                      <w:rFonts w:hint="eastAsia"/>
                      <w:b w:val="0"/>
                      <w:color w:val="000000" w:themeColor="text1"/>
                      <w:sz w:val="21"/>
                      <w:szCs w:val="21"/>
                      <w:highlight w:val="none"/>
                      <w:vertAlign w:val="baseline"/>
                      <w:lang w:val="en-US" w:eastAsia="zh-CN"/>
                      <w14:textFill>
                        <w14:solidFill>
                          <w14:schemeClr w14:val="tx1"/>
                        </w14:solidFill>
                      </w14:textFill>
                    </w:rPr>
                    <w:t>由昌吉市三工镇常胜四队村委会收集后统一交由昌吉市市容环境卫生管理中心处理处置</w:t>
                  </w:r>
                </w:p>
              </w:tc>
              <w:tc>
                <w:tcPr>
                  <w:tcW w:w="1056" w:type="dxa"/>
                  <w:tcBorders>
                    <w:right w:val="nil"/>
                  </w:tcBorders>
                  <w:shd w:val="clear" w:color="auto" w:fill="FFFFFF"/>
                  <w:noWrap w:val="0"/>
                  <w:vAlign w:val="center"/>
                </w:tcPr>
                <w:p w14:paraId="711BBFB5">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val="en-US" w:eastAsia="zh-CN"/>
                      <w14:textFill>
                        <w14:solidFill>
                          <w14:schemeClr w14:val="tx1"/>
                        </w14:solidFill>
                      </w14:textFill>
                    </w:rPr>
                    <w:t>0.2</w:t>
                  </w:r>
                </w:p>
              </w:tc>
            </w:tr>
            <w:tr w14:paraId="3C9D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1" w:type="dxa"/>
                  <w:vMerge w:val="continue"/>
                  <w:tcBorders>
                    <w:left w:val="nil"/>
                  </w:tcBorders>
                  <w:shd w:val="clear" w:color="auto" w:fill="FFFFFF"/>
                  <w:noWrap w:val="0"/>
                  <w:vAlign w:val="center"/>
                </w:tcPr>
                <w:p w14:paraId="5783CE43">
                  <w:pPr>
                    <w:spacing w:line="360" w:lineRule="exact"/>
                    <w:jc w:val="cente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pPr>
                </w:p>
              </w:tc>
              <w:tc>
                <w:tcPr>
                  <w:tcW w:w="1705" w:type="dxa"/>
                  <w:shd w:val="clear" w:color="auto" w:fill="FFFFFF"/>
                  <w:noWrap w:val="0"/>
                  <w:vAlign w:val="center"/>
                </w:tcPr>
                <w:p w14:paraId="0E945C40">
                  <w:pPr>
                    <w:pStyle w:val="200"/>
                    <w:spacing w:line="360" w:lineRule="exact"/>
                    <w:ind w:firstLine="0" w:firstLineChars="0"/>
                    <w:jc w:val="center"/>
                    <w:rPr>
                      <w:rFonts w:hint="eastAsia" w:ascii="Times New Roman" w:hAnsi="Times New Roman" w:eastAsia="宋体" w:cs="宋体"/>
                      <w:b w:val="0"/>
                      <w:bCs/>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color w:val="000000" w:themeColor="text1"/>
                      <w:sz w:val="21"/>
                      <w:szCs w:val="21"/>
                      <w:highlight w:val="none"/>
                      <w14:textFill>
                        <w14:solidFill>
                          <w14:schemeClr w14:val="tx1"/>
                        </w14:solidFill>
                      </w14:textFill>
                    </w:rPr>
                    <w:t>一般</w:t>
                  </w:r>
                  <w:r>
                    <w:rPr>
                      <w:rFonts w:hint="eastAsia" w:ascii="Times New Roman" w:hAnsi="Times New Roman" w:eastAsia="宋体" w:cs="宋体"/>
                      <w:b w:val="0"/>
                      <w:bCs/>
                      <w:color w:val="000000" w:themeColor="text1"/>
                      <w:sz w:val="21"/>
                      <w:szCs w:val="21"/>
                      <w:highlight w:val="none"/>
                      <w:lang w:val="en-US" w:eastAsia="zh-CN"/>
                      <w14:textFill>
                        <w14:solidFill>
                          <w14:schemeClr w14:val="tx1"/>
                        </w14:solidFill>
                      </w14:textFill>
                    </w:rPr>
                    <w:t>工业</w:t>
                  </w:r>
                  <w:r>
                    <w:rPr>
                      <w:rFonts w:hint="eastAsia" w:ascii="Times New Roman" w:hAnsi="Times New Roman" w:eastAsia="宋体" w:cs="宋体"/>
                      <w:b w:val="0"/>
                      <w:bCs/>
                      <w:color w:val="000000" w:themeColor="text1"/>
                      <w:sz w:val="21"/>
                      <w:szCs w:val="21"/>
                      <w:highlight w:val="none"/>
                      <w14:textFill>
                        <w14:solidFill>
                          <w14:schemeClr w14:val="tx1"/>
                        </w14:solidFill>
                      </w14:textFill>
                    </w:rPr>
                    <w:t>固废</w:t>
                  </w:r>
                </w:p>
              </w:tc>
              <w:tc>
                <w:tcPr>
                  <w:tcW w:w="5926" w:type="dxa"/>
                  <w:shd w:val="clear" w:color="auto" w:fill="FFFFFF"/>
                  <w:noWrap w:val="0"/>
                  <w:vAlign w:val="center"/>
                </w:tcPr>
                <w:p w14:paraId="424A9EB0">
                  <w:pPr>
                    <w:spacing w:line="360" w:lineRule="exact"/>
                    <w:ind w:left="0" w:leftChars="0" w:firstLine="0" w:firstLineChars="0"/>
                    <w:jc w:val="center"/>
                    <w:rPr>
                      <w:rFonts w:hint="default" w:ascii="Times New Roman" w:hAnsi="Times New Roman" w:eastAsia="宋体" w:cs="宋体"/>
                      <w:b w:val="0"/>
                      <w:color w:val="000000" w:themeColor="text1"/>
                      <w:sz w:val="21"/>
                      <w:szCs w:val="21"/>
                      <w:highlight w:val="none"/>
                      <w:lang w:val="en-US" w:eastAsia="zh-CN" w:bidi="ar-SA"/>
                      <w14:textFill>
                        <w14:solidFill>
                          <w14:schemeClr w14:val="tx1"/>
                        </w14:solidFill>
                      </w14:textFill>
                    </w:rPr>
                  </w:pPr>
                  <w:r>
                    <w:rPr>
                      <w:rFonts w:hint="eastAsia" w:cs="宋体"/>
                      <w:b w:val="0"/>
                      <w:color w:val="000000" w:themeColor="text1"/>
                      <w:sz w:val="21"/>
                      <w:szCs w:val="21"/>
                      <w:highlight w:val="none"/>
                      <w:lang w:val="en-US" w:eastAsia="zh-CN" w:bidi="ar-SA"/>
                      <w14:textFill>
                        <w14:solidFill>
                          <w14:schemeClr w14:val="tx1"/>
                        </w14:solidFill>
                      </w14:textFill>
                    </w:rPr>
                    <w:t>泥饼、收集的粉尘等集中收集后外售，废布袋、废防尘网由厂家单位回收</w:t>
                  </w:r>
                </w:p>
              </w:tc>
              <w:tc>
                <w:tcPr>
                  <w:tcW w:w="1056" w:type="dxa"/>
                  <w:tcBorders>
                    <w:right w:val="nil"/>
                  </w:tcBorders>
                  <w:shd w:val="clear" w:color="auto" w:fill="FFFFFF"/>
                  <w:noWrap w:val="0"/>
                  <w:vAlign w:val="center"/>
                </w:tcPr>
                <w:p w14:paraId="054FA5F9">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val="en-US" w:eastAsia="zh-CN"/>
                      <w14:textFill>
                        <w14:solidFill>
                          <w14:schemeClr w14:val="tx1"/>
                        </w14:solidFill>
                      </w14:textFill>
                    </w:rPr>
                    <w:t>1</w:t>
                  </w:r>
                </w:p>
              </w:tc>
            </w:tr>
            <w:tr w14:paraId="7472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1" w:type="dxa"/>
                  <w:vMerge w:val="continue"/>
                  <w:tcBorders>
                    <w:left w:val="nil"/>
                  </w:tcBorders>
                  <w:shd w:val="clear" w:color="auto" w:fill="FFFFFF"/>
                  <w:noWrap w:val="0"/>
                  <w:vAlign w:val="center"/>
                </w:tcPr>
                <w:p w14:paraId="01D607BC">
                  <w:pPr>
                    <w:spacing w:line="360" w:lineRule="exact"/>
                    <w:jc w:val="center"/>
                    <w:rPr>
                      <w:rFonts w:hint="eastAsia" w:ascii="Times New Roman" w:hAnsi="Times New Roman" w:eastAsia="宋体" w:cs="宋体"/>
                      <w:b w:val="0"/>
                      <w:bCs/>
                      <w:color w:val="000000" w:themeColor="text1"/>
                      <w:sz w:val="21"/>
                      <w:szCs w:val="21"/>
                      <w:highlight w:val="none"/>
                      <w14:textFill>
                        <w14:solidFill>
                          <w14:schemeClr w14:val="tx1"/>
                        </w14:solidFill>
                      </w14:textFill>
                    </w:rPr>
                  </w:pPr>
                </w:p>
              </w:tc>
              <w:tc>
                <w:tcPr>
                  <w:tcW w:w="1705" w:type="dxa"/>
                  <w:shd w:val="clear" w:color="auto" w:fill="FFFFFF"/>
                  <w:noWrap w:val="0"/>
                  <w:vAlign w:val="center"/>
                </w:tcPr>
                <w:p w14:paraId="3B27BCEF">
                  <w:pPr>
                    <w:pStyle w:val="200"/>
                    <w:spacing w:line="360" w:lineRule="exact"/>
                    <w:ind w:firstLine="0" w:firstLineChars="0"/>
                    <w:jc w:val="center"/>
                    <w:rPr>
                      <w:rFonts w:hint="eastAsia"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危险废物</w:t>
                  </w:r>
                </w:p>
              </w:tc>
              <w:tc>
                <w:tcPr>
                  <w:tcW w:w="5926" w:type="dxa"/>
                  <w:shd w:val="clear" w:color="auto" w:fill="FFFFFF"/>
                  <w:noWrap w:val="0"/>
                  <w:vAlign w:val="center"/>
                </w:tcPr>
                <w:p w14:paraId="16C51651">
                  <w:pPr>
                    <w:spacing w:line="360" w:lineRule="exact"/>
                    <w:ind w:left="0" w:leftChars="0" w:firstLine="0" w:firstLineChars="0"/>
                    <w:jc w:val="center"/>
                    <w:rPr>
                      <w:rFonts w:hint="eastAsia" w:ascii="Times New Roman" w:hAnsi="Times New Roman" w:eastAsia="宋体" w:cs="宋体"/>
                      <w:b w:val="0"/>
                      <w:color w:val="000000" w:themeColor="text1"/>
                      <w:sz w:val="21"/>
                      <w:szCs w:val="21"/>
                      <w:highlight w:val="none"/>
                      <w:lang w:eastAsia="zh-CN"/>
                      <w14:textFill>
                        <w14:solidFill>
                          <w14:schemeClr w14:val="tx1"/>
                        </w14:solidFill>
                      </w14:textFill>
                    </w:rPr>
                  </w:pPr>
                  <w:r>
                    <w:rPr>
                      <w:rFonts w:hint="eastAsia" w:cs="宋体"/>
                      <w:b w:val="0"/>
                      <w:color w:val="000000" w:themeColor="text1"/>
                      <w:sz w:val="21"/>
                      <w:szCs w:val="21"/>
                      <w:highlight w:val="none"/>
                      <w:lang w:val="en-US" w:eastAsia="zh-CN"/>
                      <w14:textFill>
                        <w14:solidFill>
                          <w14:schemeClr w14:val="tx1"/>
                        </w14:solidFill>
                      </w14:textFill>
                    </w:rPr>
                    <w:t>依托一期</w:t>
                  </w:r>
                  <w:r>
                    <w:rPr>
                      <w:rFonts w:hint="eastAsia" w:ascii="Times New Roman" w:hAnsi="Times New Roman" w:eastAsia="宋体" w:cs="宋体"/>
                      <w:b w:val="0"/>
                      <w:color w:val="000000" w:themeColor="text1"/>
                      <w:sz w:val="21"/>
                      <w:szCs w:val="21"/>
                      <w:highlight w:val="none"/>
                      <w:lang w:eastAsia="zh-CN"/>
                      <w14:textFill>
                        <w14:solidFill>
                          <w14:schemeClr w14:val="tx1"/>
                        </w14:solidFill>
                      </w14:textFill>
                    </w:rPr>
                    <w:t>危废</w:t>
                  </w:r>
                  <w:r>
                    <w:rPr>
                      <w:rFonts w:hint="eastAsia" w:ascii="Times New Roman" w:hAnsi="Times New Roman" w:eastAsia="宋体" w:cs="宋体"/>
                      <w:b w:val="0"/>
                      <w:color w:val="000000" w:themeColor="text1"/>
                      <w:sz w:val="21"/>
                      <w:szCs w:val="21"/>
                      <w:highlight w:val="none"/>
                      <w:lang w:val="en-US" w:eastAsia="zh-CN"/>
                      <w14:textFill>
                        <w14:solidFill>
                          <w14:schemeClr w14:val="tx1"/>
                        </w14:solidFill>
                      </w14:textFill>
                    </w:rPr>
                    <w:t>贮存</w:t>
                  </w:r>
                  <w:r>
                    <w:rPr>
                      <w:rFonts w:hint="eastAsia" w:cs="宋体"/>
                      <w:b w:val="0"/>
                      <w:color w:val="000000" w:themeColor="text1"/>
                      <w:sz w:val="21"/>
                      <w:szCs w:val="21"/>
                      <w:highlight w:val="none"/>
                      <w:lang w:val="en-US" w:eastAsia="zh-CN"/>
                      <w14:textFill>
                        <w14:solidFill>
                          <w14:schemeClr w14:val="tx1"/>
                        </w14:solidFill>
                      </w14:textFill>
                    </w:rPr>
                    <w:t>库</w:t>
                  </w:r>
                  <w:r>
                    <w:rPr>
                      <w:rFonts w:hint="eastAsia" w:ascii="Times New Roman" w:hAnsi="Times New Roman" w:eastAsia="宋体" w:cs="宋体"/>
                      <w:b w:val="0"/>
                      <w:color w:val="000000" w:themeColor="text1"/>
                      <w:sz w:val="21"/>
                      <w:szCs w:val="21"/>
                      <w:highlight w:val="none"/>
                      <w:lang w:eastAsia="zh-CN"/>
                      <w14:textFill>
                        <w14:solidFill>
                          <w14:schemeClr w14:val="tx1"/>
                        </w14:solidFill>
                      </w14:textFill>
                    </w:rPr>
                    <w:t>，交由持有相应类别危废经营许可证的单位处理</w:t>
                  </w:r>
                </w:p>
              </w:tc>
              <w:tc>
                <w:tcPr>
                  <w:tcW w:w="1056" w:type="dxa"/>
                  <w:tcBorders>
                    <w:right w:val="nil"/>
                  </w:tcBorders>
                  <w:shd w:val="clear" w:color="auto" w:fill="FFFFFF"/>
                  <w:noWrap w:val="0"/>
                  <w:vAlign w:val="center"/>
                </w:tcPr>
                <w:p w14:paraId="17A2F038">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1</w:t>
                  </w:r>
                </w:p>
              </w:tc>
            </w:tr>
            <w:tr w14:paraId="6386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496" w:type="dxa"/>
                  <w:gridSpan w:val="2"/>
                  <w:tcBorders>
                    <w:left w:val="nil"/>
                  </w:tcBorders>
                  <w:shd w:val="clear" w:color="auto" w:fill="FFFFFF"/>
                  <w:noWrap w:val="0"/>
                  <w:vAlign w:val="center"/>
                </w:tcPr>
                <w:p w14:paraId="5F0E1C26">
                  <w:pPr>
                    <w:spacing w:line="360" w:lineRule="exact"/>
                    <w:jc w:val="center"/>
                    <w:rPr>
                      <w:rFonts w:hint="eastAsia" w:ascii="Times New Roman" w:hAnsi="Times New Roman" w:eastAsia="宋体"/>
                      <w:b w:val="0"/>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t>地下水、土壤、环境风险防治措施</w:t>
                  </w:r>
                </w:p>
              </w:tc>
              <w:tc>
                <w:tcPr>
                  <w:tcW w:w="5926" w:type="dxa"/>
                  <w:shd w:val="clear" w:color="auto" w:fill="FFFFFF"/>
                  <w:noWrap w:val="0"/>
                  <w:vAlign w:val="center"/>
                </w:tcPr>
                <w:p w14:paraId="44A4A152">
                  <w:pPr>
                    <w:spacing w:line="360" w:lineRule="exact"/>
                    <w:ind w:left="0" w:leftChars="0" w:firstLine="0" w:firstLineChars="0"/>
                    <w:jc w:val="cente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t>通过采取做好环境风险源头控制和分区防渗措施、严格落实各项消防措施、加强环境风险物质的管理，加强设备维护，设置事故应急池，制定完善的突发环境事件应急预案，并定期组织演练等措施</w:t>
                  </w:r>
                </w:p>
              </w:tc>
              <w:tc>
                <w:tcPr>
                  <w:tcW w:w="1056" w:type="dxa"/>
                  <w:tcBorders>
                    <w:right w:val="nil"/>
                  </w:tcBorders>
                  <w:shd w:val="clear" w:color="auto" w:fill="FFFFFF"/>
                  <w:noWrap w:val="0"/>
                  <w:vAlign w:val="center"/>
                </w:tcPr>
                <w:p w14:paraId="5835DFD5">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val="en-US" w:eastAsia="zh-CN"/>
                      <w14:textFill>
                        <w14:solidFill>
                          <w14:schemeClr w14:val="tx1"/>
                        </w14:solidFill>
                      </w14:textFill>
                    </w:rPr>
                    <w:t>10</w:t>
                  </w:r>
                </w:p>
              </w:tc>
            </w:tr>
            <w:tr w14:paraId="7ABC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496" w:type="dxa"/>
                  <w:gridSpan w:val="2"/>
                  <w:tcBorders>
                    <w:left w:val="nil"/>
                  </w:tcBorders>
                  <w:shd w:val="clear" w:color="auto" w:fill="FFFFFF"/>
                  <w:noWrap w:val="0"/>
                  <w:vAlign w:val="center"/>
                </w:tcPr>
                <w:p w14:paraId="6EBF6C6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现有项目环境问题整改费用、环保教育培训费用</w:t>
                  </w:r>
                </w:p>
              </w:tc>
              <w:tc>
                <w:tcPr>
                  <w:tcW w:w="5926" w:type="dxa"/>
                  <w:shd w:val="clear" w:color="auto" w:fill="FFFFFF"/>
                  <w:noWrap w:val="0"/>
                  <w:vAlign w:val="center"/>
                </w:tcPr>
                <w:p w14:paraId="7B45B202">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w:t>
                  </w:r>
                </w:p>
              </w:tc>
              <w:tc>
                <w:tcPr>
                  <w:tcW w:w="1056" w:type="dxa"/>
                  <w:tcBorders>
                    <w:right w:val="nil"/>
                  </w:tcBorders>
                  <w:shd w:val="clear" w:color="auto" w:fill="FFFFFF"/>
                  <w:noWrap w:val="0"/>
                  <w:vAlign w:val="center"/>
                </w:tcPr>
                <w:p w14:paraId="3C37FAE7">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2.3</w:t>
                  </w:r>
                </w:p>
              </w:tc>
            </w:tr>
            <w:tr w14:paraId="56CF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422" w:type="dxa"/>
                  <w:gridSpan w:val="3"/>
                  <w:tcBorders>
                    <w:left w:val="nil"/>
                    <w:bottom w:val="single" w:color="000000" w:sz="12" w:space="0"/>
                  </w:tcBorders>
                  <w:shd w:val="clear" w:color="auto" w:fill="FFFFFF"/>
                  <w:noWrap w:val="0"/>
                  <w:vAlign w:val="center"/>
                </w:tcPr>
                <w:p w14:paraId="607B5511">
                  <w:pPr>
                    <w:spacing w:line="360" w:lineRule="exact"/>
                    <w:ind w:firstLine="210" w:firstLineChars="100"/>
                    <w:jc w:val="center"/>
                    <w:rPr>
                      <w:rFonts w:hint="eastAsia" w:ascii="Times New Roman" w:hAnsi="Times New Roman" w:eastAsia="宋体"/>
                      <w:b w:val="0"/>
                      <w:color w:val="000000" w:themeColor="text1"/>
                      <w:sz w:val="21"/>
                      <w:szCs w:val="21"/>
                      <w:highlight w:val="none"/>
                      <w:lang w:bidi="zh-CN"/>
                      <w14:textFill>
                        <w14:solidFill>
                          <w14:schemeClr w14:val="tx1"/>
                        </w14:solidFill>
                      </w14:textFill>
                    </w:rPr>
                  </w:pPr>
                  <w:r>
                    <w:rPr>
                      <w:rFonts w:hint="eastAsia" w:ascii="Times New Roman" w:hAnsi="Times New Roman" w:eastAsia="宋体" w:cs="宋体"/>
                      <w:b w:val="0"/>
                      <w:bCs/>
                      <w:color w:val="000000" w:themeColor="text1"/>
                      <w:sz w:val="21"/>
                      <w:szCs w:val="21"/>
                      <w:highlight w:val="none"/>
                      <w:lang w:eastAsia="zh-CN"/>
                      <w14:textFill>
                        <w14:solidFill>
                          <w14:schemeClr w14:val="tx1"/>
                        </w14:solidFill>
                      </w14:textFill>
                    </w:rPr>
                    <w:t>合计</w:t>
                  </w:r>
                </w:p>
              </w:tc>
              <w:tc>
                <w:tcPr>
                  <w:tcW w:w="1056" w:type="dxa"/>
                  <w:tcBorders>
                    <w:bottom w:val="single" w:color="000000" w:sz="12" w:space="0"/>
                    <w:right w:val="nil"/>
                  </w:tcBorders>
                  <w:shd w:val="clear" w:color="auto" w:fill="FFFFFF"/>
                  <w:noWrap w:val="0"/>
                  <w:vAlign w:val="center"/>
                </w:tcPr>
                <w:p w14:paraId="403E6087">
                  <w:pPr>
                    <w:spacing w:line="360" w:lineRule="exact"/>
                    <w:ind w:left="0" w:leftChars="0" w:firstLine="0" w:firstLineChars="0"/>
                    <w:jc w:val="center"/>
                    <w:rPr>
                      <w:rFonts w:hint="default" w:ascii="Times New Roman" w:hAnsi="Times New Roman" w:eastAsia="宋体" w:cs="宋体"/>
                      <w:b w:val="0"/>
                      <w:bCs/>
                      <w:color w:val="000000" w:themeColor="text1"/>
                      <w:sz w:val="21"/>
                      <w:szCs w:val="21"/>
                      <w:highlight w:val="none"/>
                      <w:lang w:val="en-US" w:eastAsia="zh-CN"/>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23</w:t>
                  </w:r>
                </w:p>
              </w:tc>
            </w:tr>
          </w:tbl>
          <w:p w14:paraId="4E724F14">
            <w:pPr>
              <w:widowControl/>
              <w:tabs>
                <w:tab w:val="left" w:pos="567"/>
              </w:tabs>
              <w:ind w:left="0" w:leftChars="0" w:firstLine="0" w:firstLineChars="0"/>
              <w:textAlignment w:val="bottom"/>
              <w:rPr>
                <w:b/>
                <w:bCs/>
                <w:color w:val="000000" w:themeColor="text1"/>
                <w14:textFill>
                  <w14:solidFill>
                    <w14:schemeClr w14:val="tx1"/>
                  </w14:solidFill>
                </w14:textFill>
              </w:rPr>
            </w:pPr>
            <w:bookmarkStart w:id="6" w:name="_Toc7878"/>
            <w:r>
              <w:rPr>
                <w:rFonts w:hint="eastAsia"/>
                <w:b/>
                <w:bCs/>
                <w:color w:val="000000" w:themeColor="text1"/>
                <w:lang w:eastAsia="zh-CN"/>
                <w14:textFill>
                  <w14:solidFill>
                    <w14:schemeClr w14:val="tx1"/>
                  </w14:solidFill>
                </w14:textFill>
              </w:rPr>
              <w:t>（九）</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三同时</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验收</w:t>
            </w:r>
          </w:p>
          <w:p w14:paraId="1250976C">
            <w:pPr>
              <w:widowControl/>
              <w:ind w:firstLine="480"/>
              <w:jc w:val="left"/>
              <w:rPr>
                <w:b/>
                <w:bCs/>
                <w:color w:val="000000" w:themeColor="text1"/>
                <w:kern w:val="0"/>
                <w:lang w:bidi="ar"/>
                <w14:textFill>
                  <w14:solidFill>
                    <w14:schemeClr w14:val="tx1"/>
                  </w14:solidFill>
                </w14:textFill>
              </w:rPr>
            </w:pPr>
            <w:r>
              <w:rPr>
                <w:color w:val="000000" w:themeColor="text1"/>
                <w:kern w:val="0"/>
                <w:lang w:bidi="ar"/>
                <w14:textFill>
                  <w14:solidFill>
                    <w14:schemeClr w14:val="tx1"/>
                  </w14:solidFill>
                </w14:textFill>
              </w:rPr>
              <w:t>本项目环保措施及</w:t>
            </w:r>
            <w:r>
              <w:rPr>
                <w:rFonts w:hint="eastAsia"/>
                <w:color w:val="000000" w:themeColor="text1"/>
                <w:kern w:val="0"/>
                <w:lang w:bidi="ar"/>
                <w14:textFill>
                  <w14:solidFill>
                    <w14:schemeClr w14:val="tx1"/>
                  </w14:solidFill>
                </w14:textFill>
              </w:rPr>
              <w:t>“</w:t>
            </w:r>
            <w:r>
              <w:rPr>
                <w:color w:val="000000" w:themeColor="text1"/>
                <w:kern w:val="0"/>
                <w:lang w:bidi="ar"/>
                <w14:textFill>
                  <w14:solidFill>
                    <w14:schemeClr w14:val="tx1"/>
                  </w14:solidFill>
                </w14:textFill>
              </w:rPr>
              <w:t>三同时</w:t>
            </w:r>
            <w:r>
              <w:rPr>
                <w:rFonts w:hint="eastAsia"/>
                <w:color w:val="000000" w:themeColor="text1"/>
                <w:kern w:val="0"/>
                <w:lang w:bidi="ar"/>
                <w14:textFill>
                  <w14:solidFill>
                    <w14:schemeClr w14:val="tx1"/>
                  </w14:solidFill>
                </w14:textFill>
              </w:rPr>
              <w:t>”</w:t>
            </w:r>
            <w:r>
              <w:rPr>
                <w:color w:val="000000" w:themeColor="text1"/>
                <w:kern w:val="0"/>
                <w:lang w:bidi="ar"/>
                <w14:textFill>
                  <w14:solidFill>
                    <w14:schemeClr w14:val="tx1"/>
                  </w14:solidFill>
                </w14:textFill>
              </w:rPr>
              <w:t>验收详见表</w:t>
            </w:r>
            <w:r>
              <w:rPr>
                <w:rFonts w:eastAsia="TimesNewRoman"/>
                <w:color w:val="000000" w:themeColor="text1"/>
                <w:kern w:val="0"/>
                <w:lang w:bidi="ar"/>
                <w14:textFill>
                  <w14:solidFill>
                    <w14:schemeClr w14:val="tx1"/>
                  </w14:solidFill>
                </w14:textFill>
              </w:rPr>
              <w:t>4-</w:t>
            </w:r>
            <w:r>
              <w:rPr>
                <w:rFonts w:hint="eastAsia" w:eastAsia="TimesNewRoman"/>
                <w:color w:val="000000" w:themeColor="text1"/>
                <w:kern w:val="0"/>
                <w:lang w:val="en-US" w:eastAsia="zh-CN" w:bidi="ar"/>
                <w14:textFill>
                  <w14:solidFill>
                    <w14:schemeClr w14:val="tx1"/>
                  </w14:solidFill>
                </w14:textFill>
              </w:rPr>
              <w:t>20</w:t>
            </w:r>
            <w:r>
              <w:rPr>
                <w:rFonts w:eastAsia="TimesNewRoman"/>
                <w:color w:val="000000" w:themeColor="text1"/>
                <w:kern w:val="0"/>
                <w:lang w:bidi="ar"/>
                <w14:textFill>
                  <w14:solidFill>
                    <w14:schemeClr w14:val="tx1"/>
                  </w14:solidFill>
                </w14:textFill>
              </w:rPr>
              <w:t>。</w:t>
            </w:r>
          </w:p>
          <w:p w14:paraId="38CDC5F4">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表4-</w:t>
            </w:r>
            <w:r>
              <w:rPr>
                <w:rFonts w:hint="eastAsia"/>
                <w:b/>
                <w:bCs/>
                <w:color w:val="000000" w:themeColor="text1"/>
                <w:sz w:val="21"/>
                <w:szCs w:val="21"/>
                <w:lang w:val="en-US" w:eastAsia="zh-CN"/>
                <w14:textFill>
                  <w14:solidFill>
                    <w14:schemeClr w14:val="tx1"/>
                  </w14:solidFill>
                </w14:textFill>
              </w:rPr>
              <w:t>20</w:t>
            </w:r>
            <w:r>
              <w:rPr>
                <w:b/>
                <w:bCs/>
                <w:color w:val="000000" w:themeColor="text1"/>
                <w:sz w:val="21"/>
                <w:szCs w:val="21"/>
                <w14:textFill>
                  <w14:solidFill>
                    <w14:schemeClr w14:val="tx1"/>
                  </w14:solidFill>
                </w14:textFill>
              </w:rPr>
              <w:t xml:space="preserve"> 环保措施及</w:t>
            </w:r>
            <w:r>
              <w:rPr>
                <w:rFonts w:hint="eastAsia"/>
                <w:b/>
                <w:bCs/>
                <w:color w:val="000000" w:themeColor="text1"/>
                <w:sz w:val="21"/>
                <w:szCs w:val="21"/>
                <w14:textFill>
                  <w14:solidFill>
                    <w14:schemeClr w14:val="tx1"/>
                  </w14:solidFill>
                </w14:textFill>
              </w:rPr>
              <w:t>“</w:t>
            </w:r>
            <w:r>
              <w:rPr>
                <w:b/>
                <w:bCs/>
                <w:color w:val="000000" w:themeColor="text1"/>
                <w:sz w:val="21"/>
                <w:szCs w:val="21"/>
                <w14:textFill>
                  <w14:solidFill>
                    <w14:schemeClr w14:val="tx1"/>
                  </w14:solidFill>
                </w14:textFill>
              </w:rPr>
              <w:t>三同时</w:t>
            </w:r>
            <w:r>
              <w:rPr>
                <w:rFonts w:hint="eastAsia"/>
                <w:b/>
                <w:bCs/>
                <w:color w:val="000000" w:themeColor="text1"/>
                <w:sz w:val="21"/>
                <w:szCs w:val="21"/>
                <w14:textFill>
                  <w14:solidFill>
                    <w14:schemeClr w14:val="tx1"/>
                  </w14:solidFill>
                </w14:textFill>
              </w:rPr>
              <w:t>”</w:t>
            </w:r>
            <w:r>
              <w:rPr>
                <w:b/>
                <w:bCs/>
                <w:color w:val="000000" w:themeColor="text1"/>
                <w:sz w:val="21"/>
                <w:szCs w:val="21"/>
                <w14:textFill>
                  <w14:solidFill>
                    <w14:schemeClr w14:val="tx1"/>
                  </w14:solidFill>
                </w14:textFill>
              </w:rPr>
              <w:t>验收一览表</w:t>
            </w:r>
          </w:p>
          <w:tbl>
            <w:tblPr>
              <w:tblStyle w:val="4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516"/>
              <w:gridCol w:w="1075"/>
              <w:gridCol w:w="3640"/>
              <w:gridCol w:w="3837"/>
            </w:tblGrid>
            <w:tr w14:paraId="4ECA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tcBorders>
                    <w:top w:val="single" w:color="000000" w:sz="12" w:space="0"/>
                    <w:left w:val="nil"/>
                    <w:tl2br w:val="nil"/>
                    <w:tr2bl w:val="nil"/>
                  </w:tcBorders>
                  <w:shd w:val="clear" w:color="auto" w:fill="FFFFFF"/>
                  <w:vAlign w:val="center"/>
                </w:tcPr>
                <w:p w14:paraId="492FF290">
                  <w:pPr>
                    <w:keepNext w:val="0"/>
                    <w:keepLines w:val="0"/>
                    <w:pageBreakBefore w:val="0"/>
                    <w:widowControl w:val="0"/>
                    <w:kinsoku/>
                    <w:wordWrap/>
                    <w:overflowPunct/>
                    <w:topLinePunct w:val="0"/>
                    <w:autoSpaceDE/>
                    <w:autoSpaceDN/>
                    <w:bidi w:val="0"/>
                    <w:adjustRightInd/>
                    <w:snapToGrid/>
                    <w:spacing w:line="300" w:lineRule="exact"/>
                    <w:ind w:firstLine="0" w:firstLineChars="0"/>
                    <w:contextualSpacing/>
                    <w:jc w:val="center"/>
                    <w:textAlignment w:val="auto"/>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项目</w:t>
                  </w:r>
                </w:p>
              </w:tc>
              <w:tc>
                <w:tcPr>
                  <w:tcW w:w="833" w:type="pct"/>
                  <w:gridSpan w:val="2"/>
                  <w:tcBorders>
                    <w:top w:val="single" w:color="000000" w:sz="12" w:space="0"/>
                    <w:tl2br w:val="nil"/>
                    <w:tr2bl w:val="nil"/>
                  </w:tcBorders>
                  <w:shd w:val="clear" w:color="auto" w:fill="FFFFFF"/>
                  <w:vAlign w:val="center"/>
                </w:tcPr>
                <w:p w14:paraId="4F795EBF">
                  <w:pPr>
                    <w:keepNext w:val="0"/>
                    <w:keepLines w:val="0"/>
                    <w:pageBreakBefore w:val="0"/>
                    <w:widowControl w:val="0"/>
                    <w:kinsoku/>
                    <w:wordWrap/>
                    <w:overflowPunct/>
                    <w:topLinePunct w:val="0"/>
                    <w:autoSpaceDE/>
                    <w:autoSpaceDN/>
                    <w:bidi w:val="0"/>
                    <w:adjustRightInd/>
                    <w:snapToGrid/>
                    <w:spacing w:line="300" w:lineRule="exact"/>
                    <w:ind w:firstLine="422"/>
                    <w:contextualSpacing/>
                    <w:jc w:val="center"/>
                    <w:textAlignment w:val="auto"/>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污染源</w:t>
                  </w:r>
                </w:p>
              </w:tc>
              <w:tc>
                <w:tcPr>
                  <w:tcW w:w="1906" w:type="pct"/>
                  <w:tcBorders>
                    <w:top w:val="single" w:color="000000" w:sz="12" w:space="0"/>
                    <w:tl2br w:val="nil"/>
                    <w:tr2bl w:val="nil"/>
                  </w:tcBorders>
                  <w:shd w:val="clear" w:color="auto" w:fill="FFFFFF"/>
                  <w:vAlign w:val="center"/>
                </w:tcPr>
                <w:p w14:paraId="7E349675">
                  <w:pPr>
                    <w:keepNext w:val="0"/>
                    <w:keepLines w:val="0"/>
                    <w:pageBreakBefore w:val="0"/>
                    <w:widowControl w:val="0"/>
                    <w:kinsoku/>
                    <w:wordWrap/>
                    <w:overflowPunct/>
                    <w:topLinePunct w:val="0"/>
                    <w:autoSpaceDE/>
                    <w:autoSpaceDN/>
                    <w:bidi w:val="0"/>
                    <w:adjustRightInd/>
                    <w:snapToGrid/>
                    <w:spacing w:line="300" w:lineRule="exact"/>
                    <w:ind w:firstLine="422"/>
                    <w:contextualSpacing/>
                    <w:jc w:val="center"/>
                    <w:textAlignment w:val="auto"/>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治理措施</w:t>
                  </w:r>
                </w:p>
              </w:tc>
              <w:tc>
                <w:tcPr>
                  <w:tcW w:w="2009" w:type="pct"/>
                  <w:tcBorders>
                    <w:top w:val="single" w:color="000000" w:sz="12" w:space="0"/>
                    <w:right w:val="nil"/>
                    <w:tl2br w:val="nil"/>
                    <w:tr2bl w:val="nil"/>
                  </w:tcBorders>
                  <w:shd w:val="clear" w:color="auto" w:fill="FFFFFF"/>
                  <w:vAlign w:val="center"/>
                </w:tcPr>
                <w:p w14:paraId="427CF4E0">
                  <w:pPr>
                    <w:keepNext w:val="0"/>
                    <w:keepLines w:val="0"/>
                    <w:pageBreakBefore w:val="0"/>
                    <w:widowControl w:val="0"/>
                    <w:kinsoku/>
                    <w:wordWrap/>
                    <w:overflowPunct/>
                    <w:topLinePunct w:val="0"/>
                    <w:autoSpaceDE/>
                    <w:autoSpaceDN/>
                    <w:bidi w:val="0"/>
                    <w:adjustRightInd/>
                    <w:snapToGrid/>
                    <w:spacing w:line="300" w:lineRule="exact"/>
                    <w:ind w:firstLine="422"/>
                    <w:contextualSpacing/>
                    <w:jc w:val="center"/>
                    <w:textAlignment w:val="auto"/>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验收</w:t>
                  </w:r>
                  <w:r>
                    <w:rPr>
                      <w:rFonts w:hint="eastAsia"/>
                      <w:b w:val="0"/>
                      <w:bCs/>
                      <w:color w:val="000000" w:themeColor="text1"/>
                      <w:sz w:val="21"/>
                      <w:szCs w:val="21"/>
                      <w14:textFill>
                        <w14:solidFill>
                          <w14:schemeClr w14:val="tx1"/>
                        </w14:solidFill>
                      </w14:textFill>
                    </w:rPr>
                    <w:t>要求</w:t>
                  </w:r>
                </w:p>
              </w:tc>
            </w:tr>
            <w:tr w14:paraId="6D45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50" w:type="pct"/>
                  <w:vMerge w:val="restart"/>
                  <w:tcBorders>
                    <w:left w:val="nil"/>
                    <w:tl2br w:val="nil"/>
                    <w:tr2bl w:val="nil"/>
                  </w:tcBorders>
                  <w:shd w:val="clear" w:color="auto" w:fill="FFFFFF"/>
                  <w:vAlign w:val="center"/>
                </w:tcPr>
                <w:p w14:paraId="5C89DFE1">
                  <w:pPr>
                    <w:keepNext w:val="0"/>
                    <w:keepLines w:val="0"/>
                    <w:pageBreakBefore w:val="0"/>
                    <w:widowControl w:val="0"/>
                    <w:kinsoku/>
                    <w:wordWrap/>
                    <w:overflowPunct/>
                    <w:topLinePunct w:val="0"/>
                    <w:autoSpaceDE/>
                    <w:autoSpaceDN/>
                    <w:bidi w:val="0"/>
                    <w:adjustRightInd/>
                    <w:snapToGrid/>
                    <w:spacing w:line="300" w:lineRule="exact"/>
                    <w:ind w:firstLine="0" w:firstLineChars="0"/>
                    <w:contextualSpacing/>
                    <w:jc w:val="center"/>
                    <w:textAlignment w:val="auto"/>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废气</w:t>
                  </w:r>
                </w:p>
              </w:tc>
              <w:tc>
                <w:tcPr>
                  <w:tcW w:w="270" w:type="pct"/>
                  <w:tcBorders>
                    <w:tl2br w:val="nil"/>
                    <w:tr2bl w:val="nil"/>
                  </w:tcBorders>
                  <w:shd w:val="clear" w:color="auto" w:fill="FFFFFF"/>
                  <w:vAlign w:val="center"/>
                </w:tcPr>
                <w:p w14:paraId="305E9EC5">
                  <w:pPr>
                    <w:keepNext w:val="0"/>
                    <w:keepLines w:val="0"/>
                    <w:pageBreakBefore w:val="0"/>
                    <w:widowControl w:val="0"/>
                    <w:kinsoku/>
                    <w:wordWrap/>
                    <w:overflowPunct/>
                    <w:topLinePunct w:val="0"/>
                    <w:autoSpaceDE/>
                    <w:autoSpaceDN/>
                    <w:bidi w:val="0"/>
                    <w:adjustRightInd/>
                    <w:snapToGrid/>
                    <w:spacing w:line="300" w:lineRule="exact"/>
                    <w:ind w:firstLine="0" w:firstLineChars="0"/>
                    <w:contextualSpacing/>
                    <w:jc w:val="center"/>
                    <w:textAlignment w:val="auto"/>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有组织废气</w:t>
                  </w:r>
                </w:p>
              </w:tc>
              <w:tc>
                <w:tcPr>
                  <w:tcW w:w="563" w:type="pct"/>
                  <w:tcBorders>
                    <w:tl2br w:val="nil"/>
                    <w:tr2bl w:val="nil"/>
                  </w:tcBorders>
                  <w:shd w:val="clear" w:color="auto" w:fill="FFFFFF"/>
                  <w:vAlign w:val="center"/>
                </w:tcPr>
                <w:p w14:paraId="38FDB1D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val="0"/>
                      <w:color w:val="000000" w:themeColor="text1"/>
                      <w:sz w:val="21"/>
                      <w:szCs w:val="21"/>
                      <w:lang w:val="en-US"/>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上料、振动筛分生产过程中产生的颗粒物</w:t>
                  </w:r>
                </w:p>
              </w:tc>
              <w:tc>
                <w:tcPr>
                  <w:tcW w:w="1906" w:type="pct"/>
                  <w:tcBorders>
                    <w:tl2br w:val="nil"/>
                    <w:tr2bl w:val="nil"/>
                  </w:tcBorders>
                  <w:shd w:val="clear" w:color="auto" w:fill="FFFFFF"/>
                  <w:vAlign w:val="center"/>
                </w:tcPr>
                <w:p w14:paraId="779CBA3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eastAsia="宋体"/>
                      <w:b w:val="0"/>
                      <w:color w:val="000000" w:themeColor="text1"/>
                      <w:sz w:val="21"/>
                      <w:szCs w:val="21"/>
                      <w:lang w:eastAsia="zh-CN"/>
                      <w14:textFill>
                        <w14:solidFill>
                          <w14:schemeClr w14:val="tx1"/>
                        </w14:solidFill>
                      </w14:textFill>
                    </w:rPr>
                  </w:pPr>
                  <w:r>
                    <w:rPr>
                      <w:rFonts w:hint="eastAsia"/>
                      <w:b w:val="0"/>
                      <w:color w:val="000000" w:themeColor="text1"/>
                      <w:sz w:val="21"/>
                      <w:szCs w:val="21"/>
                      <w:highlight w:val="none"/>
                      <w:vertAlign w:val="baseline"/>
                      <w:lang w:val="en-US" w:eastAsia="zh-CN"/>
                      <w14:textFill>
                        <w14:solidFill>
                          <w14:schemeClr w14:val="tx1"/>
                        </w14:solidFill>
                      </w14:textFill>
                    </w:rPr>
                    <w:t>洒水+集气罩收集+布袋除尘器</w:t>
                  </w:r>
                  <w:r>
                    <w:rPr>
                      <w:rFonts w:hint="eastAsia" w:ascii="Times New Roman" w:hAnsi="Times New Roman" w:eastAsia="宋体"/>
                      <w:b w:val="0"/>
                      <w:color w:val="000000" w:themeColor="text1"/>
                      <w:sz w:val="21"/>
                      <w:szCs w:val="21"/>
                      <w:highlight w:val="none"/>
                      <w:vertAlign w:val="baseline"/>
                      <w14:textFill>
                        <w14:solidFill>
                          <w14:schemeClr w14:val="tx1"/>
                        </w14:solidFill>
                      </w14:textFill>
                    </w:rPr>
                    <w:t>装置处理后，通过1根15m排气筒（DA00</w:t>
                  </w:r>
                  <w:r>
                    <w:rPr>
                      <w:rFonts w:hint="eastAsia"/>
                      <w:b w:val="0"/>
                      <w:color w:val="000000" w:themeColor="text1"/>
                      <w:sz w:val="21"/>
                      <w:szCs w:val="21"/>
                      <w:highlight w:val="none"/>
                      <w:vertAlign w:val="baseline"/>
                      <w:lang w:val="en-US" w:eastAsia="zh-CN"/>
                      <w14:textFill>
                        <w14:solidFill>
                          <w14:schemeClr w14:val="tx1"/>
                        </w14:solidFill>
                      </w14:textFill>
                    </w:rPr>
                    <w:t>2</w:t>
                  </w:r>
                  <w:r>
                    <w:rPr>
                      <w:rFonts w:hint="eastAsia" w:ascii="Times New Roman" w:hAnsi="Times New Roman" w:eastAsia="宋体"/>
                      <w:b w:val="0"/>
                      <w:color w:val="000000" w:themeColor="text1"/>
                      <w:sz w:val="21"/>
                      <w:szCs w:val="21"/>
                      <w:highlight w:val="none"/>
                      <w:vertAlign w:val="baseline"/>
                      <w14:textFill>
                        <w14:solidFill>
                          <w14:schemeClr w14:val="tx1"/>
                        </w14:solidFill>
                      </w14:textFill>
                    </w:rPr>
                    <w:t>）排放</w:t>
                  </w:r>
                </w:p>
              </w:tc>
              <w:tc>
                <w:tcPr>
                  <w:tcW w:w="2009" w:type="pct"/>
                  <w:vMerge w:val="restart"/>
                  <w:tcBorders>
                    <w:right w:val="nil"/>
                    <w:tl2br w:val="nil"/>
                    <w:tr2bl w:val="nil"/>
                  </w:tcBorders>
                  <w:shd w:val="clear" w:color="auto" w:fill="FFFFFF"/>
                  <w:vAlign w:val="center"/>
                </w:tcPr>
                <w:p w14:paraId="52A05E1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rFonts w:hint="eastAsia" w:ascii="Times New Roman" w:hAnsi="Times New Roman" w:eastAsia="宋体"/>
                      <w:b w:val="0"/>
                      <w:color w:val="000000" w:themeColor="text1"/>
                      <w:sz w:val="21"/>
                      <w:szCs w:val="21"/>
                      <w:highlight w:val="none"/>
                      <w:vertAlign w:val="baseline"/>
                      <w:lang w:eastAsia="zh-CN"/>
                      <w14:textFill>
                        <w14:solidFill>
                          <w14:schemeClr w14:val="tx1"/>
                        </w14:solidFill>
                      </w14:textFill>
                    </w:rPr>
                    <w:t>《大气污染物综合排放标准》（GB16297－1996）</w:t>
                  </w:r>
                </w:p>
              </w:tc>
            </w:tr>
            <w:tr w14:paraId="3BFE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tcBorders>
                    <w:left w:val="nil"/>
                    <w:tl2br w:val="nil"/>
                    <w:tr2bl w:val="nil"/>
                  </w:tcBorders>
                  <w:shd w:val="clear" w:color="auto" w:fill="FFFFFF"/>
                  <w:vAlign w:val="center"/>
                </w:tcPr>
                <w:p w14:paraId="48C6C26F">
                  <w:pPr>
                    <w:keepNext w:val="0"/>
                    <w:keepLines w:val="0"/>
                    <w:pageBreakBefore w:val="0"/>
                    <w:widowControl w:val="0"/>
                    <w:kinsoku/>
                    <w:wordWrap/>
                    <w:overflowPunct/>
                    <w:topLinePunct w:val="0"/>
                    <w:autoSpaceDE/>
                    <w:autoSpaceDN/>
                    <w:bidi w:val="0"/>
                    <w:adjustRightInd/>
                    <w:snapToGrid/>
                    <w:spacing w:line="300" w:lineRule="exact"/>
                    <w:ind w:firstLine="420"/>
                    <w:contextualSpacing/>
                    <w:jc w:val="center"/>
                    <w:textAlignment w:val="auto"/>
                    <w:rPr>
                      <w:b w:val="0"/>
                      <w:color w:val="000000" w:themeColor="text1"/>
                      <w:sz w:val="21"/>
                      <w:szCs w:val="21"/>
                      <w14:textFill>
                        <w14:solidFill>
                          <w14:schemeClr w14:val="tx1"/>
                        </w14:solidFill>
                      </w14:textFill>
                    </w:rPr>
                  </w:pPr>
                </w:p>
              </w:tc>
              <w:tc>
                <w:tcPr>
                  <w:tcW w:w="270" w:type="pct"/>
                  <w:tcBorders>
                    <w:tl2br w:val="nil"/>
                    <w:tr2bl w:val="nil"/>
                  </w:tcBorders>
                  <w:shd w:val="clear" w:color="auto" w:fill="FFFFFF"/>
                  <w:vAlign w:val="center"/>
                </w:tcPr>
                <w:p w14:paraId="300CEBE3">
                  <w:pPr>
                    <w:keepNext w:val="0"/>
                    <w:keepLines w:val="0"/>
                    <w:pageBreakBefore w:val="0"/>
                    <w:widowControl w:val="0"/>
                    <w:kinsoku/>
                    <w:wordWrap/>
                    <w:overflowPunct/>
                    <w:topLinePunct w:val="0"/>
                    <w:autoSpaceDE/>
                    <w:autoSpaceDN/>
                    <w:bidi w:val="0"/>
                    <w:adjustRightInd/>
                    <w:snapToGrid/>
                    <w:spacing w:line="300" w:lineRule="exact"/>
                    <w:ind w:firstLine="0" w:firstLineChars="0"/>
                    <w:contextualSpacing/>
                    <w:jc w:val="center"/>
                    <w:textAlignment w:val="auto"/>
                    <w:rPr>
                      <w:b w:val="0"/>
                      <w:color w:val="000000" w:themeColor="text1"/>
                      <w:kern w:val="0"/>
                      <w:sz w:val="21"/>
                      <w:szCs w:val="21"/>
                      <w:lang w:bidi="ar"/>
                      <w14:textFill>
                        <w14:solidFill>
                          <w14:schemeClr w14:val="tx1"/>
                        </w14:solidFill>
                      </w14:textFill>
                    </w:rPr>
                  </w:pPr>
                  <w:r>
                    <w:rPr>
                      <w:b w:val="0"/>
                      <w:color w:val="000000" w:themeColor="text1"/>
                      <w:sz w:val="21"/>
                      <w:szCs w:val="21"/>
                      <w14:textFill>
                        <w14:solidFill>
                          <w14:schemeClr w14:val="tx1"/>
                        </w14:solidFill>
                      </w14:textFill>
                    </w:rPr>
                    <w:t>无组织</w:t>
                  </w:r>
                </w:p>
              </w:tc>
              <w:tc>
                <w:tcPr>
                  <w:tcW w:w="563" w:type="pct"/>
                  <w:tcBorders>
                    <w:tl2br w:val="nil"/>
                    <w:tr2bl w:val="nil"/>
                  </w:tcBorders>
                  <w:shd w:val="clear" w:color="auto" w:fill="FFFFFF"/>
                  <w:vAlign w:val="center"/>
                </w:tcPr>
                <w:p w14:paraId="7AC2209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eastAsia="宋体"/>
                      <w:b w:val="0"/>
                      <w:color w:val="000000" w:themeColor="text1"/>
                      <w:sz w:val="21"/>
                      <w:szCs w:val="21"/>
                      <w:lang w:eastAsia="zh-CN"/>
                      <w14:textFill>
                        <w14:solidFill>
                          <w14:schemeClr w14:val="tx1"/>
                        </w14:solidFill>
                      </w14:textFill>
                    </w:rPr>
                  </w:pPr>
                  <w:r>
                    <w:rPr>
                      <w:b w:val="0"/>
                      <w:color w:val="000000" w:themeColor="text1"/>
                      <w:sz w:val="21"/>
                      <w:szCs w:val="21"/>
                      <w14:textFill>
                        <w14:solidFill>
                          <w14:schemeClr w14:val="tx1"/>
                        </w14:solidFill>
                      </w14:textFill>
                    </w:rPr>
                    <w:t>未收集的废气</w:t>
                  </w:r>
                  <w:r>
                    <w:rPr>
                      <w:rFonts w:hint="eastAsia"/>
                      <w:b w:val="0"/>
                      <w:color w:val="000000" w:themeColor="text1"/>
                      <w:sz w:val="21"/>
                      <w:szCs w:val="21"/>
                      <w:lang w:eastAsia="zh-CN"/>
                      <w14:textFill>
                        <w14:solidFill>
                          <w14:schemeClr w14:val="tx1"/>
                        </w14:solidFill>
                      </w14:textFill>
                    </w:rPr>
                    <w:t>、</w:t>
                  </w:r>
                  <w:r>
                    <w:rPr>
                      <w:rFonts w:hint="eastAsia" w:cs="宋体"/>
                      <w:b w:val="0"/>
                      <w:bCs/>
                      <w:color w:val="000000" w:themeColor="text1"/>
                      <w:sz w:val="21"/>
                      <w:szCs w:val="21"/>
                      <w:highlight w:val="none"/>
                      <w:lang w:val="en-US" w:eastAsia="zh-CN"/>
                      <w14:textFill>
                        <w14:solidFill>
                          <w14:schemeClr w14:val="tx1"/>
                        </w14:solidFill>
                      </w14:textFill>
                    </w:rPr>
                    <w:t>原料堆场、成品堆场产生颗粒物</w:t>
                  </w:r>
                </w:p>
              </w:tc>
              <w:tc>
                <w:tcPr>
                  <w:tcW w:w="1906" w:type="pct"/>
                  <w:tcBorders>
                    <w:tl2br w:val="nil"/>
                    <w:tr2bl w:val="nil"/>
                  </w:tcBorders>
                  <w:shd w:val="clear" w:color="auto" w:fill="FFFFFF"/>
                  <w:vAlign w:val="center"/>
                </w:tcPr>
                <w:p w14:paraId="0469BC8B">
                  <w:pPr>
                    <w:keepNext w:val="0"/>
                    <w:keepLines w:val="0"/>
                    <w:pageBreakBefore w:val="0"/>
                    <w:widowControl w:val="0"/>
                    <w:kinsoku/>
                    <w:wordWrap/>
                    <w:overflowPunct/>
                    <w:topLinePunct w:val="0"/>
                    <w:autoSpaceDE/>
                    <w:autoSpaceDN/>
                    <w:bidi w:val="0"/>
                    <w:adjustRightInd/>
                    <w:snapToGrid/>
                    <w:spacing w:line="300" w:lineRule="exact"/>
                    <w:ind w:firstLine="420"/>
                    <w:jc w:val="center"/>
                    <w:textAlignment w:val="auto"/>
                    <w:rPr>
                      <w:rFonts w:hint="eastAsia" w:eastAsia="宋体"/>
                      <w:b w:val="0"/>
                      <w:bCs/>
                      <w:color w:val="000000" w:themeColor="text1"/>
                      <w:sz w:val="21"/>
                      <w:szCs w:val="21"/>
                      <w:lang w:eastAsia="zh-CN"/>
                      <w14:textFill>
                        <w14:solidFill>
                          <w14:schemeClr w14:val="tx1"/>
                        </w14:solidFill>
                      </w14:textFill>
                    </w:rPr>
                  </w:pPr>
                  <w:r>
                    <w:rPr>
                      <w:b w:val="0"/>
                      <w:color w:val="000000" w:themeColor="text1"/>
                      <w:sz w:val="21"/>
                      <w:szCs w:val="21"/>
                      <w14:textFill>
                        <w14:solidFill>
                          <w14:schemeClr w14:val="tx1"/>
                        </w14:solidFill>
                      </w14:textFill>
                    </w:rPr>
                    <w:t>密闭车间</w:t>
                  </w:r>
                  <w:r>
                    <w:rPr>
                      <w:rFonts w:hint="eastAsia"/>
                      <w:b w:val="0"/>
                      <w:color w:val="000000" w:themeColor="text1"/>
                      <w:sz w:val="21"/>
                      <w:szCs w:val="21"/>
                      <w:lang w:eastAsia="zh-CN"/>
                      <w14:textFill>
                        <w14:solidFill>
                          <w14:schemeClr w14:val="tx1"/>
                        </w14:solidFill>
                      </w14:textFill>
                    </w:rPr>
                    <w:t>、</w:t>
                  </w:r>
                  <w:r>
                    <w:rPr>
                      <w:rFonts w:hint="eastAsia"/>
                      <w:b w:val="0"/>
                      <w:color w:val="000000" w:themeColor="text1"/>
                      <w:sz w:val="21"/>
                      <w:szCs w:val="21"/>
                      <w:highlight w:val="none"/>
                      <w:vertAlign w:val="baseline"/>
                      <w:lang w:val="en-US" w:eastAsia="zh-CN"/>
                      <w14:textFill>
                        <w14:solidFill>
                          <w14:schemeClr w14:val="tx1"/>
                        </w14:solidFill>
                      </w14:textFill>
                    </w:rPr>
                    <w:t>防风抑尘网+洒水</w:t>
                  </w:r>
                </w:p>
              </w:tc>
              <w:tc>
                <w:tcPr>
                  <w:tcW w:w="2009" w:type="pct"/>
                  <w:vMerge w:val="continue"/>
                  <w:tcBorders>
                    <w:right w:val="nil"/>
                    <w:tl2br w:val="nil"/>
                    <w:tr2bl w:val="nil"/>
                  </w:tcBorders>
                  <w:shd w:val="clear" w:color="auto" w:fill="FFFFFF"/>
                  <w:vAlign w:val="center"/>
                </w:tcPr>
                <w:p w14:paraId="6772D91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b w:val="0"/>
                      <w:color w:val="000000" w:themeColor="text1"/>
                      <w:sz w:val="21"/>
                      <w:szCs w:val="21"/>
                      <w:lang w:val="en-US"/>
                      <w14:textFill>
                        <w14:solidFill>
                          <w14:schemeClr w14:val="tx1"/>
                        </w14:solidFill>
                      </w14:textFill>
                    </w:rPr>
                  </w:pPr>
                </w:p>
              </w:tc>
            </w:tr>
            <w:tr w14:paraId="5024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tcBorders>
                    <w:left w:val="nil"/>
                    <w:tl2br w:val="nil"/>
                    <w:tr2bl w:val="nil"/>
                  </w:tcBorders>
                  <w:shd w:val="clear" w:color="auto" w:fill="FFFFFF"/>
                  <w:vAlign w:val="center"/>
                </w:tcPr>
                <w:p w14:paraId="23F6F0F2">
                  <w:pPr>
                    <w:keepNext w:val="0"/>
                    <w:keepLines w:val="0"/>
                    <w:pageBreakBefore w:val="0"/>
                    <w:widowControl w:val="0"/>
                    <w:kinsoku/>
                    <w:wordWrap/>
                    <w:overflowPunct/>
                    <w:topLinePunct w:val="0"/>
                    <w:autoSpaceDE/>
                    <w:autoSpaceDN/>
                    <w:bidi w:val="0"/>
                    <w:adjustRightInd/>
                    <w:snapToGrid/>
                    <w:spacing w:line="300" w:lineRule="exact"/>
                    <w:ind w:firstLine="0" w:firstLineChars="0"/>
                    <w:contextualSpacing/>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废</w:t>
                  </w:r>
                  <w:r>
                    <w:rPr>
                      <w:b w:val="0"/>
                      <w:color w:val="000000" w:themeColor="text1"/>
                      <w:sz w:val="21"/>
                      <w:szCs w:val="21"/>
                      <w14:textFill>
                        <w14:solidFill>
                          <w14:schemeClr w14:val="tx1"/>
                        </w14:solidFill>
                      </w14:textFill>
                    </w:rPr>
                    <w:t>水</w:t>
                  </w:r>
                </w:p>
              </w:tc>
              <w:tc>
                <w:tcPr>
                  <w:tcW w:w="833" w:type="pct"/>
                  <w:gridSpan w:val="2"/>
                  <w:tcBorders>
                    <w:tl2br w:val="nil"/>
                    <w:tr2bl w:val="nil"/>
                  </w:tcBorders>
                  <w:shd w:val="clear" w:color="auto" w:fill="FFFFFF"/>
                  <w:vAlign w:val="center"/>
                </w:tcPr>
                <w:p w14:paraId="5386354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eastAsia="宋体"/>
                      <w:b w:val="0"/>
                      <w:color w:val="000000" w:themeColor="text1"/>
                      <w:kern w:val="0"/>
                      <w:sz w:val="21"/>
                      <w:szCs w:val="21"/>
                      <w:lang w:val="en-US" w:eastAsia="zh-CN"/>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生活污水</w:t>
                  </w:r>
                </w:p>
              </w:tc>
              <w:tc>
                <w:tcPr>
                  <w:tcW w:w="1906" w:type="pct"/>
                  <w:tcBorders>
                    <w:tl2br w:val="nil"/>
                    <w:tr2bl w:val="nil"/>
                  </w:tcBorders>
                  <w:shd w:val="clear" w:color="auto" w:fill="FFFFFF"/>
                  <w:vAlign w:val="center"/>
                </w:tcPr>
                <w:p w14:paraId="5EB5C11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vertAlign w:val="baseline"/>
                      <w:lang w:val="en-US" w:eastAsia="zh-CN"/>
                      <w14:textFill>
                        <w14:solidFill>
                          <w14:schemeClr w14:val="tx1"/>
                        </w14:solidFill>
                      </w14:textFill>
                    </w:rPr>
                    <w:t>化粪池收集后由吸污车运往</w:t>
                  </w:r>
                  <w:r>
                    <w:rPr>
                      <w:rFonts w:hint="default" w:ascii="Times New Roman" w:hAnsi="Times New Roman" w:eastAsia="宋体" w:cs="Times New Roman"/>
                      <w:b w:val="0"/>
                      <w:color w:val="000000" w:themeColor="text1"/>
                      <w:spacing w:val="0"/>
                      <w:sz w:val="21"/>
                      <w:szCs w:val="21"/>
                      <w:lang w:val="en-US" w:eastAsia="zh-CN"/>
                      <w14:textFill>
                        <w14:solidFill>
                          <w14:schemeClr w14:val="tx1"/>
                        </w14:solidFill>
                      </w14:textFill>
                    </w:rPr>
                    <w:t>昌吉市第二污水处理厂</w:t>
                  </w:r>
                  <w:r>
                    <w:rPr>
                      <w:rFonts w:hint="eastAsia" w:ascii="Times New Roman" w:hAnsi="Times New Roman" w:eastAsia="宋体" w:cs="Times New Roman"/>
                      <w:b w:val="0"/>
                      <w:color w:val="000000" w:themeColor="text1"/>
                      <w:sz w:val="21"/>
                      <w:szCs w:val="21"/>
                      <w:highlight w:val="none"/>
                      <w:vertAlign w:val="baseline"/>
                      <w:lang w:val="en-US" w:eastAsia="zh-CN"/>
                      <w14:textFill>
                        <w14:solidFill>
                          <w14:schemeClr w14:val="tx1"/>
                        </w14:solidFill>
                      </w14:textFill>
                    </w:rPr>
                    <w:t>处理</w:t>
                  </w:r>
                </w:p>
              </w:tc>
              <w:tc>
                <w:tcPr>
                  <w:tcW w:w="2009" w:type="pct"/>
                  <w:tcBorders>
                    <w:right w:val="nil"/>
                    <w:tl2br w:val="nil"/>
                    <w:tr2bl w:val="nil"/>
                  </w:tcBorders>
                  <w:shd w:val="clear" w:color="auto" w:fill="FFFFFF"/>
                  <w:vAlign w:val="center"/>
                </w:tcPr>
                <w:p w14:paraId="7DBCD42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lang w:val="en-US" w:eastAsia="zh-CN"/>
                      <w14:textFill>
                        <w14:solidFill>
                          <w14:schemeClr w14:val="tx1"/>
                        </w14:solidFill>
                      </w14:textFill>
                    </w:rPr>
                    <w:t>《污水综合排放标准》（GB8978-1996）中三级标准限值</w:t>
                  </w:r>
                </w:p>
              </w:tc>
            </w:tr>
            <w:tr w14:paraId="162C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tcBorders>
                    <w:left w:val="nil"/>
                    <w:tl2br w:val="nil"/>
                    <w:tr2bl w:val="nil"/>
                  </w:tcBorders>
                  <w:shd w:val="clear" w:color="auto" w:fill="FFFFFF"/>
                  <w:vAlign w:val="center"/>
                </w:tcPr>
                <w:p w14:paraId="136F56AE">
                  <w:pPr>
                    <w:keepNext w:val="0"/>
                    <w:keepLines w:val="0"/>
                    <w:pageBreakBefore w:val="0"/>
                    <w:widowControl w:val="0"/>
                    <w:kinsoku/>
                    <w:wordWrap/>
                    <w:overflowPunct/>
                    <w:topLinePunct w:val="0"/>
                    <w:autoSpaceDE/>
                    <w:autoSpaceDN/>
                    <w:bidi w:val="0"/>
                    <w:adjustRightInd/>
                    <w:snapToGrid/>
                    <w:spacing w:line="300" w:lineRule="exact"/>
                    <w:ind w:firstLine="0" w:firstLineChars="0"/>
                    <w:contextualSpacing/>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噪声</w:t>
                  </w:r>
                </w:p>
              </w:tc>
              <w:tc>
                <w:tcPr>
                  <w:tcW w:w="833" w:type="pct"/>
                  <w:gridSpan w:val="2"/>
                  <w:tcBorders>
                    <w:tl2br w:val="nil"/>
                    <w:tr2bl w:val="nil"/>
                  </w:tcBorders>
                  <w:shd w:val="clear" w:color="auto" w:fill="FFFFFF"/>
                  <w:vAlign w:val="center"/>
                </w:tcPr>
                <w:p w14:paraId="315D162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生产设备噪声</w:t>
                  </w:r>
                </w:p>
              </w:tc>
              <w:tc>
                <w:tcPr>
                  <w:tcW w:w="1906" w:type="pct"/>
                  <w:tcBorders>
                    <w:tl2br w:val="nil"/>
                    <w:tr2bl w:val="nil"/>
                  </w:tcBorders>
                  <w:shd w:val="clear" w:color="auto" w:fill="FFFFFF"/>
                  <w:vAlign w:val="center"/>
                </w:tcPr>
                <w:p w14:paraId="5B27677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选用低噪声设备</w:t>
                  </w:r>
                  <w:r>
                    <w:rPr>
                      <w:rFonts w:hint="eastAsia"/>
                      <w:b w:val="0"/>
                      <w:color w:val="000000" w:themeColor="text1"/>
                      <w:sz w:val="21"/>
                      <w:szCs w:val="21"/>
                      <w14:textFill>
                        <w14:solidFill>
                          <w14:schemeClr w14:val="tx1"/>
                        </w14:solidFill>
                      </w14:textFill>
                    </w:rPr>
                    <w:t>，</w:t>
                  </w:r>
                  <w:r>
                    <w:rPr>
                      <w:b w:val="0"/>
                      <w:color w:val="000000" w:themeColor="text1"/>
                      <w:sz w:val="21"/>
                      <w:szCs w:val="21"/>
                      <w14:textFill>
                        <w14:solidFill>
                          <w14:schemeClr w14:val="tx1"/>
                        </w14:solidFill>
                      </w14:textFill>
                    </w:rPr>
                    <w:t>基础减振、</w:t>
                  </w:r>
                  <w:r>
                    <w:rPr>
                      <w:rFonts w:hint="eastAsia"/>
                      <w:b w:val="0"/>
                      <w:color w:val="000000" w:themeColor="text1"/>
                      <w:sz w:val="21"/>
                      <w:szCs w:val="21"/>
                      <w14:textFill>
                        <w14:solidFill>
                          <w14:schemeClr w14:val="tx1"/>
                        </w14:solidFill>
                      </w14:textFill>
                    </w:rPr>
                    <w:t>建筑隔声、消声等措施</w:t>
                  </w:r>
                </w:p>
              </w:tc>
              <w:tc>
                <w:tcPr>
                  <w:tcW w:w="2009" w:type="pct"/>
                  <w:tcBorders>
                    <w:right w:val="nil"/>
                    <w:tl2br w:val="nil"/>
                    <w:tr2bl w:val="nil"/>
                  </w:tcBorders>
                  <w:shd w:val="clear" w:color="auto" w:fill="FFFFFF"/>
                  <w:vAlign w:val="center"/>
                </w:tcPr>
                <w:p w14:paraId="11B98B9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《工业企业厂界环境噪声排放标准》</w:t>
                  </w:r>
                  <w:r>
                    <w:rPr>
                      <w:rFonts w:hint="eastAsia"/>
                      <w:b w:val="0"/>
                      <w:color w:val="000000" w:themeColor="text1"/>
                      <w:sz w:val="21"/>
                      <w:szCs w:val="21"/>
                      <w:lang w:eastAsia="zh-CN"/>
                      <w14:textFill>
                        <w14:solidFill>
                          <w14:schemeClr w14:val="tx1"/>
                        </w14:solidFill>
                      </w14:textFill>
                    </w:rPr>
                    <w:t>（</w:t>
                  </w:r>
                  <w:r>
                    <w:rPr>
                      <w:b w:val="0"/>
                      <w:color w:val="000000" w:themeColor="text1"/>
                      <w:sz w:val="21"/>
                      <w:szCs w:val="21"/>
                      <w14:textFill>
                        <w14:solidFill>
                          <w14:schemeClr w14:val="tx1"/>
                        </w14:solidFill>
                      </w14:textFill>
                    </w:rPr>
                    <w:t>GB12348-2008</w:t>
                  </w:r>
                  <w:r>
                    <w:rPr>
                      <w:rFonts w:hint="eastAsia"/>
                      <w:b w:val="0"/>
                      <w:color w:val="000000" w:themeColor="text1"/>
                      <w:sz w:val="21"/>
                      <w:szCs w:val="21"/>
                      <w:lang w:eastAsia="zh-CN"/>
                      <w14:textFill>
                        <w14:solidFill>
                          <w14:schemeClr w14:val="tx1"/>
                        </w14:solidFill>
                      </w14:textFill>
                    </w:rPr>
                    <w:t>）</w:t>
                  </w:r>
                  <w:r>
                    <w:rPr>
                      <w:b w:val="0"/>
                      <w:color w:val="000000" w:themeColor="text1"/>
                      <w:sz w:val="21"/>
                      <w:szCs w:val="21"/>
                      <w14:textFill>
                        <w14:solidFill>
                          <w14:schemeClr w14:val="tx1"/>
                        </w14:solidFill>
                      </w14:textFill>
                    </w:rPr>
                    <w:t>中</w:t>
                  </w:r>
                  <w:r>
                    <w:rPr>
                      <w:rFonts w:hint="eastAsia"/>
                      <w:b w:val="0"/>
                      <w:color w:val="000000" w:themeColor="text1"/>
                      <w:sz w:val="21"/>
                      <w:szCs w:val="21"/>
                      <w:lang w:val="en-US" w:eastAsia="zh-CN"/>
                      <w14:textFill>
                        <w14:solidFill>
                          <w14:schemeClr w14:val="tx1"/>
                        </w14:solidFill>
                      </w14:textFill>
                    </w:rPr>
                    <w:t>2</w:t>
                  </w:r>
                  <w:r>
                    <w:rPr>
                      <w:b w:val="0"/>
                      <w:color w:val="000000" w:themeColor="text1"/>
                      <w:sz w:val="21"/>
                      <w:szCs w:val="21"/>
                      <w14:textFill>
                        <w14:solidFill>
                          <w14:schemeClr w14:val="tx1"/>
                        </w14:solidFill>
                      </w14:textFill>
                    </w:rPr>
                    <w:t>类标准</w:t>
                  </w:r>
                </w:p>
              </w:tc>
            </w:tr>
            <w:tr w14:paraId="133C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restart"/>
                  <w:tcBorders>
                    <w:left w:val="nil"/>
                    <w:tl2br w:val="nil"/>
                    <w:tr2bl w:val="nil"/>
                  </w:tcBorders>
                  <w:shd w:val="clear" w:color="auto" w:fill="FFFFFF"/>
                  <w:vAlign w:val="center"/>
                </w:tcPr>
                <w:p w14:paraId="508BF75C">
                  <w:pPr>
                    <w:keepNext w:val="0"/>
                    <w:keepLines w:val="0"/>
                    <w:pageBreakBefore w:val="0"/>
                    <w:widowControl w:val="0"/>
                    <w:kinsoku/>
                    <w:wordWrap/>
                    <w:overflowPunct/>
                    <w:topLinePunct w:val="0"/>
                    <w:autoSpaceDE/>
                    <w:autoSpaceDN/>
                    <w:bidi w:val="0"/>
                    <w:adjustRightInd/>
                    <w:snapToGrid/>
                    <w:spacing w:line="300" w:lineRule="exact"/>
                    <w:ind w:firstLine="0" w:firstLineChars="0"/>
                    <w:contextualSpacing/>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固废</w:t>
                  </w:r>
                </w:p>
              </w:tc>
              <w:tc>
                <w:tcPr>
                  <w:tcW w:w="833" w:type="pct"/>
                  <w:gridSpan w:val="2"/>
                  <w:tcBorders>
                    <w:tl2br w:val="nil"/>
                    <w:tr2bl w:val="nil"/>
                  </w:tcBorders>
                  <w:shd w:val="clear" w:color="auto" w:fill="FFFFFF"/>
                  <w:vAlign w:val="center"/>
                </w:tcPr>
                <w:p w14:paraId="249D712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危险废物</w:t>
                  </w:r>
                </w:p>
              </w:tc>
              <w:tc>
                <w:tcPr>
                  <w:tcW w:w="1906" w:type="pct"/>
                  <w:tcBorders>
                    <w:tl2br w:val="nil"/>
                    <w:tr2bl w:val="nil"/>
                  </w:tcBorders>
                  <w:shd w:val="clear" w:color="auto" w:fill="FFFFFF"/>
                  <w:vAlign w:val="center"/>
                </w:tcPr>
                <w:p w14:paraId="470A616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集中收集，暂存于厂区危废</w:t>
                  </w:r>
                  <w:r>
                    <w:rPr>
                      <w:rFonts w:hint="eastAsia"/>
                      <w:b w:val="0"/>
                      <w:color w:val="000000" w:themeColor="text1"/>
                      <w:sz w:val="21"/>
                      <w:szCs w:val="21"/>
                      <w:lang w:val="en-US" w:eastAsia="zh-CN"/>
                      <w14:textFill>
                        <w14:solidFill>
                          <w14:schemeClr w14:val="tx1"/>
                        </w14:solidFill>
                      </w14:textFill>
                    </w:rPr>
                    <w:t>贮存库</w:t>
                  </w:r>
                  <w:r>
                    <w:rPr>
                      <w:b w:val="0"/>
                      <w:color w:val="000000" w:themeColor="text1"/>
                      <w:sz w:val="21"/>
                      <w:szCs w:val="21"/>
                      <w14:textFill>
                        <w14:solidFill>
                          <w14:schemeClr w14:val="tx1"/>
                        </w14:solidFill>
                      </w14:textFill>
                    </w:rPr>
                    <w:t>，定期委托有资质单位处置</w:t>
                  </w:r>
                </w:p>
              </w:tc>
              <w:tc>
                <w:tcPr>
                  <w:tcW w:w="2009" w:type="pct"/>
                  <w:tcBorders>
                    <w:right w:val="nil"/>
                    <w:tl2br w:val="nil"/>
                    <w:tr2bl w:val="nil"/>
                  </w:tcBorders>
                  <w:shd w:val="clear" w:color="auto" w:fill="FFFFFF"/>
                  <w:vAlign w:val="center"/>
                </w:tcPr>
                <w:p w14:paraId="744842E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《危险废物贮存污染控制标准》（GB18597-2023）</w:t>
                  </w:r>
                </w:p>
              </w:tc>
            </w:tr>
            <w:tr w14:paraId="1A48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 w:type="pct"/>
                  <w:vMerge w:val="continue"/>
                  <w:tcBorders>
                    <w:left w:val="nil"/>
                    <w:bottom w:val="single" w:color="000000" w:sz="12" w:space="0"/>
                    <w:tl2br w:val="nil"/>
                    <w:tr2bl w:val="nil"/>
                  </w:tcBorders>
                  <w:shd w:val="clear" w:color="auto" w:fill="FFFFFF"/>
                  <w:vAlign w:val="center"/>
                </w:tcPr>
                <w:p w14:paraId="0DEF3963">
                  <w:pPr>
                    <w:keepNext w:val="0"/>
                    <w:keepLines w:val="0"/>
                    <w:pageBreakBefore w:val="0"/>
                    <w:widowControl w:val="0"/>
                    <w:kinsoku/>
                    <w:wordWrap/>
                    <w:overflowPunct/>
                    <w:topLinePunct w:val="0"/>
                    <w:autoSpaceDE/>
                    <w:autoSpaceDN/>
                    <w:bidi w:val="0"/>
                    <w:adjustRightInd/>
                    <w:snapToGrid/>
                    <w:spacing w:line="300" w:lineRule="exact"/>
                    <w:ind w:firstLine="420"/>
                    <w:contextualSpacing/>
                    <w:jc w:val="center"/>
                    <w:textAlignment w:val="auto"/>
                    <w:rPr>
                      <w:b w:val="0"/>
                      <w:color w:val="000000" w:themeColor="text1"/>
                      <w:sz w:val="21"/>
                      <w:szCs w:val="21"/>
                      <w14:textFill>
                        <w14:solidFill>
                          <w14:schemeClr w14:val="tx1"/>
                        </w14:solidFill>
                      </w14:textFill>
                    </w:rPr>
                  </w:pPr>
                </w:p>
              </w:tc>
              <w:tc>
                <w:tcPr>
                  <w:tcW w:w="833" w:type="pct"/>
                  <w:gridSpan w:val="2"/>
                  <w:tcBorders>
                    <w:bottom w:val="single" w:color="000000" w:sz="12" w:space="0"/>
                    <w:tl2br w:val="nil"/>
                    <w:tr2bl w:val="nil"/>
                  </w:tcBorders>
                  <w:shd w:val="clear" w:color="auto" w:fill="FFFFFF"/>
                  <w:vAlign w:val="center"/>
                </w:tcPr>
                <w:p w14:paraId="2D79497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一般工业固废</w:t>
                  </w:r>
                </w:p>
              </w:tc>
              <w:tc>
                <w:tcPr>
                  <w:tcW w:w="1906" w:type="pct"/>
                  <w:tcBorders>
                    <w:bottom w:val="single" w:color="000000" w:sz="12" w:space="0"/>
                    <w:tl2br w:val="nil"/>
                    <w:tr2bl w:val="nil"/>
                  </w:tcBorders>
                  <w:shd w:val="clear" w:color="auto" w:fill="FFFFFF"/>
                  <w:vAlign w:val="center"/>
                </w:tcPr>
                <w:p w14:paraId="2103D3B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集中收集，暂存于一般固</w:t>
                  </w:r>
                  <w:r>
                    <w:rPr>
                      <w:rFonts w:hint="eastAsia"/>
                      <w:b w:val="0"/>
                      <w:color w:val="000000" w:themeColor="text1"/>
                      <w:sz w:val="21"/>
                      <w:szCs w:val="21"/>
                      <w:lang w:eastAsia="zh-CN"/>
                      <w14:textFill>
                        <w14:solidFill>
                          <w14:schemeClr w14:val="tx1"/>
                        </w14:solidFill>
                      </w14:textFill>
                    </w:rPr>
                    <w:t>体</w:t>
                  </w:r>
                  <w:r>
                    <w:rPr>
                      <w:rFonts w:hint="eastAsia"/>
                      <w:b w:val="0"/>
                      <w:color w:val="000000" w:themeColor="text1"/>
                      <w:sz w:val="21"/>
                      <w:szCs w:val="21"/>
                      <w14:textFill>
                        <w14:solidFill>
                          <w14:schemeClr w14:val="tx1"/>
                        </w14:solidFill>
                      </w14:textFill>
                    </w:rPr>
                    <w:t>废物暂存间，定期外售</w:t>
                  </w:r>
                </w:p>
              </w:tc>
              <w:tc>
                <w:tcPr>
                  <w:tcW w:w="2009" w:type="pct"/>
                  <w:tcBorders>
                    <w:bottom w:val="single" w:color="000000" w:sz="12" w:space="0"/>
                    <w:right w:val="nil"/>
                    <w:tl2br w:val="nil"/>
                    <w:tr2bl w:val="nil"/>
                  </w:tcBorders>
                  <w:shd w:val="clear" w:color="auto" w:fill="FFFFFF"/>
                  <w:vAlign w:val="center"/>
                </w:tcPr>
                <w:p w14:paraId="2ADDCE87">
                  <w:pPr>
                    <w:keepNext w:val="0"/>
                    <w:keepLines w:val="0"/>
                    <w:pageBreakBefore w:val="0"/>
                    <w:widowControl w:val="0"/>
                    <w:kinsoku/>
                    <w:wordWrap/>
                    <w:overflowPunct/>
                    <w:topLinePunct w:val="0"/>
                    <w:autoSpaceDE/>
                    <w:autoSpaceDN/>
                    <w:bidi w:val="0"/>
                    <w:adjustRightInd/>
                    <w:snapToGrid/>
                    <w:spacing w:line="300" w:lineRule="exact"/>
                    <w:ind w:firstLine="420"/>
                    <w:jc w:val="center"/>
                    <w:textAlignment w:val="auto"/>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应满足</w:t>
                  </w:r>
                  <w:r>
                    <w:rPr>
                      <w:rFonts w:ascii="Helvetica" w:hAnsi="Helvetica" w:eastAsia="Helvetica" w:cs="Helvetica"/>
                      <w:b w:val="0"/>
                      <w:i w:val="0"/>
                      <w:iCs w:val="0"/>
                      <w:caps w:val="0"/>
                      <w:color w:val="000000" w:themeColor="text1"/>
                      <w:spacing w:val="0"/>
                      <w:sz w:val="24"/>
                      <w:szCs w:val="24"/>
                      <w:shd w:val="clear" w:fill="FFFFFF"/>
                      <w14:textFill>
                        <w14:solidFill>
                          <w14:schemeClr w14:val="tx1"/>
                        </w14:solidFill>
                      </w14:textFill>
                    </w:rPr>
                    <w:t>《</w:t>
                  </w:r>
                  <w:r>
                    <w:rPr>
                      <w:rFonts w:ascii="Helvetica" w:hAnsi="Helvetica" w:eastAsia="Helvetica" w:cs="Helvetica"/>
                      <w:b w:val="0"/>
                      <w:i w:val="0"/>
                      <w:iCs w:val="0"/>
                      <w:caps w:val="0"/>
                      <w:color w:val="000000" w:themeColor="text1"/>
                      <w:spacing w:val="0"/>
                      <w:sz w:val="21"/>
                      <w:szCs w:val="21"/>
                      <w:shd w:val="clear" w:fill="FFFFFF"/>
                      <w14:textFill>
                        <w14:solidFill>
                          <w14:schemeClr w14:val="tx1"/>
                        </w14:solidFill>
                      </w14:textFill>
                    </w:rPr>
                    <w:t>中华人民共和国固体废物污染环境防治法》</w:t>
                  </w:r>
                  <w:r>
                    <w:rPr>
                      <w:b w:val="0"/>
                      <w:color w:val="000000" w:themeColor="text1"/>
                      <w:sz w:val="21"/>
                      <w:szCs w:val="21"/>
                      <w14:textFill>
                        <w14:solidFill>
                          <w14:schemeClr w14:val="tx1"/>
                        </w14:solidFill>
                      </w14:textFill>
                    </w:rPr>
                    <w:t>的要求</w:t>
                  </w:r>
                  <w:r>
                    <w:rPr>
                      <w:rFonts w:hint="eastAsia"/>
                      <w:b w:val="0"/>
                      <w:color w:val="000000" w:themeColor="text1"/>
                      <w:sz w:val="21"/>
                      <w:szCs w:val="21"/>
                      <w14:textFill>
                        <w14:solidFill>
                          <w14:schemeClr w14:val="tx1"/>
                        </w14:solidFill>
                      </w14:textFill>
                    </w:rPr>
                    <w:t>。</w:t>
                  </w:r>
                </w:p>
              </w:tc>
            </w:tr>
          </w:tbl>
          <w:p w14:paraId="2DB175BB">
            <w:pPr>
              <w:widowControl/>
              <w:tabs>
                <w:tab w:val="left" w:pos="567"/>
              </w:tabs>
              <w:ind w:left="0" w:leftChars="0" w:firstLine="0" w:firstLineChars="0"/>
              <w:textAlignment w:val="bottom"/>
              <w:rPr>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（十）</w:t>
            </w:r>
            <w:r>
              <w:rPr>
                <w:b/>
                <w:bCs/>
                <w:color w:val="000000" w:themeColor="text1"/>
                <w14:textFill>
                  <w14:solidFill>
                    <w14:schemeClr w14:val="tx1"/>
                  </w14:solidFill>
                </w14:textFill>
              </w:rPr>
              <w:t>排污口规范化</w:t>
            </w:r>
          </w:p>
          <w:p w14:paraId="0BFE48F3">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根据国家标准《环境保护图形标志—排放口（源）》和原国家环保总局《排污口规范化整治要求</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试行</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》的技术要求，企业所有排放口必须按照便于采样、便于计量监测、便于日常现场监督检查的原则和规范化要求，设置排污口标志牌。</w:t>
            </w:r>
          </w:p>
          <w:p w14:paraId="354146BA">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1）固定噪声排放源</w:t>
            </w:r>
          </w:p>
          <w:p w14:paraId="24432D1B">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按规定对固定噪声源进行治理，并在企业边界噪声敏感点且对外影响最大处设置标志牌。</w:t>
            </w:r>
          </w:p>
          <w:p w14:paraId="40262EFD">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）固体废物临时堆放场</w:t>
            </w:r>
          </w:p>
          <w:p w14:paraId="13E57302">
            <w:pPr>
              <w:ind w:firstLine="480"/>
              <w:jc w:val="left"/>
              <w:rPr>
                <w:color w:val="000000" w:themeColor="text1"/>
                <w14:textFill>
                  <w14:solidFill>
                    <w14:schemeClr w14:val="tx1"/>
                  </w14:solidFill>
                </w14:textFill>
              </w:rPr>
            </w:pPr>
            <w:r>
              <w:rPr>
                <w:color w:val="000000" w:themeColor="text1"/>
                <w14:textFill>
                  <w14:solidFill>
                    <w14:schemeClr w14:val="tx1"/>
                  </w14:solidFill>
                </w14:textFill>
              </w:rPr>
              <w:t>对各种固体废物应分类收集﹑贮存和运输，设置专用危险废物临时贮存仓库，有防止雨淋﹑防扬散﹑防流失﹑防渗漏等措施，并设置标志牌。</w:t>
            </w:r>
          </w:p>
          <w:p w14:paraId="6479D80F">
            <w:pPr>
              <w:ind w:firstLine="48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）设置标志牌要求</w:t>
            </w:r>
          </w:p>
          <w:p w14:paraId="3162AA77">
            <w:pPr>
              <w:ind w:firstLine="480"/>
              <w:jc w:val="left"/>
              <w:rPr>
                <w:b/>
                <w:bCs/>
                <w:color w:val="000000" w:themeColor="text1"/>
                <w:kern w:val="0"/>
                <w14:textFill>
                  <w14:solidFill>
                    <w14:schemeClr w14:val="tx1"/>
                  </w14:solidFill>
                </w14:textFill>
              </w:rPr>
            </w:pPr>
            <w:r>
              <w:rPr>
                <w:color w:val="000000" w:themeColor="text1"/>
                <w14:textFill>
                  <w14:solidFill>
                    <w14:schemeClr w14:val="tx1"/>
                  </w14:solidFill>
                </w14:textFill>
              </w:rPr>
              <w:t>标志牌应设置在排污口（采样点）附近且醒目处，排污口的有关</w:t>
            </w:r>
            <w:r>
              <w:rPr>
                <w:rFonts w:hint="eastAsia"/>
                <w:color w:val="000000" w:themeColor="text1"/>
                <w14:textFill>
                  <w14:solidFill>
                    <w14:schemeClr w14:val="tx1"/>
                  </w14:solidFill>
                </w14:textFill>
              </w:rPr>
              <w:t>设施</w:t>
            </w:r>
            <w:r>
              <w:rPr>
                <w:color w:val="000000" w:themeColor="text1"/>
                <w14:textFill>
                  <w14:solidFill>
                    <w14:schemeClr w14:val="tx1"/>
                  </w14:solidFill>
                </w14:textFill>
              </w:rPr>
              <w:t>（如标志牌、计量装置、</w:t>
            </w:r>
            <w:r>
              <w:rPr>
                <w:rFonts w:hint="eastAsia"/>
                <w:color w:val="000000" w:themeColor="text1"/>
                <w:lang w:eastAsia="zh-CN"/>
                <w14:textFill>
                  <w14:solidFill>
                    <w14:schemeClr w14:val="tx1"/>
                  </w14:solidFill>
                </w14:textFill>
              </w:rPr>
              <w:t>监控装置等）属于环保</w:t>
            </w:r>
            <w:r>
              <w:rPr>
                <w:color w:val="000000" w:themeColor="text1"/>
                <w14:textFill>
                  <w14:solidFill>
                    <w14:schemeClr w14:val="tx1"/>
                  </w14:solidFill>
                </w14:textFill>
              </w:rPr>
              <w:t>设施，排污单位必须负责日常的维护保养，任何单位和个人不得擅自拆除。各环保标志详见下表</w:t>
            </w:r>
          </w:p>
          <w:p w14:paraId="31326A1A">
            <w:pPr>
              <w:spacing w:line="240" w:lineRule="auto"/>
              <w:ind w:firstLine="422"/>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表4-</w:t>
            </w:r>
            <w:r>
              <w:rPr>
                <w:rFonts w:hint="eastAsia"/>
                <w:b/>
                <w:bCs/>
                <w:color w:val="000000" w:themeColor="text1"/>
                <w:kern w:val="0"/>
                <w:sz w:val="21"/>
                <w:szCs w:val="21"/>
                <w:lang w:val="en-US" w:eastAsia="zh-CN"/>
                <w14:textFill>
                  <w14:solidFill>
                    <w14:schemeClr w14:val="tx1"/>
                  </w14:solidFill>
                </w14:textFill>
              </w:rPr>
              <w:t>21</w:t>
            </w:r>
            <w:r>
              <w:rPr>
                <w:b/>
                <w:bCs/>
                <w:color w:val="000000" w:themeColor="text1"/>
                <w:kern w:val="0"/>
                <w:sz w:val="21"/>
                <w:szCs w:val="21"/>
                <w14:textFill>
                  <w14:solidFill>
                    <w14:schemeClr w14:val="tx1"/>
                  </w14:solidFill>
                </w14:textFill>
              </w:rPr>
              <w:t xml:space="preserve">  环境保护图形标志</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1693"/>
              <w:gridCol w:w="107"/>
              <w:gridCol w:w="1882"/>
              <w:gridCol w:w="1666"/>
              <w:gridCol w:w="3399"/>
            </w:tblGrid>
            <w:tr w14:paraId="556E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20" w:type="pct"/>
                  <w:tcBorders>
                    <w:top w:val="single" w:color="000000" w:sz="12" w:space="0"/>
                    <w:left w:val="nil"/>
                    <w:tl2br w:val="nil"/>
                    <w:tr2bl w:val="nil"/>
                  </w:tcBorders>
                  <w:shd w:val="clear" w:color="auto" w:fill="FFFFFF"/>
                  <w:vAlign w:val="center"/>
                </w:tcPr>
                <w:p w14:paraId="761D3D3C">
                  <w:pPr>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序号</w:t>
                  </w:r>
                </w:p>
              </w:tc>
              <w:tc>
                <w:tcPr>
                  <w:tcW w:w="942" w:type="pct"/>
                  <w:gridSpan w:val="2"/>
                  <w:tcBorders>
                    <w:top w:val="single" w:color="000000" w:sz="12" w:space="0"/>
                    <w:tl2br w:val="nil"/>
                    <w:tr2bl w:val="nil"/>
                  </w:tcBorders>
                  <w:shd w:val="clear" w:color="auto" w:fill="FFFFFF"/>
                  <w:vAlign w:val="center"/>
                </w:tcPr>
                <w:p w14:paraId="5AC3262C">
                  <w:pPr>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提示图像符号</w:t>
                  </w:r>
                </w:p>
              </w:tc>
              <w:tc>
                <w:tcPr>
                  <w:tcW w:w="985" w:type="pct"/>
                  <w:tcBorders>
                    <w:top w:val="single" w:color="000000" w:sz="12" w:space="0"/>
                    <w:tl2br w:val="nil"/>
                    <w:tr2bl w:val="nil"/>
                  </w:tcBorders>
                  <w:shd w:val="clear" w:color="auto" w:fill="FFFFFF"/>
                  <w:vAlign w:val="center"/>
                </w:tcPr>
                <w:p w14:paraId="0B9C5E19">
                  <w:pPr>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警告图像符号</w:t>
                  </w:r>
                </w:p>
              </w:tc>
              <w:tc>
                <w:tcPr>
                  <w:tcW w:w="872" w:type="pct"/>
                  <w:tcBorders>
                    <w:top w:val="single" w:color="000000" w:sz="12" w:space="0"/>
                    <w:tl2br w:val="nil"/>
                    <w:tr2bl w:val="nil"/>
                  </w:tcBorders>
                  <w:shd w:val="clear" w:color="auto" w:fill="FFFFFF"/>
                  <w:vAlign w:val="center"/>
                </w:tcPr>
                <w:p w14:paraId="08D29F15">
                  <w:pPr>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名称</w:t>
                  </w:r>
                </w:p>
              </w:tc>
              <w:tc>
                <w:tcPr>
                  <w:tcW w:w="1779" w:type="pct"/>
                  <w:tcBorders>
                    <w:top w:val="single" w:color="000000" w:sz="12" w:space="0"/>
                    <w:right w:val="nil"/>
                    <w:tl2br w:val="nil"/>
                    <w:tr2bl w:val="nil"/>
                  </w:tcBorders>
                  <w:shd w:val="clear" w:color="auto" w:fill="FFFFFF"/>
                  <w:vAlign w:val="center"/>
                </w:tcPr>
                <w:p w14:paraId="132D8C5F">
                  <w:pPr>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功能及作用</w:t>
                  </w:r>
                </w:p>
              </w:tc>
            </w:tr>
            <w:tr w14:paraId="411E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420" w:type="pct"/>
                  <w:tcBorders>
                    <w:left w:val="nil"/>
                    <w:tl2br w:val="nil"/>
                    <w:tr2bl w:val="nil"/>
                  </w:tcBorders>
                  <w:shd w:val="clear" w:color="auto" w:fill="FFFFFF"/>
                  <w:vAlign w:val="center"/>
                </w:tcPr>
                <w:p w14:paraId="1A463009">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1</w:t>
                  </w:r>
                </w:p>
              </w:tc>
              <w:tc>
                <w:tcPr>
                  <w:tcW w:w="1927" w:type="pct"/>
                  <w:gridSpan w:val="3"/>
                  <w:tcBorders>
                    <w:tl2br w:val="nil"/>
                    <w:tr2bl w:val="nil"/>
                  </w:tcBorders>
                  <w:shd w:val="clear" w:color="auto" w:fill="FFFFFF"/>
                  <w:vAlign w:val="center"/>
                </w:tcPr>
                <w:p w14:paraId="11AD958D">
                  <w:pPr>
                    <w:spacing w:line="240" w:lineRule="auto"/>
                    <w:ind w:firstLine="0" w:firstLineChars="0"/>
                    <w:jc w:val="center"/>
                    <w:rPr>
                      <w:b w:val="0"/>
                      <w:color w:val="000000" w:themeColor="text1"/>
                      <w:sz w:val="21"/>
                      <w:szCs w:val="21"/>
                      <w14:textFill>
                        <w14:solidFill>
                          <w14:schemeClr w14:val="tx1"/>
                        </w14:solidFill>
                      </w14:textFill>
                    </w:rPr>
                  </w:pPr>
                  <w:r>
                    <w:rPr>
                      <w:b w:val="0"/>
                      <w:color w:val="000000" w:themeColor="text1"/>
                      <w14:textFill>
                        <w14:solidFill>
                          <w14:schemeClr w14:val="tx1"/>
                        </w14:solidFill>
                      </w14:textFill>
                    </w:rPr>
                    <w:drawing>
                      <wp:inline distT="0" distB="0" distL="114300" distR="114300">
                        <wp:extent cx="708660" cy="626745"/>
                        <wp:effectExtent l="0" t="0" r="15240" b="190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30"/>
                                <a:stretch>
                                  <a:fillRect/>
                                </a:stretch>
                              </pic:blipFill>
                              <pic:spPr>
                                <a:xfrm>
                                  <a:off x="0" y="0"/>
                                  <a:ext cx="708660" cy="626745"/>
                                </a:xfrm>
                                <a:prstGeom prst="rect">
                                  <a:avLst/>
                                </a:prstGeom>
                                <a:noFill/>
                                <a:ln>
                                  <a:noFill/>
                                </a:ln>
                              </pic:spPr>
                            </pic:pic>
                          </a:graphicData>
                        </a:graphic>
                      </wp:inline>
                    </w:drawing>
                  </w:r>
                </w:p>
              </w:tc>
              <w:tc>
                <w:tcPr>
                  <w:tcW w:w="872" w:type="pct"/>
                  <w:tcBorders>
                    <w:tl2br w:val="nil"/>
                    <w:tr2bl w:val="nil"/>
                  </w:tcBorders>
                  <w:shd w:val="clear" w:color="auto" w:fill="FFFFFF"/>
                  <w:vAlign w:val="center"/>
                </w:tcPr>
                <w:p w14:paraId="4B4EF240">
                  <w:pPr>
                    <w:spacing w:line="240" w:lineRule="auto"/>
                    <w:ind w:firstLine="0" w:firstLineChars="0"/>
                    <w:jc w:val="center"/>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危险废物</w:t>
                  </w:r>
                </w:p>
              </w:tc>
              <w:tc>
                <w:tcPr>
                  <w:tcW w:w="1779" w:type="pct"/>
                  <w:tcBorders>
                    <w:right w:val="nil"/>
                    <w:tl2br w:val="nil"/>
                    <w:tr2bl w:val="nil"/>
                  </w:tcBorders>
                  <w:shd w:val="clear" w:color="auto" w:fill="FFFFFF"/>
                  <w:vAlign w:val="center"/>
                </w:tcPr>
                <w:p w14:paraId="2EB06BA6">
                  <w:pPr>
                    <w:spacing w:line="240" w:lineRule="auto"/>
                    <w:ind w:firstLine="0" w:firstLineChars="0"/>
                    <w:jc w:val="center"/>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表示危险废物贮存、处置场</w:t>
                  </w:r>
                </w:p>
              </w:tc>
            </w:tr>
            <w:tr w14:paraId="218C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jc w:val="center"/>
              </w:trPr>
              <w:tc>
                <w:tcPr>
                  <w:tcW w:w="420" w:type="pct"/>
                  <w:tcBorders>
                    <w:left w:val="nil"/>
                    <w:tl2br w:val="nil"/>
                    <w:tr2bl w:val="nil"/>
                  </w:tcBorders>
                  <w:shd w:val="clear" w:color="auto" w:fill="FFFFFF"/>
                  <w:vAlign w:val="center"/>
                </w:tcPr>
                <w:p w14:paraId="4D7E76C5">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2</w:t>
                  </w:r>
                </w:p>
              </w:tc>
              <w:tc>
                <w:tcPr>
                  <w:tcW w:w="942" w:type="pct"/>
                  <w:gridSpan w:val="2"/>
                  <w:tcBorders>
                    <w:tl2br w:val="nil"/>
                    <w:tr2bl w:val="nil"/>
                  </w:tcBorders>
                  <w:shd w:val="clear" w:color="auto" w:fill="FFFFFF"/>
                  <w:vAlign w:val="center"/>
                </w:tcPr>
                <w:p w14:paraId="079F37DD">
                  <w:pPr>
                    <w:spacing w:line="240" w:lineRule="auto"/>
                    <w:ind w:firstLine="0" w:firstLineChars="0"/>
                    <w:jc w:val="center"/>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drawing>
                      <wp:inline distT="0" distB="0" distL="114300" distR="114300">
                        <wp:extent cx="525780" cy="698500"/>
                        <wp:effectExtent l="0" t="0" r="7620" b="6350"/>
                        <wp:docPr id="17"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64"/>
                                <pic:cNvPicPr>
                                  <a:picLocks noChangeAspect="1"/>
                                </pic:cNvPicPr>
                              </pic:nvPicPr>
                              <pic:blipFill>
                                <a:blip r:embed="rId31"/>
                                <a:stretch>
                                  <a:fillRect/>
                                </a:stretch>
                              </pic:blipFill>
                              <pic:spPr>
                                <a:xfrm>
                                  <a:off x="0" y="0"/>
                                  <a:ext cx="525780" cy="698500"/>
                                </a:xfrm>
                                <a:prstGeom prst="rect">
                                  <a:avLst/>
                                </a:prstGeom>
                                <a:noFill/>
                                <a:ln>
                                  <a:noFill/>
                                </a:ln>
                              </pic:spPr>
                            </pic:pic>
                          </a:graphicData>
                        </a:graphic>
                      </wp:inline>
                    </w:drawing>
                  </w:r>
                </w:p>
              </w:tc>
              <w:tc>
                <w:tcPr>
                  <w:tcW w:w="985" w:type="pct"/>
                  <w:tcBorders>
                    <w:tl2br w:val="nil"/>
                    <w:tr2bl w:val="nil"/>
                  </w:tcBorders>
                  <w:shd w:val="clear" w:color="auto" w:fill="FFFFFF"/>
                  <w:vAlign w:val="center"/>
                </w:tcPr>
                <w:p w14:paraId="022EDA07">
                  <w:pPr>
                    <w:spacing w:line="240" w:lineRule="auto"/>
                    <w:ind w:firstLine="0" w:firstLineChars="0"/>
                    <w:jc w:val="center"/>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drawing>
                      <wp:inline distT="0" distB="0" distL="114300" distR="114300">
                        <wp:extent cx="614045" cy="746125"/>
                        <wp:effectExtent l="0" t="0" r="14605" b="15875"/>
                        <wp:docPr id="18"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65"/>
                                <pic:cNvPicPr>
                                  <a:picLocks noChangeAspect="1"/>
                                </pic:cNvPicPr>
                              </pic:nvPicPr>
                              <pic:blipFill>
                                <a:blip r:embed="rId32"/>
                                <a:stretch>
                                  <a:fillRect/>
                                </a:stretch>
                              </pic:blipFill>
                              <pic:spPr>
                                <a:xfrm>
                                  <a:off x="0" y="0"/>
                                  <a:ext cx="614045" cy="746125"/>
                                </a:xfrm>
                                <a:prstGeom prst="rect">
                                  <a:avLst/>
                                </a:prstGeom>
                                <a:noFill/>
                                <a:ln>
                                  <a:noFill/>
                                </a:ln>
                              </pic:spPr>
                            </pic:pic>
                          </a:graphicData>
                        </a:graphic>
                      </wp:inline>
                    </w:drawing>
                  </w:r>
                </w:p>
              </w:tc>
              <w:tc>
                <w:tcPr>
                  <w:tcW w:w="872" w:type="pct"/>
                  <w:tcBorders>
                    <w:tl2br w:val="nil"/>
                    <w:tr2bl w:val="nil"/>
                  </w:tcBorders>
                  <w:shd w:val="clear" w:color="auto" w:fill="FFFFFF"/>
                  <w:vAlign w:val="center"/>
                </w:tcPr>
                <w:p w14:paraId="5A6EEF9F">
                  <w:pPr>
                    <w:spacing w:line="240" w:lineRule="auto"/>
                    <w:ind w:firstLine="0" w:firstLineChars="0"/>
                    <w:jc w:val="center"/>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噪声源</w:t>
                  </w:r>
                </w:p>
              </w:tc>
              <w:tc>
                <w:tcPr>
                  <w:tcW w:w="1779" w:type="pct"/>
                  <w:tcBorders>
                    <w:right w:val="nil"/>
                    <w:tl2br w:val="nil"/>
                    <w:tr2bl w:val="nil"/>
                  </w:tcBorders>
                  <w:shd w:val="clear" w:color="auto" w:fill="FFFFFF"/>
                  <w:vAlign w:val="center"/>
                </w:tcPr>
                <w:p w14:paraId="6CEB7FA0">
                  <w:pPr>
                    <w:spacing w:line="240" w:lineRule="auto"/>
                    <w:ind w:firstLine="0" w:firstLineChars="0"/>
                    <w:jc w:val="center"/>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表示噪声向外环境排放</w:t>
                  </w:r>
                </w:p>
              </w:tc>
            </w:tr>
            <w:tr w14:paraId="41E6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420" w:type="pct"/>
                  <w:tcBorders>
                    <w:left w:val="nil"/>
                    <w:tl2br w:val="nil"/>
                    <w:tr2bl w:val="nil"/>
                  </w:tcBorders>
                  <w:shd w:val="clear" w:color="auto" w:fill="FFFFFF"/>
                  <w:vAlign w:val="center"/>
                </w:tcPr>
                <w:p w14:paraId="17734F82">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3</w:t>
                  </w:r>
                </w:p>
              </w:tc>
              <w:tc>
                <w:tcPr>
                  <w:tcW w:w="1927" w:type="pct"/>
                  <w:gridSpan w:val="3"/>
                  <w:tcBorders>
                    <w:tl2br w:val="nil"/>
                    <w:tr2bl w:val="nil"/>
                  </w:tcBorders>
                  <w:shd w:val="clear" w:color="auto" w:fill="FFFFFF"/>
                  <w:vAlign w:val="center"/>
                </w:tcPr>
                <w:p w14:paraId="3DBDF868">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drawing>
                      <wp:inline distT="0" distB="0" distL="114300" distR="114300">
                        <wp:extent cx="760730" cy="620395"/>
                        <wp:effectExtent l="0" t="0" r="1270" b="8255"/>
                        <wp:docPr id="12" name="图片 12" descr="6cbda0c483cf00f72df0df100fc3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6cbda0c483cf00f72df0df100fc3067"/>
                                <pic:cNvPicPr>
                                  <a:picLocks noChangeAspect="1"/>
                                </pic:cNvPicPr>
                              </pic:nvPicPr>
                              <pic:blipFill>
                                <a:blip r:embed="rId33"/>
                                <a:stretch>
                                  <a:fillRect/>
                                </a:stretch>
                              </pic:blipFill>
                              <pic:spPr>
                                <a:xfrm>
                                  <a:off x="0" y="0"/>
                                  <a:ext cx="760730" cy="620395"/>
                                </a:xfrm>
                                <a:prstGeom prst="rect">
                                  <a:avLst/>
                                </a:prstGeom>
                              </pic:spPr>
                            </pic:pic>
                          </a:graphicData>
                        </a:graphic>
                      </wp:inline>
                    </w:drawing>
                  </w:r>
                </w:p>
              </w:tc>
              <w:tc>
                <w:tcPr>
                  <w:tcW w:w="872" w:type="pct"/>
                  <w:tcBorders>
                    <w:tl2br w:val="nil"/>
                    <w:tr2bl w:val="nil"/>
                  </w:tcBorders>
                  <w:shd w:val="clear" w:color="auto" w:fill="FFFFFF"/>
                  <w:vAlign w:val="center"/>
                </w:tcPr>
                <w:p w14:paraId="3BEF80E1">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废水排放口</w:t>
                  </w:r>
                </w:p>
              </w:tc>
              <w:tc>
                <w:tcPr>
                  <w:tcW w:w="1779" w:type="pct"/>
                  <w:tcBorders>
                    <w:right w:val="nil"/>
                    <w:tl2br w:val="nil"/>
                    <w:tr2bl w:val="nil"/>
                  </w:tcBorders>
                  <w:shd w:val="clear" w:color="auto" w:fill="FFFFFF"/>
                  <w:vAlign w:val="center"/>
                </w:tcPr>
                <w:p w14:paraId="6E2FFC12">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表示废水排放口</w:t>
                  </w:r>
                </w:p>
              </w:tc>
            </w:tr>
            <w:tr w14:paraId="190E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420" w:type="pct"/>
                  <w:tcBorders>
                    <w:left w:val="nil"/>
                    <w:tl2br w:val="nil"/>
                    <w:tr2bl w:val="nil"/>
                  </w:tcBorders>
                  <w:shd w:val="clear" w:color="auto" w:fill="FFFFFF"/>
                  <w:vAlign w:val="center"/>
                </w:tcPr>
                <w:p w14:paraId="3707E788">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4</w:t>
                  </w:r>
                </w:p>
              </w:tc>
              <w:tc>
                <w:tcPr>
                  <w:tcW w:w="1927" w:type="pct"/>
                  <w:gridSpan w:val="3"/>
                  <w:tcBorders>
                    <w:tl2br w:val="nil"/>
                    <w:tr2bl w:val="nil"/>
                  </w:tcBorders>
                  <w:shd w:val="clear" w:color="auto" w:fill="FFFFFF"/>
                  <w:vAlign w:val="center"/>
                </w:tcPr>
                <w:p w14:paraId="454A292B">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drawing>
                      <wp:inline distT="0" distB="0" distL="114300" distR="114300">
                        <wp:extent cx="676910" cy="792480"/>
                        <wp:effectExtent l="0" t="0" r="8890" b="7620"/>
                        <wp:docPr id="13" name="图片 13" descr="eaf6b98236c9231b535557659add9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af6b98236c9231b535557659add96a"/>
                                <pic:cNvPicPr>
                                  <a:picLocks noChangeAspect="1"/>
                                </pic:cNvPicPr>
                              </pic:nvPicPr>
                              <pic:blipFill>
                                <a:blip r:embed="rId34"/>
                                <a:stretch>
                                  <a:fillRect/>
                                </a:stretch>
                              </pic:blipFill>
                              <pic:spPr>
                                <a:xfrm>
                                  <a:off x="0" y="0"/>
                                  <a:ext cx="676910" cy="792480"/>
                                </a:xfrm>
                                <a:prstGeom prst="rect">
                                  <a:avLst/>
                                </a:prstGeom>
                              </pic:spPr>
                            </pic:pic>
                          </a:graphicData>
                        </a:graphic>
                      </wp:inline>
                    </w:drawing>
                  </w:r>
                </w:p>
              </w:tc>
              <w:tc>
                <w:tcPr>
                  <w:tcW w:w="872" w:type="pct"/>
                  <w:tcBorders>
                    <w:tl2br w:val="nil"/>
                    <w:tr2bl w:val="nil"/>
                  </w:tcBorders>
                  <w:shd w:val="clear" w:color="auto" w:fill="FFFFFF"/>
                  <w:vAlign w:val="center"/>
                </w:tcPr>
                <w:p w14:paraId="491A2B84">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一般固体废物</w:t>
                  </w:r>
                </w:p>
              </w:tc>
              <w:tc>
                <w:tcPr>
                  <w:tcW w:w="1779" w:type="pct"/>
                  <w:tcBorders>
                    <w:right w:val="nil"/>
                    <w:tl2br w:val="nil"/>
                    <w:tr2bl w:val="nil"/>
                  </w:tcBorders>
                  <w:shd w:val="clear" w:color="auto" w:fill="FFFFFF"/>
                  <w:vAlign w:val="center"/>
                </w:tcPr>
                <w:p w14:paraId="0C043914">
                  <w:pPr>
                    <w:spacing w:line="240" w:lineRule="auto"/>
                    <w:ind w:firstLine="0" w:firstLineChars="0"/>
                    <w:jc w:val="center"/>
                    <w:rPr>
                      <w:b w:val="0"/>
                      <w:color w:val="000000" w:themeColor="text1"/>
                      <w:sz w:val="21"/>
                      <w:szCs w:val="21"/>
                      <w14:textFill>
                        <w14:solidFill>
                          <w14:schemeClr w14:val="tx1"/>
                        </w14:solidFill>
                      </w14:textFill>
                    </w:rPr>
                  </w:pPr>
                  <w:r>
                    <w:rPr>
                      <w:b w:val="0"/>
                      <w:color w:val="000000" w:themeColor="text1"/>
                      <w:sz w:val="21"/>
                      <w:szCs w:val="21"/>
                      <w14:textFill>
                        <w14:solidFill>
                          <w14:schemeClr w14:val="tx1"/>
                        </w14:solidFill>
                      </w14:textFill>
                    </w:rPr>
                    <w:t>表示</w:t>
                  </w:r>
                  <w:r>
                    <w:rPr>
                      <w:rFonts w:hint="eastAsia"/>
                      <w:b w:val="0"/>
                      <w:color w:val="000000" w:themeColor="text1"/>
                      <w:sz w:val="21"/>
                      <w:szCs w:val="21"/>
                      <w14:textFill>
                        <w14:solidFill>
                          <w14:schemeClr w14:val="tx1"/>
                        </w14:solidFill>
                      </w14:textFill>
                    </w:rPr>
                    <w:t>一般固体</w:t>
                  </w:r>
                  <w:r>
                    <w:rPr>
                      <w:b w:val="0"/>
                      <w:color w:val="000000" w:themeColor="text1"/>
                      <w:sz w:val="21"/>
                      <w:szCs w:val="21"/>
                      <w14:textFill>
                        <w14:solidFill>
                          <w14:schemeClr w14:val="tx1"/>
                        </w14:solidFill>
                      </w14:textFill>
                    </w:rPr>
                    <w:t>废物贮存、处置场</w:t>
                  </w:r>
                </w:p>
              </w:tc>
            </w:tr>
            <w:tr w14:paraId="5B79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420" w:type="pct"/>
                  <w:tcBorders>
                    <w:left w:val="nil"/>
                    <w:bottom w:val="single" w:color="000000" w:sz="12" w:space="0"/>
                    <w:tl2br w:val="nil"/>
                    <w:tr2bl w:val="nil"/>
                  </w:tcBorders>
                  <w:shd w:val="clear" w:color="auto" w:fill="FFFFFF"/>
                  <w:vAlign w:val="center"/>
                </w:tcPr>
                <w:p w14:paraId="5921B085">
                  <w:pPr>
                    <w:spacing w:line="240" w:lineRule="auto"/>
                    <w:ind w:firstLine="0" w:firstLineChars="0"/>
                    <w:jc w:val="center"/>
                    <w:rPr>
                      <w:b w:val="0"/>
                      <w:color w:val="000000" w:themeColor="text1"/>
                      <w:sz w:val="21"/>
                      <w:szCs w:val="21"/>
                      <w14:textFill>
                        <w14:solidFill>
                          <w14:schemeClr w14:val="tx1"/>
                        </w14:solidFill>
                      </w14:textFill>
                    </w:rPr>
                  </w:pPr>
                  <w:r>
                    <w:rPr>
                      <w:rFonts w:hint="eastAsia"/>
                      <w:b w:val="0"/>
                      <w:color w:val="000000" w:themeColor="text1"/>
                      <w:sz w:val="21"/>
                      <w:szCs w:val="21"/>
                      <w14:textFill>
                        <w14:solidFill>
                          <w14:schemeClr w14:val="tx1"/>
                        </w14:solidFill>
                      </w14:textFill>
                    </w:rPr>
                    <w:t>5</w:t>
                  </w:r>
                </w:p>
              </w:tc>
              <w:tc>
                <w:tcPr>
                  <w:tcW w:w="886" w:type="pct"/>
                  <w:tcBorders>
                    <w:bottom w:val="single" w:color="000000" w:sz="12" w:space="0"/>
                    <w:tl2br w:val="nil"/>
                    <w:tr2bl w:val="nil"/>
                  </w:tcBorders>
                  <w:shd w:val="clear" w:color="auto" w:fill="FFFFFF"/>
                  <w:vAlign w:val="center"/>
                </w:tcPr>
                <w:p w14:paraId="7C7DD2AD">
                  <w:pPr>
                    <w:spacing w:line="240" w:lineRule="auto"/>
                    <w:ind w:firstLine="0" w:firstLineChars="0"/>
                    <w:rPr>
                      <w:b w:val="0"/>
                      <w:color w:val="000000" w:themeColor="text1"/>
                      <w:sz w:val="21"/>
                      <w:szCs w:val="21"/>
                      <w14:textFill>
                        <w14:solidFill>
                          <w14:schemeClr w14:val="tx1"/>
                        </w14:solidFill>
                      </w14:textFill>
                    </w:rPr>
                  </w:pPr>
                  <w:r>
                    <w:rPr>
                      <w:b w:val="0"/>
                      <w:snapToGrid w:val="0"/>
                      <w:color w:val="000000" w:themeColor="text1"/>
                      <w14:textFill>
                        <w14:solidFill>
                          <w14:schemeClr w14:val="tx1"/>
                        </w14:solidFill>
                      </w14:textFill>
                    </w:rPr>
                    <w:drawing>
                      <wp:inline distT="0" distB="0" distL="114300" distR="114300">
                        <wp:extent cx="690880" cy="689610"/>
                        <wp:effectExtent l="0" t="0" r="13970" b="15240"/>
                        <wp:docPr id="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7"/>
                                <pic:cNvPicPr>
                                  <a:picLocks noChangeAspect="1"/>
                                </pic:cNvPicPr>
                              </pic:nvPicPr>
                              <pic:blipFill>
                                <a:blip r:embed="rId35"/>
                                <a:stretch>
                                  <a:fillRect/>
                                </a:stretch>
                              </pic:blipFill>
                              <pic:spPr>
                                <a:xfrm>
                                  <a:off x="0" y="0"/>
                                  <a:ext cx="690880" cy="689610"/>
                                </a:xfrm>
                                <a:prstGeom prst="rect">
                                  <a:avLst/>
                                </a:prstGeom>
                                <a:noFill/>
                                <a:ln>
                                  <a:noFill/>
                                </a:ln>
                              </pic:spPr>
                            </pic:pic>
                          </a:graphicData>
                        </a:graphic>
                      </wp:inline>
                    </w:drawing>
                  </w:r>
                  <w:r>
                    <w:rPr>
                      <w:rFonts w:hint="eastAsia"/>
                      <w:b w:val="0"/>
                      <w:snapToGrid w:val="0"/>
                      <w:color w:val="000000" w:themeColor="text1"/>
                      <w14:textFill>
                        <w14:solidFill>
                          <w14:schemeClr w14:val="tx1"/>
                        </w14:solidFill>
                      </w14:textFill>
                    </w:rPr>
                    <w:t xml:space="preserve"> </w:t>
                  </w:r>
                </w:p>
              </w:tc>
              <w:tc>
                <w:tcPr>
                  <w:tcW w:w="1041" w:type="pct"/>
                  <w:gridSpan w:val="2"/>
                  <w:tcBorders>
                    <w:bottom w:val="single" w:color="000000" w:sz="12" w:space="0"/>
                    <w:tl2br w:val="nil"/>
                    <w:tr2bl w:val="nil"/>
                  </w:tcBorders>
                  <w:shd w:val="clear" w:color="auto" w:fill="FFFFFF"/>
                  <w:vAlign w:val="center"/>
                </w:tcPr>
                <w:p w14:paraId="02083A6D">
                  <w:pPr>
                    <w:spacing w:line="240" w:lineRule="auto"/>
                    <w:ind w:firstLine="0" w:firstLineChars="0"/>
                    <w:rPr>
                      <w:b w:val="0"/>
                      <w:snapToGrid w:val="0"/>
                      <w:color w:val="000000" w:themeColor="text1"/>
                      <w14:textFill>
                        <w14:solidFill>
                          <w14:schemeClr w14:val="tx1"/>
                        </w14:solidFill>
                      </w14:textFill>
                    </w:rPr>
                  </w:pPr>
                  <w:r>
                    <w:rPr>
                      <w:b w:val="0"/>
                      <w:snapToGrid w:val="0"/>
                      <w:color w:val="000000" w:themeColor="text1"/>
                      <w14:textFill>
                        <w14:solidFill>
                          <w14:schemeClr w14:val="tx1"/>
                        </w14:solidFill>
                      </w14:textFill>
                    </w:rPr>
                    <w:drawing>
                      <wp:inline distT="0" distB="0" distL="114300" distR="114300">
                        <wp:extent cx="798830" cy="713105"/>
                        <wp:effectExtent l="0" t="0" r="1270" b="10795"/>
                        <wp:docPr id="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
                                <pic:cNvPicPr>
                                  <a:picLocks noChangeAspect="1"/>
                                </pic:cNvPicPr>
                              </pic:nvPicPr>
                              <pic:blipFill>
                                <a:blip r:embed="rId36"/>
                                <a:stretch>
                                  <a:fillRect/>
                                </a:stretch>
                              </pic:blipFill>
                              <pic:spPr>
                                <a:xfrm>
                                  <a:off x="0" y="0"/>
                                  <a:ext cx="798830" cy="713105"/>
                                </a:xfrm>
                                <a:prstGeom prst="rect">
                                  <a:avLst/>
                                </a:prstGeom>
                                <a:noFill/>
                                <a:ln>
                                  <a:noFill/>
                                </a:ln>
                              </pic:spPr>
                            </pic:pic>
                          </a:graphicData>
                        </a:graphic>
                      </wp:inline>
                    </w:drawing>
                  </w:r>
                </w:p>
              </w:tc>
              <w:tc>
                <w:tcPr>
                  <w:tcW w:w="872" w:type="pct"/>
                  <w:tcBorders>
                    <w:bottom w:val="single" w:color="000000" w:sz="12" w:space="0"/>
                    <w:tl2br w:val="nil"/>
                    <w:tr2bl w:val="nil"/>
                  </w:tcBorders>
                  <w:shd w:val="clear" w:color="auto" w:fill="FFFFFF"/>
                  <w:vAlign w:val="center"/>
                </w:tcPr>
                <w:p w14:paraId="10B61994">
                  <w:pPr>
                    <w:pStyle w:val="234"/>
                    <w:rPr>
                      <w:b w:val="0"/>
                      <w:color w:val="000000" w:themeColor="text1"/>
                      <w14:textFill>
                        <w14:solidFill>
                          <w14:schemeClr w14:val="tx1"/>
                        </w14:solidFill>
                      </w14:textFill>
                    </w:rPr>
                  </w:pPr>
                  <w:r>
                    <w:rPr>
                      <w:b w:val="0"/>
                      <w:snapToGrid w:val="0"/>
                      <w:color w:val="000000" w:themeColor="text1"/>
                      <w14:textFill>
                        <w14:solidFill>
                          <w14:schemeClr w14:val="tx1"/>
                        </w14:solidFill>
                      </w14:textFill>
                    </w:rPr>
                    <w:t>废气排放口</w:t>
                  </w:r>
                </w:p>
              </w:tc>
              <w:tc>
                <w:tcPr>
                  <w:tcW w:w="1779" w:type="pct"/>
                  <w:tcBorders>
                    <w:bottom w:val="single" w:color="000000" w:sz="12" w:space="0"/>
                    <w:right w:val="nil"/>
                    <w:tl2br w:val="nil"/>
                    <w:tr2bl w:val="nil"/>
                  </w:tcBorders>
                  <w:shd w:val="clear" w:color="auto" w:fill="FFFFFF"/>
                  <w:vAlign w:val="center"/>
                </w:tcPr>
                <w:p w14:paraId="34FFFC2A">
                  <w:pPr>
                    <w:pStyle w:val="234"/>
                    <w:rPr>
                      <w:b w:val="0"/>
                      <w:color w:val="000000" w:themeColor="text1"/>
                      <w14:textFill>
                        <w14:solidFill>
                          <w14:schemeClr w14:val="tx1"/>
                        </w14:solidFill>
                      </w14:textFill>
                    </w:rPr>
                  </w:pPr>
                  <w:r>
                    <w:rPr>
                      <w:b w:val="0"/>
                      <w:snapToGrid w:val="0"/>
                      <w:color w:val="000000" w:themeColor="text1"/>
                      <w14:textFill>
                        <w14:solidFill>
                          <w14:schemeClr w14:val="tx1"/>
                        </w14:solidFill>
                      </w14:textFill>
                    </w:rPr>
                    <w:t>表示废气向大气环境排放</w:t>
                  </w:r>
                </w:p>
              </w:tc>
            </w:tr>
            <w:bookmarkEnd w:id="6"/>
          </w:tbl>
          <w:p w14:paraId="0D69A68B">
            <w:pPr>
              <w:widowControl/>
              <w:tabs>
                <w:tab w:val="left" w:pos="567"/>
              </w:tabs>
              <w:ind w:left="0" w:leftChars="0" w:firstLine="0" w:firstLineChars="0"/>
              <w:textAlignment w:val="bottom"/>
              <w:rPr>
                <w:rFonts w:hint="eastAsia" w:ascii="Times New Roman" w:hAnsi="Times New Roman" w:eastAsia="宋体" w:cs="Times New Roman"/>
                <w:b/>
                <w:bCs/>
                <w:color w:val="000000" w:themeColor="text1"/>
                <w:lang w:eastAsia="zh-CN"/>
                <w14:textFill>
                  <w14:solidFill>
                    <w14:schemeClr w14:val="tx1"/>
                  </w14:solidFill>
                </w14:textFill>
              </w:rPr>
            </w:pPr>
            <w:r>
              <w:rPr>
                <w:rFonts w:hint="eastAsia" w:ascii="Times New Roman" w:hAnsi="Times New Roman" w:eastAsia="宋体" w:cs="Times New Roman"/>
                <w:b/>
                <w:bCs/>
                <w:color w:val="000000" w:themeColor="text1"/>
                <w:lang w:eastAsia="zh-CN"/>
                <w14:textFill>
                  <w14:solidFill>
                    <w14:schemeClr w14:val="tx1"/>
                  </w14:solidFill>
                </w14:textFill>
              </w:rPr>
              <w:t>（</w:t>
            </w:r>
            <w:r>
              <w:rPr>
                <w:rFonts w:hint="eastAsia" w:ascii="Times New Roman" w:hAnsi="Times New Roman" w:eastAsia="宋体" w:cs="Times New Roman"/>
                <w:b/>
                <w:bCs/>
                <w:color w:val="000000" w:themeColor="text1"/>
                <w:lang w:val="en-US" w:eastAsia="zh-CN"/>
                <w14:textFill>
                  <w14:solidFill>
                    <w14:schemeClr w14:val="tx1"/>
                  </w14:solidFill>
                </w14:textFill>
              </w:rPr>
              <w:t>十一</w:t>
            </w:r>
            <w:r>
              <w:rPr>
                <w:rFonts w:hint="eastAsia" w:ascii="Times New Roman" w:hAnsi="Times New Roman" w:eastAsia="宋体" w:cs="Times New Roman"/>
                <w:b/>
                <w:bCs/>
                <w:color w:val="000000" w:themeColor="text1"/>
                <w:lang w:eastAsia="zh-CN"/>
                <w14:textFill>
                  <w14:solidFill>
                    <w14:schemeClr w14:val="tx1"/>
                  </w14:solidFill>
                </w14:textFill>
              </w:rPr>
              <w:t>）项目“三本账”</w:t>
            </w:r>
          </w:p>
          <w:p w14:paraId="3D9DC826">
            <w:pPr>
              <w:pStyle w:val="5"/>
              <w:keepNext w:val="0"/>
              <w:keepLines w:val="0"/>
              <w:pageBreakBefore w:val="0"/>
              <w:widowControl w:val="0"/>
              <w:shd w:val="clear"/>
              <w:kinsoku/>
              <w:wordWrap/>
              <w:overflowPunct/>
              <w:topLinePunct w:val="0"/>
              <w:autoSpaceDE/>
              <w:autoSpaceDN/>
              <w:bidi w:val="0"/>
              <w:adjustRightInd/>
              <w:snapToGrid/>
              <w:spacing w:line="360" w:lineRule="auto"/>
              <w:ind w:firstLine="480"/>
              <w:jc w:val="both"/>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本项目扩</w:t>
            </w:r>
            <w:r>
              <w:rPr>
                <w:rFonts w:hint="eastAsia"/>
                <w:color w:val="000000" w:themeColor="text1"/>
                <w:szCs w:val="22"/>
                <w:highlight w:val="none"/>
                <w14:textFill>
                  <w14:solidFill>
                    <w14:schemeClr w14:val="tx1"/>
                  </w14:solidFill>
                </w14:textFill>
              </w:rPr>
              <w:t>建前后项目污染物产排情况对比见下</w:t>
            </w:r>
            <w:r>
              <w:rPr>
                <w:rFonts w:hint="eastAsia"/>
                <w:color w:val="000000" w:themeColor="text1"/>
                <w:highlight w:val="none"/>
                <w14:textFill>
                  <w14:solidFill>
                    <w14:schemeClr w14:val="tx1"/>
                  </w14:solidFill>
                </w14:textFill>
              </w:rPr>
              <w:t>表。</w:t>
            </w:r>
          </w:p>
          <w:p w14:paraId="6B68EB38">
            <w:pPr>
              <w:keepNext w:val="0"/>
              <w:keepLines w:val="0"/>
              <w:pageBreakBefore w:val="0"/>
              <w:widowControl w:val="0"/>
              <w:kinsoku/>
              <w:wordWrap/>
              <w:overflowPunct/>
              <w:topLinePunct w:val="0"/>
              <w:autoSpaceDE/>
              <w:autoSpaceDN/>
              <w:bidi w:val="0"/>
              <w:adjustRightInd/>
              <w:snapToGrid/>
              <w:spacing w:line="360" w:lineRule="auto"/>
              <w:ind w:firstLine="422"/>
              <w:jc w:val="center"/>
              <w:textAlignment w:val="auto"/>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表</w:t>
            </w:r>
            <w:r>
              <w:rPr>
                <w:rFonts w:hint="eastAsia" w:ascii="Times New Roman" w:hAnsi="Times New Roman" w:eastAsia="宋体" w:cs="Times New Roman"/>
                <w:b/>
                <w:bCs/>
                <w:color w:val="000000" w:themeColor="text1"/>
                <w:kern w:val="0"/>
                <w:sz w:val="21"/>
                <w:szCs w:val="21"/>
                <w:lang w:val="en-US" w:eastAsia="zh-CN"/>
                <w14:textFill>
                  <w14:solidFill>
                    <w14:schemeClr w14:val="tx1"/>
                  </w14:solidFill>
                </w14:textFill>
              </w:rPr>
              <w:t>4-22</w:t>
            </w:r>
            <w:r>
              <w:rPr>
                <w:rFonts w:hint="default" w:ascii="Times New Roman" w:hAnsi="Times New Roman" w:eastAsia="宋体" w:cs="Times New Roman"/>
                <w:b/>
                <w:bCs/>
                <w:color w:val="000000" w:themeColor="text1"/>
                <w:kern w:val="0"/>
                <w:sz w:val="21"/>
                <w:szCs w:val="21"/>
                <w14:textFill>
                  <w14:solidFill>
                    <w14:schemeClr w14:val="tx1"/>
                  </w14:solidFill>
                </w14:textFill>
              </w:rPr>
              <w:t xml:space="preserve">   项目“三本账”一览表</w:t>
            </w:r>
          </w:p>
          <w:tbl>
            <w:tblPr>
              <w:tblStyle w:val="4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17"/>
              <w:gridCol w:w="1582"/>
              <w:gridCol w:w="1422"/>
              <w:gridCol w:w="1582"/>
              <w:gridCol w:w="1385"/>
              <w:gridCol w:w="1670"/>
            </w:tblGrid>
            <w:tr w14:paraId="37A233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1002" w:type="pct"/>
                  <w:tcBorders>
                    <w:tl2br w:val="nil"/>
                    <w:tr2bl w:val="nil"/>
                  </w:tcBorders>
                  <w:vAlign w:val="center"/>
                </w:tcPr>
                <w:p w14:paraId="45F50E39">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cs="Times New Roman"/>
                      <w:b/>
                      <w:bCs/>
                      <w:color w:val="000000" w:themeColor="text1"/>
                      <w:spacing w:val="20"/>
                      <w:sz w:val="21"/>
                      <w:szCs w:val="21"/>
                      <w:highlight w:val="none"/>
                      <w14:textFill>
                        <w14:solidFill>
                          <w14:schemeClr w14:val="tx1"/>
                        </w14:solidFill>
                      </w14:textFill>
                    </w:rPr>
                  </w:pPr>
                  <w:r>
                    <w:rPr>
                      <w:rFonts w:hint="default" w:ascii="Times New Roman" w:hAnsi="Times New Roman" w:cs="Times New Roman"/>
                      <w:b/>
                      <w:bCs/>
                      <w:color w:val="000000" w:themeColor="text1"/>
                      <w:spacing w:val="20"/>
                      <w:sz w:val="21"/>
                      <w:szCs w:val="21"/>
                      <w:highlight w:val="none"/>
                      <w14:textFill>
                        <w14:solidFill>
                          <w14:schemeClr w14:val="tx1"/>
                        </w14:solidFill>
                      </w14:textFill>
                    </w:rPr>
                    <w:t>“三废”污染物类别与名称</w:t>
                  </w:r>
                </w:p>
              </w:tc>
              <w:tc>
                <w:tcPr>
                  <w:tcW w:w="827" w:type="pct"/>
                  <w:tcBorders>
                    <w:tl2br w:val="nil"/>
                    <w:tr2bl w:val="nil"/>
                  </w:tcBorders>
                  <w:vAlign w:val="center"/>
                </w:tcPr>
                <w:p w14:paraId="32146FB9">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现有工程污染物排放量</w:t>
                  </w:r>
                  <w:r>
                    <w:rPr>
                      <w:rFonts w:hint="eastAsia" w:ascii="Times New Roman" w:hAnsi="Times New Roman" w:cs="Times New Roman"/>
                      <w:b/>
                      <w:bCs/>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t/a</w:t>
                  </w:r>
                  <w:r>
                    <w:rPr>
                      <w:rFonts w:hint="eastAsia" w:ascii="Times New Roman" w:hAnsi="Times New Roman" w:cs="Times New Roman"/>
                      <w:b/>
                      <w:bCs/>
                      <w:color w:val="000000" w:themeColor="text1"/>
                      <w:sz w:val="21"/>
                      <w:szCs w:val="21"/>
                      <w:highlight w:val="none"/>
                      <w:lang w:eastAsia="zh-CN"/>
                      <w14:textFill>
                        <w14:solidFill>
                          <w14:schemeClr w14:val="tx1"/>
                        </w14:solidFill>
                      </w14:textFill>
                    </w:rPr>
                    <w:t>）</w:t>
                  </w:r>
                </w:p>
              </w:tc>
              <w:tc>
                <w:tcPr>
                  <w:tcW w:w="743" w:type="pct"/>
                  <w:tcBorders>
                    <w:tl2br w:val="nil"/>
                    <w:tr2bl w:val="nil"/>
                  </w:tcBorders>
                  <w:vAlign w:val="center"/>
                </w:tcPr>
                <w:p w14:paraId="3D8190E7">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本</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项目</w:t>
                  </w:r>
                  <w:r>
                    <w:rPr>
                      <w:rFonts w:hint="default" w:ascii="Times New Roman" w:hAnsi="Times New Roman" w:cs="Times New Roman"/>
                      <w:b/>
                      <w:bCs/>
                      <w:color w:val="000000" w:themeColor="text1"/>
                      <w:sz w:val="21"/>
                      <w:szCs w:val="21"/>
                      <w:highlight w:val="none"/>
                      <w14:textFill>
                        <w14:solidFill>
                          <w14:schemeClr w14:val="tx1"/>
                        </w14:solidFill>
                      </w14:textFill>
                    </w:rPr>
                    <w:t>污染物排放量</w:t>
                  </w:r>
                </w:p>
              </w:tc>
              <w:tc>
                <w:tcPr>
                  <w:tcW w:w="827" w:type="pct"/>
                  <w:tcBorders>
                    <w:tl2br w:val="nil"/>
                    <w:tr2bl w:val="nil"/>
                  </w:tcBorders>
                  <w:vAlign w:val="center"/>
                </w:tcPr>
                <w:p w14:paraId="52D1F869">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以新带老消减量</w:t>
                  </w:r>
                </w:p>
              </w:tc>
              <w:tc>
                <w:tcPr>
                  <w:tcW w:w="724" w:type="pct"/>
                  <w:tcBorders>
                    <w:tl2br w:val="nil"/>
                    <w:tr2bl w:val="nil"/>
                  </w:tcBorders>
                  <w:vAlign w:val="center"/>
                </w:tcPr>
                <w:p w14:paraId="476549A9">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扩建</w:t>
                  </w:r>
                  <w:r>
                    <w:rPr>
                      <w:rFonts w:hint="default" w:ascii="Times New Roman" w:hAnsi="Times New Roman" w:cs="Times New Roman"/>
                      <w:b/>
                      <w:bCs/>
                      <w:color w:val="000000" w:themeColor="text1"/>
                      <w:sz w:val="21"/>
                      <w:szCs w:val="21"/>
                      <w:highlight w:val="none"/>
                      <w14:textFill>
                        <w14:solidFill>
                          <w14:schemeClr w14:val="tx1"/>
                        </w14:solidFill>
                      </w14:textFill>
                    </w:rPr>
                    <w:t>后污染物排放量</w:t>
                  </w:r>
                </w:p>
              </w:tc>
              <w:tc>
                <w:tcPr>
                  <w:tcW w:w="873" w:type="pct"/>
                  <w:tcBorders>
                    <w:tl2br w:val="nil"/>
                    <w:tr2bl w:val="nil"/>
                  </w:tcBorders>
                  <w:vAlign w:val="center"/>
                </w:tcPr>
                <w:p w14:paraId="667B8427">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污染物排放增减量</w:t>
                  </w:r>
                </w:p>
              </w:tc>
            </w:tr>
            <w:tr w14:paraId="3D129E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02" w:type="pct"/>
                  <w:tcBorders>
                    <w:tl2br w:val="nil"/>
                    <w:tr2bl w:val="nil"/>
                  </w:tcBorders>
                  <w:vAlign w:val="center"/>
                </w:tcPr>
                <w:p w14:paraId="040EFABF">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颗粒物</w:t>
                  </w:r>
                </w:p>
              </w:tc>
              <w:tc>
                <w:tcPr>
                  <w:tcW w:w="827" w:type="pct"/>
                  <w:tcBorders>
                    <w:tl2br w:val="nil"/>
                    <w:tr2bl w:val="nil"/>
                  </w:tcBorders>
                  <w:vAlign w:val="center"/>
                </w:tcPr>
                <w:p w14:paraId="3D0C59A1">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0.185</w:t>
                  </w:r>
                </w:p>
              </w:tc>
              <w:tc>
                <w:tcPr>
                  <w:tcW w:w="743" w:type="pct"/>
                  <w:tcBorders>
                    <w:tl2br w:val="nil"/>
                    <w:tr2bl w:val="nil"/>
                  </w:tcBorders>
                  <w:vAlign w:val="center"/>
                </w:tcPr>
                <w:p w14:paraId="0F366AA6">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0.22</w:t>
                  </w:r>
                </w:p>
              </w:tc>
              <w:tc>
                <w:tcPr>
                  <w:tcW w:w="827" w:type="pct"/>
                  <w:tcBorders>
                    <w:tl2br w:val="nil"/>
                    <w:tr2bl w:val="nil"/>
                  </w:tcBorders>
                  <w:vAlign w:val="center"/>
                </w:tcPr>
                <w:p w14:paraId="32EEF20E">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227F804F">
                  <w:pPr>
                    <w:pStyle w:val="2"/>
                    <w:spacing w:before="0" w:beforeLines="0" w:after="0" w:afterLines="0" w:line="240" w:lineRule="auto"/>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0.405</w:t>
                  </w:r>
                </w:p>
              </w:tc>
              <w:tc>
                <w:tcPr>
                  <w:tcW w:w="873" w:type="pct"/>
                  <w:tcBorders>
                    <w:tl2br w:val="nil"/>
                    <w:tr2bl w:val="nil"/>
                  </w:tcBorders>
                  <w:vAlign w:val="center"/>
                </w:tcPr>
                <w:p w14:paraId="7EB22F58">
                  <w:pPr>
                    <w:pStyle w:val="2"/>
                    <w:spacing w:before="0" w:beforeLines="0" w:after="0" w:afterLines="0" w:line="240" w:lineRule="auto"/>
                    <w:ind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+0.22</w:t>
                  </w:r>
                </w:p>
              </w:tc>
            </w:tr>
            <w:tr w14:paraId="2B20C0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002" w:type="pct"/>
                  <w:tcBorders>
                    <w:tl2br w:val="nil"/>
                    <w:tr2bl w:val="nil"/>
                  </w:tcBorders>
                  <w:vAlign w:val="center"/>
                </w:tcPr>
                <w:p w14:paraId="4ABC040B">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COD</w:t>
                  </w:r>
                </w:p>
              </w:tc>
              <w:tc>
                <w:tcPr>
                  <w:tcW w:w="827" w:type="pct"/>
                  <w:tcBorders>
                    <w:tl2br w:val="nil"/>
                    <w:tr2bl w:val="nil"/>
                  </w:tcBorders>
                  <w:vAlign w:val="center"/>
                </w:tcPr>
                <w:p w14:paraId="03026EE0">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0.034</w:t>
                  </w:r>
                </w:p>
              </w:tc>
              <w:tc>
                <w:tcPr>
                  <w:tcW w:w="743" w:type="pct"/>
                  <w:tcBorders>
                    <w:tl2br w:val="nil"/>
                    <w:tr2bl w:val="nil"/>
                  </w:tcBorders>
                  <w:vAlign w:val="center"/>
                </w:tcPr>
                <w:p w14:paraId="4510A14C">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0.0147</w:t>
                  </w:r>
                </w:p>
              </w:tc>
              <w:tc>
                <w:tcPr>
                  <w:tcW w:w="827" w:type="pct"/>
                  <w:tcBorders>
                    <w:tl2br w:val="nil"/>
                    <w:tr2bl w:val="nil"/>
                  </w:tcBorders>
                  <w:vAlign w:val="center"/>
                </w:tcPr>
                <w:p w14:paraId="4C8F6541">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6305F460">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0.0487</w:t>
                  </w:r>
                </w:p>
              </w:tc>
              <w:tc>
                <w:tcPr>
                  <w:tcW w:w="873" w:type="pct"/>
                  <w:tcBorders>
                    <w:tl2br w:val="nil"/>
                    <w:tr2bl w:val="nil"/>
                  </w:tcBorders>
                  <w:vAlign w:val="center"/>
                </w:tcPr>
                <w:p w14:paraId="13DA8EF1">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+0.0147</w:t>
                  </w:r>
                </w:p>
              </w:tc>
            </w:tr>
            <w:tr w14:paraId="4A21ED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002" w:type="pct"/>
                  <w:tcBorders>
                    <w:tl2br w:val="nil"/>
                    <w:tr2bl w:val="nil"/>
                  </w:tcBorders>
                  <w:vAlign w:val="center"/>
                </w:tcPr>
                <w:p w14:paraId="098B80FB">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BOD</w:t>
                  </w:r>
                  <w:r>
                    <w:rPr>
                      <w:rFonts w:hint="eastAsia" w:ascii="Times New Roman" w:hAnsi="Times New Roman" w:cs="Times New Roman"/>
                      <w:b w:val="0"/>
                      <w:bCs w:val="0"/>
                      <w:color w:val="000000" w:themeColor="text1"/>
                      <w:sz w:val="21"/>
                      <w:szCs w:val="21"/>
                      <w:highlight w:val="none"/>
                      <w:vertAlign w:val="subscript"/>
                      <w:lang w:val="en-US" w:eastAsia="zh-CN"/>
                      <w14:textFill>
                        <w14:solidFill>
                          <w14:schemeClr w14:val="tx1"/>
                        </w14:solidFill>
                      </w14:textFill>
                    </w:rPr>
                    <w:t>5</w:t>
                  </w:r>
                </w:p>
              </w:tc>
              <w:tc>
                <w:tcPr>
                  <w:tcW w:w="827" w:type="pct"/>
                  <w:tcBorders>
                    <w:tl2br w:val="nil"/>
                    <w:tr2bl w:val="nil"/>
                  </w:tcBorders>
                  <w:vAlign w:val="center"/>
                </w:tcPr>
                <w:p w14:paraId="10C437F5">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0.024</w:t>
                  </w:r>
                </w:p>
              </w:tc>
              <w:tc>
                <w:tcPr>
                  <w:tcW w:w="743" w:type="pct"/>
                  <w:tcBorders>
                    <w:tl2br w:val="nil"/>
                    <w:tr2bl w:val="nil"/>
                  </w:tcBorders>
                  <w:vAlign w:val="center"/>
                </w:tcPr>
                <w:p w14:paraId="6316B34D">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0.0924</w:t>
                  </w:r>
                </w:p>
              </w:tc>
              <w:tc>
                <w:tcPr>
                  <w:tcW w:w="827" w:type="pct"/>
                  <w:tcBorders>
                    <w:tl2br w:val="nil"/>
                    <w:tr2bl w:val="nil"/>
                  </w:tcBorders>
                  <w:vAlign w:val="center"/>
                </w:tcPr>
                <w:p w14:paraId="7A5B2A98">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0E05D219">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0.03324</w:t>
                  </w:r>
                </w:p>
              </w:tc>
              <w:tc>
                <w:tcPr>
                  <w:tcW w:w="873" w:type="pct"/>
                  <w:tcBorders>
                    <w:tl2br w:val="nil"/>
                    <w:tr2bl w:val="nil"/>
                  </w:tcBorders>
                  <w:vAlign w:val="center"/>
                </w:tcPr>
                <w:p w14:paraId="061B420E">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+0.0924</w:t>
                  </w:r>
                </w:p>
              </w:tc>
            </w:tr>
            <w:tr w14:paraId="6E9AE5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02" w:type="pct"/>
                  <w:tcBorders>
                    <w:tl2br w:val="nil"/>
                    <w:tr2bl w:val="nil"/>
                  </w:tcBorders>
                  <w:vAlign w:val="center"/>
                </w:tcPr>
                <w:p w14:paraId="360BD2F6">
                  <w:pPr>
                    <w:keepNext w:val="0"/>
                    <w:keepLines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氨氮</w:t>
                  </w:r>
                </w:p>
              </w:tc>
              <w:tc>
                <w:tcPr>
                  <w:tcW w:w="827" w:type="pct"/>
                  <w:tcBorders>
                    <w:tl2br w:val="nil"/>
                    <w:tr2bl w:val="nil"/>
                  </w:tcBorders>
                  <w:vAlign w:val="center"/>
                </w:tcPr>
                <w:p w14:paraId="40BA08E4">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0.004</w:t>
                  </w:r>
                </w:p>
              </w:tc>
              <w:tc>
                <w:tcPr>
                  <w:tcW w:w="743" w:type="pct"/>
                  <w:tcBorders>
                    <w:tl2br w:val="nil"/>
                    <w:tr2bl w:val="nil"/>
                  </w:tcBorders>
                  <w:vAlign w:val="center"/>
                </w:tcPr>
                <w:p w14:paraId="282F8B7D">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0.00105</w:t>
                  </w:r>
                </w:p>
              </w:tc>
              <w:tc>
                <w:tcPr>
                  <w:tcW w:w="827" w:type="pct"/>
                  <w:tcBorders>
                    <w:tl2br w:val="nil"/>
                    <w:tr2bl w:val="nil"/>
                  </w:tcBorders>
                  <w:shd w:val="clear" w:color="auto" w:fill="auto"/>
                  <w:vAlign w:val="center"/>
                </w:tcPr>
                <w:p w14:paraId="4E37DFF3">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243ED4E7">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0.00505</w:t>
                  </w:r>
                </w:p>
              </w:tc>
              <w:tc>
                <w:tcPr>
                  <w:tcW w:w="873" w:type="pct"/>
                  <w:tcBorders>
                    <w:tl2br w:val="nil"/>
                    <w:tr2bl w:val="nil"/>
                  </w:tcBorders>
                  <w:vAlign w:val="center"/>
                </w:tcPr>
                <w:p w14:paraId="1B54A1D6">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+0.00105</w:t>
                  </w:r>
                </w:p>
              </w:tc>
            </w:tr>
            <w:tr w14:paraId="776A24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02" w:type="pct"/>
                  <w:tcBorders>
                    <w:tl2br w:val="nil"/>
                    <w:tr2bl w:val="nil"/>
                  </w:tcBorders>
                  <w:vAlign w:val="center"/>
                </w:tcPr>
                <w:p w14:paraId="78847677">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SS</w:t>
                  </w:r>
                </w:p>
              </w:tc>
              <w:tc>
                <w:tcPr>
                  <w:tcW w:w="827" w:type="pct"/>
                  <w:tcBorders>
                    <w:tl2br w:val="nil"/>
                    <w:tr2bl w:val="nil"/>
                  </w:tcBorders>
                  <w:vAlign w:val="center"/>
                </w:tcPr>
                <w:p w14:paraId="2DA104FC">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0.019</w:t>
                  </w:r>
                </w:p>
              </w:tc>
              <w:tc>
                <w:tcPr>
                  <w:tcW w:w="743" w:type="pct"/>
                  <w:tcBorders>
                    <w:tl2br w:val="nil"/>
                    <w:tr2bl w:val="nil"/>
                  </w:tcBorders>
                  <w:vAlign w:val="center"/>
                </w:tcPr>
                <w:p w14:paraId="670086D7">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0.0084</w:t>
                  </w:r>
                </w:p>
              </w:tc>
              <w:tc>
                <w:tcPr>
                  <w:tcW w:w="827" w:type="pct"/>
                  <w:tcBorders>
                    <w:tl2br w:val="nil"/>
                    <w:tr2bl w:val="nil"/>
                  </w:tcBorders>
                  <w:shd w:val="clear" w:color="auto" w:fill="auto"/>
                  <w:vAlign w:val="center"/>
                </w:tcPr>
                <w:p w14:paraId="4B855DA6">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11C7A97B">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0.0274</w:t>
                  </w:r>
                </w:p>
              </w:tc>
              <w:tc>
                <w:tcPr>
                  <w:tcW w:w="873" w:type="pct"/>
                  <w:tcBorders>
                    <w:tl2br w:val="nil"/>
                    <w:tr2bl w:val="nil"/>
                  </w:tcBorders>
                  <w:vAlign w:val="center"/>
                </w:tcPr>
                <w:p w14:paraId="207550E4">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+0.0084</w:t>
                  </w:r>
                </w:p>
              </w:tc>
            </w:tr>
            <w:tr w14:paraId="140AB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02" w:type="pct"/>
                  <w:tcBorders>
                    <w:tl2br w:val="nil"/>
                    <w:tr2bl w:val="nil"/>
                  </w:tcBorders>
                  <w:vAlign w:val="center"/>
                </w:tcPr>
                <w:p w14:paraId="0C0D16E8">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废铁屑、木块</w:t>
                  </w:r>
                </w:p>
              </w:tc>
              <w:tc>
                <w:tcPr>
                  <w:tcW w:w="827" w:type="pct"/>
                  <w:tcBorders>
                    <w:tl2br w:val="nil"/>
                    <w:tr2bl w:val="nil"/>
                  </w:tcBorders>
                  <w:vAlign w:val="center"/>
                </w:tcPr>
                <w:p w14:paraId="60B03F75">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809t</w:t>
                  </w:r>
                </w:p>
              </w:tc>
              <w:tc>
                <w:tcPr>
                  <w:tcW w:w="743" w:type="pct"/>
                  <w:tcBorders>
                    <w:tl2br w:val="nil"/>
                    <w:tr2bl w:val="nil"/>
                  </w:tcBorders>
                  <w:vAlign w:val="center"/>
                </w:tcPr>
                <w:p w14:paraId="3CEB61B0">
                  <w:pPr>
                    <w:spacing w:before="0" w:beforeLines="0" w:after="0" w:afterLines="0" w:line="240" w:lineRule="auto"/>
                    <w:ind w:firstLine="420" w:firstLineChars="200"/>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p>
              </w:tc>
              <w:tc>
                <w:tcPr>
                  <w:tcW w:w="827" w:type="pct"/>
                  <w:tcBorders>
                    <w:tl2br w:val="nil"/>
                    <w:tr2bl w:val="nil"/>
                  </w:tcBorders>
                  <w:shd w:val="clear" w:color="auto" w:fill="auto"/>
                  <w:vAlign w:val="center"/>
                </w:tcPr>
                <w:p w14:paraId="15671D9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7D23D805">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809</w:t>
                  </w:r>
                </w:p>
              </w:tc>
              <w:tc>
                <w:tcPr>
                  <w:tcW w:w="873" w:type="pct"/>
                  <w:tcBorders>
                    <w:tl2br w:val="nil"/>
                    <w:tr2bl w:val="nil"/>
                  </w:tcBorders>
                  <w:vAlign w:val="center"/>
                </w:tcPr>
                <w:p w14:paraId="3C594DCE">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p>
              </w:tc>
            </w:tr>
            <w:tr w14:paraId="07CC03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02" w:type="pct"/>
                  <w:tcBorders>
                    <w:tl2br w:val="nil"/>
                    <w:tr2bl w:val="nil"/>
                  </w:tcBorders>
                  <w:vAlign w:val="center"/>
                </w:tcPr>
                <w:p w14:paraId="754E39C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除尘器收集的粉尘</w:t>
                  </w:r>
                </w:p>
              </w:tc>
              <w:tc>
                <w:tcPr>
                  <w:tcW w:w="827" w:type="pct"/>
                  <w:tcBorders>
                    <w:tl2br w:val="nil"/>
                    <w:tr2bl w:val="nil"/>
                  </w:tcBorders>
                  <w:vAlign w:val="center"/>
                </w:tcPr>
                <w:p w14:paraId="12EF4EDE">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5.02t</w:t>
                  </w:r>
                </w:p>
              </w:tc>
              <w:tc>
                <w:tcPr>
                  <w:tcW w:w="743" w:type="pct"/>
                  <w:tcBorders>
                    <w:tl2br w:val="nil"/>
                    <w:tr2bl w:val="nil"/>
                  </w:tcBorders>
                  <w:vAlign w:val="center"/>
                </w:tcPr>
                <w:p w14:paraId="12B0A638">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21.47</w:t>
                  </w:r>
                </w:p>
              </w:tc>
              <w:tc>
                <w:tcPr>
                  <w:tcW w:w="827" w:type="pct"/>
                  <w:tcBorders>
                    <w:tl2br w:val="nil"/>
                    <w:tr2bl w:val="nil"/>
                  </w:tcBorders>
                  <w:shd w:val="clear" w:color="auto" w:fill="auto"/>
                  <w:vAlign w:val="center"/>
                </w:tcPr>
                <w:p w14:paraId="2BC3180B">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7522B4EE">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26.49</w:t>
                  </w:r>
                </w:p>
              </w:tc>
              <w:tc>
                <w:tcPr>
                  <w:tcW w:w="873" w:type="pct"/>
                  <w:tcBorders>
                    <w:tl2br w:val="nil"/>
                    <w:tr2bl w:val="nil"/>
                  </w:tcBorders>
                  <w:vAlign w:val="center"/>
                </w:tcPr>
                <w:p w14:paraId="4F61BC68">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+21.47</w:t>
                  </w:r>
                </w:p>
              </w:tc>
            </w:tr>
            <w:tr w14:paraId="4BC3C5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002" w:type="pct"/>
                  <w:tcBorders>
                    <w:tl2br w:val="nil"/>
                    <w:tr2bl w:val="nil"/>
                  </w:tcBorders>
                  <w:vAlign w:val="center"/>
                </w:tcPr>
                <w:p w14:paraId="753B3096">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泥饼</w:t>
                  </w:r>
                </w:p>
              </w:tc>
              <w:tc>
                <w:tcPr>
                  <w:tcW w:w="827" w:type="pct"/>
                  <w:tcBorders>
                    <w:tl2br w:val="nil"/>
                    <w:tr2bl w:val="nil"/>
                  </w:tcBorders>
                  <w:vAlign w:val="center"/>
                </w:tcPr>
                <w:p w14:paraId="0615C826">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2.5</w:t>
                  </w:r>
                </w:p>
              </w:tc>
              <w:tc>
                <w:tcPr>
                  <w:tcW w:w="743" w:type="pct"/>
                  <w:tcBorders>
                    <w:tl2br w:val="nil"/>
                    <w:tr2bl w:val="nil"/>
                  </w:tcBorders>
                  <w:vAlign w:val="center"/>
                </w:tcPr>
                <w:p w14:paraId="780EAE04">
                  <w:pPr>
                    <w:spacing w:before="0" w:beforeLines="0" w:after="0" w:afterLines="0" w:line="240" w:lineRule="auto"/>
                    <w:ind w:firstLine="420" w:firstLineChars="200"/>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927.74</w:t>
                  </w:r>
                </w:p>
              </w:tc>
              <w:tc>
                <w:tcPr>
                  <w:tcW w:w="827" w:type="pct"/>
                  <w:tcBorders>
                    <w:tl2br w:val="nil"/>
                    <w:tr2bl w:val="nil"/>
                  </w:tcBorders>
                  <w:shd w:val="clear" w:color="auto" w:fill="auto"/>
                  <w:vAlign w:val="center"/>
                </w:tcPr>
                <w:p w14:paraId="7FD1FE41">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7286EA57">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930.24</w:t>
                  </w:r>
                </w:p>
              </w:tc>
              <w:tc>
                <w:tcPr>
                  <w:tcW w:w="873" w:type="pct"/>
                  <w:tcBorders>
                    <w:tl2br w:val="nil"/>
                    <w:tr2bl w:val="nil"/>
                  </w:tcBorders>
                  <w:vAlign w:val="center"/>
                </w:tcPr>
                <w:p w14:paraId="768C7EC6">
                  <w:pPr>
                    <w:spacing w:before="0" w:beforeLines="0" w:after="0" w:afterLines="0"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+927.74</w:t>
                  </w:r>
                </w:p>
              </w:tc>
            </w:tr>
            <w:tr w14:paraId="15D2AC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002" w:type="pct"/>
                  <w:tcBorders>
                    <w:tl2br w:val="nil"/>
                    <w:tr2bl w:val="nil"/>
                  </w:tcBorders>
                  <w:vAlign w:val="center"/>
                </w:tcPr>
                <w:p w14:paraId="73EF49B0">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废布袋</w:t>
                  </w:r>
                </w:p>
              </w:tc>
              <w:tc>
                <w:tcPr>
                  <w:tcW w:w="827" w:type="pct"/>
                  <w:tcBorders>
                    <w:tl2br w:val="nil"/>
                    <w:tr2bl w:val="nil"/>
                  </w:tcBorders>
                  <w:vAlign w:val="center"/>
                </w:tcPr>
                <w:p w14:paraId="76A14106">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p>
              </w:tc>
              <w:tc>
                <w:tcPr>
                  <w:tcW w:w="743" w:type="pct"/>
                  <w:tcBorders>
                    <w:tl2br w:val="nil"/>
                    <w:tr2bl w:val="nil"/>
                  </w:tcBorders>
                  <w:vAlign w:val="center"/>
                </w:tcPr>
                <w:p w14:paraId="2D1845E4">
                  <w:pPr>
                    <w:spacing w:before="0" w:beforeLines="0" w:after="0" w:afterLines="0" w:line="240" w:lineRule="auto"/>
                    <w:ind w:firstLine="420" w:firstLineChars="200"/>
                    <w:jc w:val="both"/>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827" w:type="pct"/>
                  <w:tcBorders>
                    <w:tl2br w:val="nil"/>
                    <w:tr2bl w:val="nil"/>
                  </w:tcBorders>
                  <w:shd w:val="clear" w:color="auto" w:fill="auto"/>
                  <w:vAlign w:val="center"/>
                </w:tcPr>
                <w:p w14:paraId="2D8BF3DC">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619AD399">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873" w:type="pct"/>
                  <w:tcBorders>
                    <w:tl2br w:val="nil"/>
                    <w:tr2bl w:val="nil"/>
                  </w:tcBorders>
                  <w:vAlign w:val="center"/>
                </w:tcPr>
                <w:p w14:paraId="71F7A280">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r>
            <w:tr w14:paraId="1F13F9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002" w:type="pct"/>
                  <w:tcBorders>
                    <w:tl2br w:val="nil"/>
                    <w:tr2bl w:val="nil"/>
                  </w:tcBorders>
                  <w:vAlign w:val="center"/>
                </w:tcPr>
                <w:p w14:paraId="62768B5C">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废抑尘网</w:t>
                  </w:r>
                </w:p>
              </w:tc>
              <w:tc>
                <w:tcPr>
                  <w:tcW w:w="827" w:type="pct"/>
                  <w:tcBorders>
                    <w:tl2br w:val="nil"/>
                    <w:tr2bl w:val="nil"/>
                  </w:tcBorders>
                  <w:vAlign w:val="center"/>
                </w:tcPr>
                <w:p w14:paraId="7C2E36BB">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p>
              </w:tc>
              <w:tc>
                <w:tcPr>
                  <w:tcW w:w="743" w:type="pct"/>
                  <w:tcBorders>
                    <w:tl2br w:val="nil"/>
                    <w:tr2bl w:val="nil"/>
                  </w:tcBorders>
                  <w:vAlign w:val="center"/>
                </w:tcPr>
                <w:p w14:paraId="306D340E">
                  <w:pPr>
                    <w:spacing w:before="0" w:beforeLines="0" w:after="0" w:afterLines="0" w:line="240" w:lineRule="auto"/>
                    <w:ind w:firstLine="420" w:firstLineChars="200"/>
                    <w:jc w:val="both"/>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827" w:type="pct"/>
                  <w:tcBorders>
                    <w:tl2br w:val="nil"/>
                    <w:tr2bl w:val="nil"/>
                  </w:tcBorders>
                  <w:shd w:val="clear" w:color="auto" w:fill="auto"/>
                  <w:vAlign w:val="center"/>
                </w:tcPr>
                <w:p w14:paraId="073869BE">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2F116474">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873" w:type="pct"/>
                  <w:tcBorders>
                    <w:tl2br w:val="nil"/>
                    <w:tr2bl w:val="nil"/>
                  </w:tcBorders>
                  <w:vAlign w:val="center"/>
                </w:tcPr>
                <w:p w14:paraId="5BB3BD1B">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r>
            <w:tr w14:paraId="48FCAB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002" w:type="pct"/>
                  <w:tcBorders>
                    <w:tl2br w:val="nil"/>
                    <w:tr2bl w:val="nil"/>
                  </w:tcBorders>
                  <w:vAlign w:val="center"/>
                </w:tcPr>
                <w:p w14:paraId="79DFD65F">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废润滑油</w:t>
                  </w:r>
                </w:p>
              </w:tc>
              <w:tc>
                <w:tcPr>
                  <w:tcW w:w="827" w:type="pct"/>
                  <w:tcBorders>
                    <w:tl2br w:val="nil"/>
                    <w:tr2bl w:val="nil"/>
                  </w:tcBorders>
                  <w:vAlign w:val="center"/>
                </w:tcPr>
                <w:p w14:paraId="2137A65E">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0.05</w:t>
                  </w:r>
                </w:p>
              </w:tc>
              <w:tc>
                <w:tcPr>
                  <w:tcW w:w="743" w:type="pct"/>
                  <w:tcBorders>
                    <w:tl2br w:val="nil"/>
                    <w:tr2bl w:val="nil"/>
                  </w:tcBorders>
                  <w:vAlign w:val="center"/>
                </w:tcPr>
                <w:p w14:paraId="4D158C78">
                  <w:pPr>
                    <w:spacing w:before="0" w:beforeLines="0" w:after="0" w:afterLines="0" w:line="240" w:lineRule="auto"/>
                    <w:ind w:firstLine="420" w:firstLineChars="200"/>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p>
              </w:tc>
              <w:tc>
                <w:tcPr>
                  <w:tcW w:w="827" w:type="pct"/>
                  <w:tcBorders>
                    <w:tl2br w:val="nil"/>
                    <w:tr2bl w:val="nil"/>
                  </w:tcBorders>
                  <w:shd w:val="clear" w:color="auto" w:fill="auto"/>
                  <w:vAlign w:val="center"/>
                </w:tcPr>
                <w:p w14:paraId="4D5FB3F3">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2DAE3E3A">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0.15</w:t>
                  </w:r>
                </w:p>
              </w:tc>
              <w:tc>
                <w:tcPr>
                  <w:tcW w:w="873" w:type="pct"/>
                  <w:tcBorders>
                    <w:tl2br w:val="nil"/>
                    <w:tr2bl w:val="nil"/>
                  </w:tcBorders>
                  <w:vAlign w:val="center"/>
                </w:tcPr>
                <w:p w14:paraId="36B26A51">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p>
              </w:tc>
            </w:tr>
            <w:tr w14:paraId="78AAE5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002" w:type="pct"/>
                  <w:tcBorders>
                    <w:tl2br w:val="nil"/>
                    <w:tr2bl w:val="nil"/>
                  </w:tcBorders>
                  <w:vAlign w:val="center"/>
                </w:tcPr>
                <w:p w14:paraId="1A247B83">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废润滑油桶</w:t>
                  </w:r>
                </w:p>
              </w:tc>
              <w:tc>
                <w:tcPr>
                  <w:tcW w:w="827" w:type="pct"/>
                  <w:tcBorders>
                    <w:tl2br w:val="nil"/>
                    <w:tr2bl w:val="nil"/>
                  </w:tcBorders>
                  <w:vAlign w:val="center"/>
                </w:tcPr>
                <w:p w14:paraId="226524C1">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0.05</w:t>
                  </w:r>
                </w:p>
              </w:tc>
              <w:tc>
                <w:tcPr>
                  <w:tcW w:w="743" w:type="pct"/>
                  <w:tcBorders>
                    <w:tl2br w:val="nil"/>
                    <w:tr2bl w:val="nil"/>
                  </w:tcBorders>
                  <w:vAlign w:val="center"/>
                </w:tcPr>
                <w:p w14:paraId="2C4F0524">
                  <w:pPr>
                    <w:spacing w:before="0" w:beforeLines="0" w:after="0" w:afterLines="0" w:line="240" w:lineRule="auto"/>
                    <w:ind w:firstLine="420" w:firstLineChars="200"/>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p>
              </w:tc>
              <w:tc>
                <w:tcPr>
                  <w:tcW w:w="827" w:type="pct"/>
                  <w:tcBorders>
                    <w:tl2br w:val="nil"/>
                    <w:tr2bl w:val="nil"/>
                  </w:tcBorders>
                  <w:shd w:val="clear" w:color="auto" w:fill="auto"/>
                  <w:vAlign w:val="center"/>
                </w:tcPr>
                <w:p w14:paraId="37EA4250">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0B757EE3">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0.15</w:t>
                  </w:r>
                </w:p>
              </w:tc>
              <w:tc>
                <w:tcPr>
                  <w:tcW w:w="873" w:type="pct"/>
                  <w:tcBorders>
                    <w:tl2br w:val="nil"/>
                    <w:tr2bl w:val="nil"/>
                  </w:tcBorders>
                  <w:vAlign w:val="center"/>
                </w:tcPr>
                <w:p w14:paraId="20DAF04B">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p>
              </w:tc>
            </w:tr>
            <w:tr w14:paraId="48A6A9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002" w:type="pct"/>
                  <w:tcBorders>
                    <w:tl2br w:val="nil"/>
                    <w:tr2bl w:val="nil"/>
                  </w:tcBorders>
                  <w:vAlign w:val="center"/>
                </w:tcPr>
                <w:p w14:paraId="080552CA">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生活垃圾</w:t>
                  </w:r>
                </w:p>
              </w:tc>
              <w:tc>
                <w:tcPr>
                  <w:tcW w:w="827" w:type="pct"/>
                  <w:tcBorders>
                    <w:tl2br w:val="nil"/>
                    <w:tr2bl w:val="nil"/>
                  </w:tcBorders>
                  <w:vAlign w:val="center"/>
                </w:tcPr>
                <w:p w14:paraId="12D0621F">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2.1</w:t>
                  </w:r>
                </w:p>
              </w:tc>
              <w:tc>
                <w:tcPr>
                  <w:tcW w:w="743" w:type="pct"/>
                  <w:tcBorders>
                    <w:tl2br w:val="nil"/>
                    <w:tr2bl w:val="nil"/>
                  </w:tcBorders>
                  <w:vAlign w:val="center"/>
                </w:tcPr>
                <w:p w14:paraId="325529A7">
                  <w:pPr>
                    <w:spacing w:before="0" w:beforeLines="0" w:after="0" w:afterLines="0" w:line="240" w:lineRule="auto"/>
                    <w:ind w:firstLine="420" w:firstLineChars="200"/>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0.525</w:t>
                  </w:r>
                </w:p>
              </w:tc>
              <w:tc>
                <w:tcPr>
                  <w:tcW w:w="827" w:type="pct"/>
                  <w:tcBorders>
                    <w:tl2br w:val="nil"/>
                    <w:tr2bl w:val="nil"/>
                  </w:tcBorders>
                  <w:shd w:val="clear" w:color="auto" w:fill="auto"/>
                  <w:vAlign w:val="center"/>
                </w:tcPr>
                <w:p w14:paraId="7EE7722F">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w:t>
                  </w:r>
                </w:p>
              </w:tc>
              <w:tc>
                <w:tcPr>
                  <w:tcW w:w="724" w:type="pct"/>
                  <w:tcBorders>
                    <w:tl2br w:val="nil"/>
                    <w:tr2bl w:val="nil"/>
                  </w:tcBorders>
                  <w:vAlign w:val="center"/>
                </w:tcPr>
                <w:p w14:paraId="7CEAACF0">
                  <w:pPr>
                    <w:tabs>
                      <w:tab w:val="left" w:pos="394"/>
                    </w:tabs>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2.625</w:t>
                  </w:r>
                </w:p>
              </w:tc>
              <w:tc>
                <w:tcPr>
                  <w:tcW w:w="873" w:type="pct"/>
                  <w:tcBorders>
                    <w:tl2br w:val="nil"/>
                    <w:tr2bl w:val="nil"/>
                  </w:tcBorders>
                  <w:vAlign w:val="center"/>
                </w:tcPr>
                <w:p w14:paraId="557841C2">
                  <w:pPr>
                    <w:spacing w:before="0" w:beforeLines="0" w:after="0" w:afterLines="0" w:line="240" w:lineRule="auto"/>
                    <w:ind w:left="0" w:leftChars="0" w:firstLine="0" w:firstLineChars="0"/>
                    <w:jc w:val="cente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+0.525</w:t>
                  </w:r>
                </w:p>
              </w:tc>
            </w:tr>
          </w:tbl>
          <w:p w14:paraId="23E47E2F">
            <w:pPr>
              <w:ind w:left="0" w:leftChars="0" w:firstLine="0" w:firstLineChars="0"/>
              <w:rPr>
                <w:rFonts w:hint="eastAsia" w:eastAsia="宋体"/>
                <w:color w:val="000000" w:themeColor="text1"/>
                <w:lang w:eastAsia="zh-CN"/>
                <w14:textFill>
                  <w14:solidFill>
                    <w14:schemeClr w14:val="tx1"/>
                  </w14:solidFill>
                </w14:textFill>
              </w:rPr>
            </w:pPr>
          </w:p>
        </w:tc>
      </w:tr>
    </w:tbl>
    <w:p w14:paraId="7526DCA6">
      <w:pPr>
        <w:pStyle w:val="22"/>
        <w:rPr>
          <w:color w:val="000000" w:themeColor="text1"/>
          <w14:textFill>
            <w14:solidFill>
              <w14:schemeClr w14:val="tx1"/>
            </w14:solidFill>
          </w14:textFill>
        </w:rPr>
        <w:sectPr>
          <w:pgSz w:w="11907" w:h="16840"/>
          <w:pgMar w:top="1440" w:right="1531" w:bottom="1440" w:left="1531" w:header="851" w:footer="851" w:gutter="0"/>
          <w:pgBorders>
            <w:top w:val="none" w:sz="0" w:space="0"/>
            <w:left w:val="none" w:sz="0" w:space="0"/>
            <w:bottom w:val="none" w:sz="0" w:space="0"/>
            <w:right w:val="none" w:sz="0" w:space="0"/>
          </w:pgBorders>
          <w:cols w:space="720" w:num="1"/>
          <w:docGrid w:linePitch="312" w:charSpace="0"/>
        </w:sectPr>
      </w:pPr>
    </w:p>
    <w:p w14:paraId="31E4F01B">
      <w:pPr>
        <w:pStyle w:val="37"/>
        <w:snapToGrid w:val="0"/>
        <w:spacing w:line="240" w:lineRule="auto"/>
        <w:ind w:firstLine="602"/>
        <w:jc w:val="center"/>
        <w:outlineLvl w:val="0"/>
        <w:rPr>
          <w:rFonts w:ascii="黑体" w:hAnsi="黑体" w:eastAsia="黑体"/>
          <w:b/>
          <w:bCs/>
          <w:snapToGrid w:val="0"/>
          <w:color w:val="000000" w:themeColor="text1"/>
          <w:sz w:val="30"/>
          <w:szCs w:val="30"/>
          <w14:textFill>
            <w14:solidFill>
              <w14:schemeClr w14:val="tx1"/>
            </w14:solidFill>
          </w14:textFill>
        </w:rPr>
      </w:pPr>
      <w:r>
        <w:rPr>
          <w:rFonts w:hint="eastAsia" w:ascii="黑体" w:hAnsi="黑体" w:eastAsia="黑体"/>
          <w:b/>
          <w:bCs/>
          <w:snapToGrid w:val="0"/>
          <w:color w:val="000000" w:themeColor="text1"/>
          <w:sz w:val="30"/>
          <w:szCs w:val="30"/>
          <w14:textFill>
            <w14:solidFill>
              <w14:schemeClr w14:val="tx1"/>
            </w14:solidFill>
          </w14:textFill>
        </w:rPr>
        <w:t>五、</w:t>
      </w:r>
      <w:bookmarkStart w:id="7" w:name="_Hlk54167917"/>
      <w:r>
        <w:rPr>
          <w:rFonts w:hint="eastAsia" w:ascii="黑体" w:hAnsi="黑体" w:eastAsia="黑体"/>
          <w:b/>
          <w:bCs/>
          <w:snapToGrid w:val="0"/>
          <w:color w:val="000000" w:themeColor="text1"/>
          <w:sz w:val="30"/>
          <w:szCs w:val="30"/>
          <w14:textFill>
            <w14:solidFill>
              <w14:schemeClr w14:val="tx1"/>
            </w14:solidFill>
          </w14:textFill>
        </w:rPr>
        <w:t>环境保护措施监督检查清单</w:t>
      </w:r>
      <w:bookmarkEnd w:id="7"/>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398"/>
        <w:gridCol w:w="790"/>
        <w:gridCol w:w="1131"/>
        <w:gridCol w:w="2595"/>
        <w:gridCol w:w="2983"/>
      </w:tblGrid>
      <w:tr w14:paraId="76D32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tcBorders>
              <w:tl2br w:val="nil"/>
              <w:tr2bl w:val="nil"/>
            </w:tcBorders>
            <w:vAlign w:val="center"/>
          </w:tcPr>
          <w:p w14:paraId="36DC1BB8">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内容</w:t>
            </w:r>
          </w:p>
          <w:p w14:paraId="35202881">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要素</w:t>
            </w:r>
          </w:p>
        </w:tc>
        <w:tc>
          <w:tcPr>
            <w:tcW w:w="1188" w:type="dxa"/>
            <w:gridSpan w:val="2"/>
            <w:tcBorders>
              <w:tl2br w:val="nil"/>
              <w:tr2bl w:val="nil"/>
            </w:tcBorders>
            <w:vAlign w:val="center"/>
          </w:tcPr>
          <w:p w14:paraId="045AB845">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排放口</w:t>
            </w:r>
            <w:r>
              <w:rPr>
                <w:rFonts w:hint="eastAsia" w:cs="Times New Roman"/>
                <w:b/>
                <w:bCs/>
                <w:color w:val="000000" w:themeColor="text1"/>
                <w:spacing w:val="0"/>
                <w:sz w:val="21"/>
                <w:szCs w:val="21"/>
                <w:lang w:eastAsia="zh-CN"/>
                <w14:textFill>
                  <w14:solidFill>
                    <w14:schemeClr w14:val="tx1"/>
                  </w14:solidFill>
                </w14:textFill>
              </w:rPr>
              <w:t>（</w:t>
            </w:r>
            <w:r>
              <w:rPr>
                <w:rFonts w:hint="default" w:ascii="Times New Roman" w:hAnsi="Times New Roman" w:cs="Times New Roman"/>
                <w:b/>
                <w:bCs/>
                <w:color w:val="000000" w:themeColor="text1"/>
                <w:spacing w:val="0"/>
                <w:sz w:val="21"/>
                <w:szCs w:val="21"/>
                <w14:textFill>
                  <w14:solidFill>
                    <w14:schemeClr w14:val="tx1"/>
                  </w14:solidFill>
                </w14:textFill>
              </w:rPr>
              <w:t>编号、名称</w:t>
            </w:r>
            <w:r>
              <w:rPr>
                <w:rFonts w:hint="eastAsia" w:cs="Times New Roman"/>
                <w:b/>
                <w:bCs/>
                <w:color w:val="000000" w:themeColor="text1"/>
                <w:spacing w:val="0"/>
                <w:sz w:val="21"/>
                <w:szCs w:val="21"/>
                <w:lang w:eastAsia="zh-CN"/>
                <w14:textFill>
                  <w14:solidFill>
                    <w14:schemeClr w14:val="tx1"/>
                  </w14:solidFill>
                </w14:textFill>
              </w:rPr>
              <w:t>）</w:t>
            </w:r>
            <w:r>
              <w:rPr>
                <w:rFonts w:hint="default" w:ascii="Times New Roman" w:hAnsi="Times New Roman" w:cs="Times New Roman"/>
                <w:b/>
                <w:bCs/>
                <w:color w:val="000000" w:themeColor="text1"/>
                <w:spacing w:val="0"/>
                <w:sz w:val="21"/>
                <w:szCs w:val="21"/>
                <w14:textFill>
                  <w14:solidFill>
                    <w14:schemeClr w14:val="tx1"/>
                  </w14:solidFill>
                </w14:textFill>
              </w:rPr>
              <w:t>/污染源</w:t>
            </w:r>
          </w:p>
        </w:tc>
        <w:tc>
          <w:tcPr>
            <w:tcW w:w="1131" w:type="dxa"/>
            <w:tcBorders>
              <w:tl2br w:val="nil"/>
              <w:tr2bl w:val="nil"/>
            </w:tcBorders>
            <w:vAlign w:val="center"/>
          </w:tcPr>
          <w:p w14:paraId="275BEA1D">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污染物</w:t>
            </w:r>
          </w:p>
          <w:p w14:paraId="0C31131C">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项目</w:t>
            </w:r>
          </w:p>
        </w:tc>
        <w:tc>
          <w:tcPr>
            <w:tcW w:w="2595" w:type="dxa"/>
            <w:tcBorders>
              <w:tl2br w:val="nil"/>
              <w:tr2bl w:val="nil"/>
            </w:tcBorders>
            <w:vAlign w:val="center"/>
          </w:tcPr>
          <w:p w14:paraId="51B6D1F7">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环境保护措施</w:t>
            </w:r>
          </w:p>
        </w:tc>
        <w:tc>
          <w:tcPr>
            <w:tcW w:w="2983" w:type="dxa"/>
            <w:tcBorders>
              <w:tl2br w:val="nil"/>
              <w:tr2bl w:val="nil"/>
            </w:tcBorders>
            <w:vAlign w:val="center"/>
          </w:tcPr>
          <w:p w14:paraId="6DA1E4CB">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执行标准</w:t>
            </w:r>
          </w:p>
        </w:tc>
      </w:tr>
      <w:tr w14:paraId="16C81B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13" w:hRule="atLeast"/>
          <w:jc w:val="center"/>
        </w:trPr>
        <w:tc>
          <w:tcPr>
            <w:tcW w:w="1130" w:type="dxa"/>
            <w:vMerge w:val="restart"/>
            <w:tcBorders>
              <w:tl2br w:val="nil"/>
              <w:tr2bl w:val="nil"/>
            </w:tcBorders>
            <w:vAlign w:val="center"/>
          </w:tcPr>
          <w:p w14:paraId="1D9D293E">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大气环境</w:t>
            </w:r>
          </w:p>
        </w:tc>
        <w:tc>
          <w:tcPr>
            <w:tcW w:w="1188" w:type="dxa"/>
            <w:gridSpan w:val="2"/>
            <w:tcBorders>
              <w:tl2br w:val="nil"/>
              <w:tr2bl w:val="nil"/>
            </w:tcBorders>
            <w:vAlign w:val="center"/>
          </w:tcPr>
          <w:p w14:paraId="3143E77F">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DA00</w:t>
            </w:r>
            <w:r>
              <w:rPr>
                <w:rFonts w:hint="eastAsia" w:cs="Times New Roman"/>
                <w:color w:val="000000" w:themeColor="text1"/>
                <w:spacing w:val="0"/>
                <w:sz w:val="21"/>
                <w:szCs w:val="21"/>
                <w:lang w:val="en-US" w:eastAsia="zh-CN"/>
                <w14:textFill>
                  <w14:solidFill>
                    <w14:schemeClr w14:val="tx1"/>
                  </w14:solidFill>
                </w14:textFill>
              </w:rPr>
              <w:t>2</w:t>
            </w:r>
            <w:r>
              <w:rPr>
                <w:rFonts w:hint="default" w:ascii="Times New Roman" w:hAnsi="Times New Roman" w:cs="Times New Roman"/>
                <w:color w:val="000000" w:themeColor="text1"/>
                <w:spacing w:val="0"/>
                <w:sz w:val="21"/>
                <w:szCs w:val="21"/>
                <w14:textFill>
                  <w14:solidFill>
                    <w14:schemeClr w14:val="tx1"/>
                  </w14:solidFill>
                </w14:textFill>
              </w:rPr>
              <w:t>排气筒</w:t>
            </w:r>
          </w:p>
        </w:tc>
        <w:tc>
          <w:tcPr>
            <w:tcW w:w="1131" w:type="dxa"/>
            <w:tcBorders>
              <w:tl2br w:val="nil"/>
              <w:tr2bl w:val="nil"/>
            </w:tcBorders>
            <w:vAlign w:val="center"/>
          </w:tcPr>
          <w:p w14:paraId="1514C0EA">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eastAsia" w:cs="宋体"/>
                <w:b w:val="0"/>
                <w:bCs/>
                <w:color w:val="000000" w:themeColor="text1"/>
                <w:sz w:val="21"/>
                <w:szCs w:val="21"/>
                <w:highlight w:val="none"/>
                <w:lang w:val="en-US" w:eastAsia="zh-CN"/>
                <w14:textFill>
                  <w14:solidFill>
                    <w14:schemeClr w14:val="tx1"/>
                  </w14:solidFill>
                </w14:textFill>
              </w:rPr>
              <w:t>上料、振动筛分生产过程中产生的颗粒物</w:t>
            </w:r>
          </w:p>
        </w:tc>
        <w:tc>
          <w:tcPr>
            <w:tcW w:w="2595" w:type="dxa"/>
            <w:tcBorders>
              <w:tl2br w:val="nil"/>
              <w:tr2bl w:val="nil"/>
            </w:tcBorders>
            <w:vAlign w:val="center"/>
          </w:tcPr>
          <w:p w14:paraId="20FBA3CC">
            <w:pPr>
              <w:pStyle w:val="17"/>
              <w:spacing w:line="240" w:lineRule="auto"/>
              <w:rPr>
                <w:rFonts w:hint="default" w:ascii="Times New Roman" w:hAnsi="Times New Roman" w:cs="Times New Roman"/>
                <w:color w:val="000000" w:themeColor="text1"/>
                <w:spacing w:val="0"/>
                <w:kern w:val="2"/>
                <w:sz w:val="21"/>
                <w:szCs w:val="21"/>
                <w14:textFill>
                  <w14:solidFill>
                    <w14:schemeClr w14:val="tx1"/>
                  </w14:solidFill>
                </w14:textFill>
              </w:rPr>
            </w:pPr>
            <w:r>
              <w:rPr>
                <w:rFonts w:hint="eastAsia"/>
                <w:b w:val="0"/>
                <w:color w:val="000000" w:themeColor="text1"/>
                <w:sz w:val="21"/>
                <w:szCs w:val="21"/>
                <w:highlight w:val="none"/>
                <w:vertAlign w:val="baseline"/>
                <w:lang w:val="en-US" w:eastAsia="zh-CN"/>
                <w14:textFill>
                  <w14:solidFill>
                    <w14:schemeClr w14:val="tx1"/>
                  </w14:solidFill>
                </w14:textFill>
              </w:rPr>
              <w:t>集气罩收集+布袋除尘器</w:t>
            </w:r>
            <w:r>
              <w:rPr>
                <w:rFonts w:hint="eastAsia" w:ascii="Times New Roman" w:hAnsi="Times New Roman" w:eastAsia="宋体"/>
                <w:b w:val="0"/>
                <w:color w:val="000000" w:themeColor="text1"/>
                <w:sz w:val="21"/>
                <w:szCs w:val="21"/>
                <w:highlight w:val="none"/>
                <w:vertAlign w:val="baseline"/>
                <w14:textFill>
                  <w14:solidFill>
                    <w14:schemeClr w14:val="tx1"/>
                  </w14:solidFill>
                </w14:textFill>
              </w:rPr>
              <w:t>装置处理后，通过1根15m排气筒（DA00</w:t>
            </w:r>
            <w:r>
              <w:rPr>
                <w:rFonts w:hint="eastAsia"/>
                <w:b w:val="0"/>
                <w:color w:val="000000" w:themeColor="text1"/>
                <w:sz w:val="21"/>
                <w:szCs w:val="21"/>
                <w:highlight w:val="none"/>
                <w:vertAlign w:val="baseline"/>
                <w:lang w:val="en-US" w:eastAsia="zh-CN"/>
                <w14:textFill>
                  <w14:solidFill>
                    <w14:schemeClr w14:val="tx1"/>
                  </w14:solidFill>
                </w14:textFill>
              </w:rPr>
              <w:t>2</w:t>
            </w:r>
            <w:r>
              <w:rPr>
                <w:rFonts w:hint="eastAsia" w:ascii="Times New Roman" w:hAnsi="Times New Roman" w:eastAsia="宋体"/>
                <w:b w:val="0"/>
                <w:color w:val="000000" w:themeColor="text1"/>
                <w:sz w:val="21"/>
                <w:szCs w:val="21"/>
                <w:highlight w:val="none"/>
                <w:vertAlign w:val="baseline"/>
                <w14:textFill>
                  <w14:solidFill>
                    <w14:schemeClr w14:val="tx1"/>
                  </w14:solidFill>
                </w14:textFill>
              </w:rPr>
              <w:t>）排放</w:t>
            </w:r>
          </w:p>
        </w:tc>
        <w:tc>
          <w:tcPr>
            <w:tcW w:w="2983" w:type="dxa"/>
            <w:tcBorders>
              <w:tl2br w:val="nil"/>
              <w:tr2bl w:val="nil"/>
            </w:tcBorders>
            <w:vAlign w:val="center"/>
          </w:tcPr>
          <w:p w14:paraId="34721BD0">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eastAsia" w:ascii="Times New Roman" w:hAnsi="Times New Roman" w:eastAsia="宋体"/>
                <w:color w:val="000000" w:themeColor="text1"/>
                <w:sz w:val="21"/>
                <w:szCs w:val="21"/>
                <w:highlight w:val="none"/>
                <w:vertAlign w:val="baseline"/>
                <w:lang w:eastAsia="zh-CN"/>
                <w14:textFill>
                  <w14:solidFill>
                    <w14:schemeClr w14:val="tx1"/>
                  </w14:solidFill>
                </w14:textFill>
              </w:rPr>
              <w:t>《大气污染物综合排放标准》（GB16297－1996）</w:t>
            </w:r>
          </w:p>
        </w:tc>
      </w:tr>
      <w:tr w14:paraId="5527AA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0" w:type="dxa"/>
            <w:vMerge w:val="continue"/>
            <w:tcBorders>
              <w:tl2br w:val="nil"/>
              <w:tr2bl w:val="nil"/>
            </w:tcBorders>
            <w:vAlign w:val="center"/>
          </w:tcPr>
          <w:p w14:paraId="62C86AFE">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p>
        </w:tc>
        <w:tc>
          <w:tcPr>
            <w:tcW w:w="398" w:type="dxa"/>
            <w:tcBorders>
              <w:tl2br w:val="nil"/>
              <w:tr2bl w:val="nil"/>
            </w:tcBorders>
            <w:vAlign w:val="center"/>
          </w:tcPr>
          <w:p w14:paraId="07B10D6D">
            <w:pPr>
              <w:pStyle w:val="193"/>
              <w:snapToGrid w:val="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无组织</w:t>
            </w:r>
          </w:p>
        </w:tc>
        <w:tc>
          <w:tcPr>
            <w:tcW w:w="790" w:type="dxa"/>
            <w:tcBorders>
              <w:tl2br w:val="nil"/>
              <w:tr2bl w:val="nil"/>
            </w:tcBorders>
            <w:vAlign w:val="center"/>
          </w:tcPr>
          <w:p w14:paraId="58A9654F">
            <w:pPr>
              <w:pStyle w:val="193"/>
              <w:snapToGrid w:val="0"/>
              <w:jc w:val="both"/>
              <w:rPr>
                <w:rFonts w:hint="default" w:ascii="Times New Roman" w:hAnsi="Times New Roman" w:cs="Times New Roman"/>
                <w:color w:val="000000" w:themeColor="text1"/>
                <w:spacing w:val="0"/>
                <w:sz w:val="21"/>
                <w:szCs w:val="21"/>
                <w14:textFill>
                  <w14:solidFill>
                    <w14:schemeClr w14:val="tx1"/>
                  </w14:solidFill>
                </w14:textFill>
              </w:rPr>
            </w:pPr>
            <w:r>
              <w:rPr>
                <w:rFonts w:hint="eastAsia" w:ascii="Times New Roman" w:hAnsi="Times New Roman" w:eastAsia="宋体"/>
                <w:color w:val="000000" w:themeColor="text1"/>
                <w:sz w:val="21"/>
                <w:szCs w:val="21"/>
                <w:highlight w:val="none"/>
                <w:vertAlign w:val="baseline"/>
                <w:lang w:val="en-US" w:eastAsia="zh-CN"/>
                <w14:textFill>
                  <w14:solidFill>
                    <w14:schemeClr w14:val="tx1"/>
                  </w14:solidFill>
                </w14:textFill>
              </w:rPr>
              <w:t>厂界</w:t>
            </w:r>
          </w:p>
        </w:tc>
        <w:tc>
          <w:tcPr>
            <w:tcW w:w="1131" w:type="dxa"/>
            <w:tcBorders>
              <w:tl2br w:val="nil"/>
              <w:tr2bl w:val="nil"/>
            </w:tcBorders>
            <w:vAlign w:val="center"/>
          </w:tcPr>
          <w:p w14:paraId="2E5CC692">
            <w:pPr>
              <w:pStyle w:val="17"/>
              <w:spacing w:line="400" w:lineRule="exact"/>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b w:val="0"/>
                <w:bCs/>
                <w:color w:val="000000" w:themeColor="text1"/>
                <w:sz w:val="21"/>
                <w:szCs w:val="21"/>
                <w:vertAlign w:val="baseline"/>
                <w:lang w:val="en-US" w:eastAsia="zh-CN"/>
                <w14:textFill>
                  <w14:solidFill>
                    <w14:schemeClr w14:val="tx1"/>
                  </w14:solidFill>
                </w14:textFill>
              </w:rPr>
              <w:t>颗粒物</w:t>
            </w:r>
          </w:p>
        </w:tc>
        <w:tc>
          <w:tcPr>
            <w:tcW w:w="2595" w:type="dxa"/>
            <w:tcBorders>
              <w:tl2br w:val="nil"/>
              <w:tr2bl w:val="nil"/>
            </w:tcBorders>
            <w:vAlign w:val="center"/>
          </w:tcPr>
          <w:p w14:paraId="383A9CD1">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b w:val="0"/>
                <w:color w:val="000000" w:themeColor="text1"/>
                <w:sz w:val="21"/>
                <w:szCs w:val="21"/>
                <w14:textFill>
                  <w14:solidFill>
                    <w14:schemeClr w14:val="tx1"/>
                  </w14:solidFill>
                </w14:textFill>
              </w:rPr>
              <w:t>密闭车间</w:t>
            </w:r>
            <w:r>
              <w:rPr>
                <w:rFonts w:hint="eastAsia"/>
                <w:b w:val="0"/>
                <w:color w:val="000000" w:themeColor="text1"/>
                <w:sz w:val="21"/>
                <w:szCs w:val="21"/>
                <w:lang w:eastAsia="zh-CN"/>
                <w14:textFill>
                  <w14:solidFill>
                    <w14:schemeClr w14:val="tx1"/>
                  </w14:solidFill>
                </w14:textFill>
              </w:rPr>
              <w:t>、</w:t>
            </w:r>
            <w:r>
              <w:rPr>
                <w:rFonts w:hint="eastAsia"/>
                <w:b w:val="0"/>
                <w:color w:val="000000" w:themeColor="text1"/>
                <w:sz w:val="21"/>
                <w:szCs w:val="21"/>
                <w:highlight w:val="none"/>
                <w:vertAlign w:val="baseline"/>
                <w:lang w:val="en-US" w:eastAsia="zh-CN"/>
                <w14:textFill>
                  <w14:solidFill>
                    <w14:schemeClr w14:val="tx1"/>
                  </w14:solidFill>
                </w14:textFill>
              </w:rPr>
              <w:t>防风抑尘网+洒水</w:t>
            </w:r>
          </w:p>
        </w:tc>
        <w:tc>
          <w:tcPr>
            <w:tcW w:w="2983" w:type="dxa"/>
            <w:tcBorders>
              <w:tl2br w:val="nil"/>
              <w:tr2bl w:val="nil"/>
            </w:tcBorders>
            <w:vAlign w:val="center"/>
          </w:tcPr>
          <w:p w14:paraId="3B9EC63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《大气污染物综合排放标准》（GB16297－1996）</w:t>
            </w:r>
          </w:p>
        </w:tc>
      </w:tr>
      <w:tr w14:paraId="0151E9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130" w:type="dxa"/>
            <w:tcBorders>
              <w:tl2br w:val="nil"/>
              <w:tr2bl w:val="nil"/>
            </w:tcBorders>
            <w:vAlign w:val="center"/>
          </w:tcPr>
          <w:p w14:paraId="6D9EA241">
            <w:pPr>
              <w:pStyle w:val="17"/>
              <w:spacing w:line="400" w:lineRule="exact"/>
              <w:rPr>
                <w:rFonts w:hint="default" w:ascii="Times New Roman" w:hAnsi="Times New Roman" w:eastAsia="宋体" w:cs="Times New Roman"/>
                <w:b/>
                <w:bCs/>
                <w:color w:val="000000" w:themeColor="text1"/>
                <w:spacing w:val="0"/>
                <w:sz w:val="21"/>
                <w:szCs w:val="21"/>
                <w:lang w:val="en-US" w:eastAsia="zh-CN"/>
                <w14:textFill>
                  <w14:solidFill>
                    <w14:schemeClr w14:val="tx1"/>
                  </w14:solidFill>
                </w14:textFill>
              </w:rPr>
            </w:pPr>
            <w:r>
              <w:rPr>
                <w:rFonts w:hint="eastAsia" w:cs="Times New Roman"/>
                <w:b/>
                <w:bCs/>
                <w:color w:val="000000" w:themeColor="text1"/>
                <w:spacing w:val="0"/>
                <w:sz w:val="21"/>
                <w:szCs w:val="21"/>
                <w:lang w:val="en-US" w:eastAsia="zh-CN"/>
                <w14:textFill>
                  <w14:solidFill>
                    <w14:schemeClr w14:val="tx1"/>
                  </w14:solidFill>
                </w14:textFill>
              </w:rPr>
              <w:t>地表水环境</w:t>
            </w:r>
          </w:p>
        </w:tc>
        <w:tc>
          <w:tcPr>
            <w:tcW w:w="1188" w:type="dxa"/>
            <w:gridSpan w:val="2"/>
            <w:tcBorders>
              <w:tl2br w:val="nil"/>
              <w:tr2bl w:val="nil"/>
            </w:tcBorders>
            <w:vAlign w:val="center"/>
          </w:tcPr>
          <w:p w14:paraId="18FCC75F">
            <w:pPr>
              <w:pStyle w:val="17"/>
              <w:spacing w:line="240" w:lineRule="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生活污水</w:t>
            </w:r>
          </w:p>
        </w:tc>
        <w:tc>
          <w:tcPr>
            <w:tcW w:w="1131" w:type="dxa"/>
            <w:tcBorders>
              <w:tl2br w:val="nil"/>
              <w:tr2bl w:val="nil"/>
            </w:tcBorders>
            <w:vAlign w:val="center"/>
          </w:tcPr>
          <w:p w14:paraId="2604E207">
            <w:pPr>
              <w:pStyle w:val="17"/>
              <w:spacing w:line="240" w:lineRule="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PH、SS、COD、BOD、氨氮</w:t>
            </w:r>
          </w:p>
        </w:tc>
        <w:tc>
          <w:tcPr>
            <w:tcW w:w="2595" w:type="dxa"/>
            <w:tcBorders>
              <w:tl2br w:val="nil"/>
              <w:tr2bl w:val="nil"/>
            </w:tcBorders>
            <w:vAlign w:val="center"/>
          </w:tcPr>
          <w:p w14:paraId="40608BE9">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eastAsia" w:ascii="Times New Roman" w:hAnsi="Times New Roman" w:eastAsia="宋体" w:cs="Times New Roman"/>
                <w:b w:val="0"/>
                <w:color w:val="000000" w:themeColor="text1"/>
                <w:sz w:val="21"/>
                <w:szCs w:val="21"/>
                <w:highlight w:val="none"/>
                <w:vertAlign w:val="baseline"/>
                <w:lang w:val="en-US" w:eastAsia="zh-CN"/>
                <w14:textFill>
                  <w14:solidFill>
                    <w14:schemeClr w14:val="tx1"/>
                  </w14:solidFill>
                </w14:textFill>
              </w:rPr>
              <w:t>化粪池收集后由吸污车运往</w:t>
            </w:r>
            <w:r>
              <w:rPr>
                <w:rFonts w:hint="default" w:ascii="Times New Roman" w:hAnsi="Times New Roman" w:eastAsia="宋体" w:cs="Times New Roman"/>
                <w:b w:val="0"/>
                <w:color w:val="000000" w:themeColor="text1"/>
                <w:spacing w:val="0"/>
                <w:sz w:val="21"/>
                <w:szCs w:val="21"/>
                <w:lang w:val="en-US" w:eastAsia="zh-CN"/>
                <w14:textFill>
                  <w14:solidFill>
                    <w14:schemeClr w14:val="tx1"/>
                  </w14:solidFill>
                </w14:textFill>
              </w:rPr>
              <w:t>昌吉市第二污水处理厂</w:t>
            </w:r>
            <w:r>
              <w:rPr>
                <w:rFonts w:hint="eastAsia" w:ascii="Times New Roman" w:hAnsi="Times New Roman" w:eastAsia="宋体" w:cs="Times New Roman"/>
                <w:b w:val="0"/>
                <w:color w:val="000000" w:themeColor="text1"/>
                <w:sz w:val="21"/>
                <w:szCs w:val="21"/>
                <w:highlight w:val="none"/>
                <w:vertAlign w:val="baseline"/>
                <w:lang w:val="en-US" w:eastAsia="zh-CN"/>
                <w14:textFill>
                  <w14:solidFill>
                    <w14:schemeClr w14:val="tx1"/>
                  </w14:solidFill>
                </w14:textFill>
              </w:rPr>
              <w:t>处理</w:t>
            </w:r>
          </w:p>
        </w:tc>
        <w:tc>
          <w:tcPr>
            <w:tcW w:w="2983" w:type="dxa"/>
            <w:tcBorders>
              <w:tl2br w:val="nil"/>
              <w:tr2bl w:val="nil"/>
            </w:tcBorders>
            <w:vAlign w:val="center"/>
          </w:tcPr>
          <w:p w14:paraId="779F9077">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《污水综合排放标准》（GB8978-1996）中三级标准限值。</w:t>
            </w:r>
          </w:p>
        </w:tc>
      </w:tr>
      <w:tr w14:paraId="07B6D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30" w:type="dxa"/>
            <w:tcBorders>
              <w:tl2br w:val="nil"/>
              <w:tr2bl w:val="nil"/>
            </w:tcBorders>
            <w:vAlign w:val="center"/>
          </w:tcPr>
          <w:p w14:paraId="7A7C589A">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声环境</w:t>
            </w:r>
          </w:p>
        </w:tc>
        <w:tc>
          <w:tcPr>
            <w:tcW w:w="1188" w:type="dxa"/>
            <w:gridSpan w:val="2"/>
            <w:tcBorders>
              <w:tl2br w:val="nil"/>
              <w:tr2bl w:val="nil"/>
            </w:tcBorders>
            <w:vAlign w:val="center"/>
          </w:tcPr>
          <w:p w14:paraId="0F6017D7">
            <w:pPr>
              <w:pStyle w:val="17"/>
              <w:spacing w:line="400" w:lineRule="exact"/>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设备运行</w:t>
            </w:r>
          </w:p>
        </w:tc>
        <w:tc>
          <w:tcPr>
            <w:tcW w:w="1131" w:type="dxa"/>
            <w:tcBorders>
              <w:tl2br w:val="nil"/>
              <w:tr2bl w:val="nil"/>
            </w:tcBorders>
            <w:vAlign w:val="center"/>
          </w:tcPr>
          <w:p w14:paraId="747F4B60">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设备运行噪声</w:t>
            </w:r>
          </w:p>
        </w:tc>
        <w:tc>
          <w:tcPr>
            <w:tcW w:w="2595" w:type="dxa"/>
            <w:tcBorders>
              <w:tl2br w:val="nil"/>
              <w:tr2bl w:val="nil"/>
            </w:tcBorders>
            <w:vAlign w:val="center"/>
          </w:tcPr>
          <w:p w14:paraId="527B8B86">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低噪声设备、基础减振、隔声、消声等</w:t>
            </w:r>
          </w:p>
        </w:tc>
        <w:tc>
          <w:tcPr>
            <w:tcW w:w="2983" w:type="dxa"/>
            <w:tcBorders>
              <w:tl2br w:val="nil"/>
              <w:tr2bl w:val="nil"/>
            </w:tcBorders>
            <w:vAlign w:val="center"/>
          </w:tcPr>
          <w:p w14:paraId="68A47203">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《工业企业厂界环境噪声排放标准》（GB12348-2008）</w:t>
            </w:r>
            <w:r>
              <w:rPr>
                <w:rFonts w:hint="eastAsia" w:cs="Times New Roman"/>
                <w:color w:val="000000" w:themeColor="text1"/>
                <w:spacing w:val="0"/>
                <w:sz w:val="21"/>
                <w:szCs w:val="21"/>
                <w:lang w:val="en-US" w:eastAsia="zh-CN"/>
                <w14:textFill>
                  <w14:solidFill>
                    <w14:schemeClr w14:val="tx1"/>
                  </w14:solidFill>
                </w14:textFill>
              </w:rPr>
              <w:t>2</w:t>
            </w:r>
            <w:r>
              <w:rPr>
                <w:rFonts w:hint="default" w:ascii="Times New Roman" w:hAnsi="Times New Roman" w:cs="Times New Roman"/>
                <w:color w:val="000000" w:themeColor="text1"/>
                <w:spacing w:val="0"/>
                <w:sz w:val="21"/>
                <w:szCs w:val="21"/>
                <w14:textFill>
                  <w14:solidFill>
                    <w14:schemeClr w14:val="tx1"/>
                  </w14:solidFill>
                </w14:textFill>
              </w:rPr>
              <w:t>类标准</w:t>
            </w:r>
          </w:p>
        </w:tc>
      </w:tr>
      <w:tr w14:paraId="2F74B5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tcBorders>
              <w:tl2br w:val="nil"/>
              <w:tr2bl w:val="nil"/>
            </w:tcBorders>
            <w:vAlign w:val="center"/>
          </w:tcPr>
          <w:p w14:paraId="0B858CBE">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电磁辐射</w:t>
            </w:r>
          </w:p>
        </w:tc>
        <w:tc>
          <w:tcPr>
            <w:tcW w:w="7897" w:type="dxa"/>
            <w:gridSpan w:val="5"/>
            <w:tcBorders>
              <w:tl2br w:val="nil"/>
              <w:tr2bl w:val="nil"/>
            </w:tcBorders>
            <w:vAlign w:val="center"/>
          </w:tcPr>
          <w:p w14:paraId="1D75135E">
            <w:pPr>
              <w:pStyle w:val="17"/>
              <w:spacing w:line="400" w:lineRule="exact"/>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无</w:t>
            </w:r>
          </w:p>
        </w:tc>
      </w:tr>
      <w:tr w14:paraId="5465BB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130" w:type="dxa"/>
            <w:tcBorders>
              <w:tl2br w:val="nil"/>
              <w:tr2bl w:val="nil"/>
            </w:tcBorders>
            <w:vAlign w:val="center"/>
          </w:tcPr>
          <w:p w14:paraId="2B60B386">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固体废物</w:t>
            </w:r>
          </w:p>
        </w:tc>
        <w:tc>
          <w:tcPr>
            <w:tcW w:w="7897" w:type="dxa"/>
            <w:gridSpan w:val="5"/>
            <w:tcBorders>
              <w:tl2br w:val="nil"/>
              <w:tr2bl w:val="nil"/>
            </w:tcBorders>
            <w:vAlign w:val="center"/>
          </w:tcPr>
          <w:p w14:paraId="37D3D381">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一般固体废物处理措施和处置方案均能够满足《</w:t>
            </w:r>
            <w:r>
              <w:rPr>
                <w:rFonts w:hint="eastAsia" w:cs="Times New Roman"/>
                <w:color w:val="000000" w:themeColor="text1"/>
                <w:spacing w:val="0"/>
                <w:sz w:val="21"/>
                <w:szCs w:val="21"/>
                <w:lang w:eastAsia="zh-CN"/>
                <w14:textFill>
                  <w14:solidFill>
                    <w14:schemeClr w14:val="tx1"/>
                  </w14:solidFill>
                </w14:textFill>
              </w:rPr>
              <w:t>中华人民共和国固体废物污染环境防治法</w:t>
            </w:r>
            <w:r>
              <w:rPr>
                <w:rFonts w:hint="default" w:ascii="Times New Roman" w:hAnsi="Times New Roman" w:cs="Times New Roman"/>
                <w:color w:val="000000" w:themeColor="text1"/>
                <w:spacing w:val="0"/>
                <w:sz w:val="21"/>
                <w:szCs w:val="21"/>
                <w14:textFill>
                  <w14:solidFill>
                    <w14:schemeClr w14:val="tx1"/>
                  </w14:solidFill>
                </w14:textFill>
              </w:rPr>
              <w:t>》的要求；危险废物处理措施和处置方案均能够满足《危险废物贮存污染控制标准》（GB18597-2023）要求</w:t>
            </w:r>
          </w:p>
        </w:tc>
      </w:tr>
      <w:tr w14:paraId="74EF45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1130" w:type="dxa"/>
            <w:tcBorders>
              <w:tl2br w:val="nil"/>
              <w:tr2bl w:val="nil"/>
            </w:tcBorders>
            <w:vAlign w:val="center"/>
          </w:tcPr>
          <w:p w14:paraId="4469B324">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土壤及地下水污染防治措施</w:t>
            </w:r>
          </w:p>
        </w:tc>
        <w:tc>
          <w:tcPr>
            <w:tcW w:w="7897" w:type="dxa"/>
            <w:gridSpan w:val="5"/>
            <w:tcBorders>
              <w:tl2br w:val="nil"/>
              <w:tr2bl w:val="nil"/>
            </w:tcBorders>
            <w:vAlign w:val="center"/>
          </w:tcPr>
          <w:p w14:paraId="260A51C2">
            <w:pPr>
              <w:pStyle w:val="17"/>
              <w:spacing w:line="24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lang w:val="en-US" w:eastAsia="zh-CN"/>
                <w14:textFill>
                  <w14:solidFill>
                    <w14:schemeClr w14:val="tx1"/>
                  </w14:solidFill>
                </w14:textFill>
              </w:rPr>
              <w:t>产车间地面硬化，做好防渗工作；一般固废区铺设防渗混凝土，做好防渗工作，并及时收集清运；危废</w:t>
            </w:r>
            <w:r>
              <w:rPr>
                <w:rFonts w:hint="eastAsia" w:cs="Times New Roman"/>
                <w:color w:val="000000" w:themeColor="text1"/>
                <w:spacing w:val="0"/>
                <w:sz w:val="21"/>
                <w:szCs w:val="21"/>
                <w:lang w:val="en-US" w:eastAsia="zh-CN"/>
                <w14:textFill>
                  <w14:solidFill>
                    <w14:schemeClr w14:val="tx1"/>
                  </w14:solidFill>
                </w14:textFill>
              </w:rPr>
              <w:t>贮存</w:t>
            </w:r>
            <w:r>
              <w:rPr>
                <w:rFonts w:hint="default" w:ascii="Times New Roman" w:hAnsi="Times New Roman" w:cs="Times New Roman"/>
                <w:color w:val="000000" w:themeColor="text1"/>
                <w:spacing w:val="0"/>
                <w:sz w:val="21"/>
                <w:szCs w:val="21"/>
                <w:lang w:val="en-US" w:eastAsia="zh-CN"/>
                <w14:textFill>
                  <w14:solidFill>
                    <w14:schemeClr w14:val="tx1"/>
                  </w14:solidFill>
                </w14:textFill>
              </w:rPr>
              <w:t>按照</w:t>
            </w:r>
            <w:r>
              <w:rPr>
                <w:rFonts w:hint="default" w:ascii="Times New Roman" w:hAnsi="Times New Roman" w:cs="Times New Roman"/>
                <w:color w:val="000000" w:themeColor="text1"/>
                <w:spacing w:val="0"/>
                <w:sz w:val="21"/>
                <w:szCs w:val="21"/>
                <w14:textFill>
                  <w14:solidFill>
                    <w14:schemeClr w14:val="tx1"/>
                  </w14:solidFill>
                </w14:textFill>
              </w:rPr>
              <w:t>《危险废物贮存污染控制标准》（GB18597-2023）</w:t>
            </w:r>
            <w:r>
              <w:rPr>
                <w:rFonts w:hint="default" w:ascii="Times New Roman" w:hAnsi="Times New Roman" w:cs="Times New Roman"/>
                <w:color w:val="000000" w:themeColor="text1"/>
                <w:spacing w:val="0"/>
                <w:sz w:val="21"/>
                <w:szCs w:val="21"/>
                <w:lang w:val="en-US" w:eastAsia="zh-CN"/>
                <w14:textFill>
                  <w14:solidFill>
                    <w14:schemeClr w14:val="tx1"/>
                  </w14:solidFill>
                </w14:textFill>
              </w:rPr>
              <w:t>有关规定进行设置和储存管理。</w:t>
            </w:r>
          </w:p>
        </w:tc>
      </w:tr>
      <w:tr w14:paraId="2300BC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130" w:type="dxa"/>
            <w:tcBorders>
              <w:tl2br w:val="nil"/>
              <w:tr2bl w:val="nil"/>
            </w:tcBorders>
            <w:vAlign w:val="center"/>
          </w:tcPr>
          <w:p w14:paraId="1A4E4C1D">
            <w:pPr>
              <w:pStyle w:val="17"/>
              <w:spacing w:line="400" w:lineRule="exact"/>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生态保护措施</w:t>
            </w:r>
          </w:p>
        </w:tc>
        <w:tc>
          <w:tcPr>
            <w:tcW w:w="7897" w:type="dxa"/>
            <w:gridSpan w:val="5"/>
            <w:tcBorders>
              <w:tl2br w:val="nil"/>
              <w:tr2bl w:val="nil"/>
            </w:tcBorders>
            <w:vAlign w:val="center"/>
          </w:tcPr>
          <w:p w14:paraId="48CAB14D">
            <w:pPr>
              <w:pStyle w:val="17"/>
              <w:spacing w:line="360" w:lineRule="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项目通过加强厂界周围环境现有植被的管护，起到降低噪声、吸收尘粒、净化空气的作用，同时也可以防止水土流失，减少对区域生态环境的影响。</w:t>
            </w:r>
          </w:p>
        </w:tc>
      </w:tr>
      <w:tr w14:paraId="1728FF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11" w:hRule="atLeast"/>
          <w:jc w:val="center"/>
        </w:trPr>
        <w:tc>
          <w:tcPr>
            <w:tcW w:w="1130" w:type="dxa"/>
            <w:tcBorders>
              <w:tl2br w:val="nil"/>
              <w:tr2bl w:val="nil"/>
            </w:tcBorders>
            <w:vAlign w:val="center"/>
          </w:tcPr>
          <w:p w14:paraId="6E54F8AB">
            <w:pPr>
              <w:spacing w:line="400" w:lineRule="exact"/>
              <w:ind w:firstLine="0" w:firstLineChars="0"/>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环境风险防范措施</w:t>
            </w:r>
          </w:p>
        </w:tc>
        <w:tc>
          <w:tcPr>
            <w:tcW w:w="7897" w:type="dxa"/>
            <w:gridSpan w:val="5"/>
            <w:tcBorders>
              <w:tl2br w:val="nil"/>
              <w:tr2bl w:val="nil"/>
            </w:tcBorders>
            <w:vAlign w:val="center"/>
          </w:tcPr>
          <w:p w14:paraId="22670E48">
            <w:pPr>
              <w:pStyle w:val="17"/>
              <w:spacing w:line="360" w:lineRule="auto"/>
              <w:jc w:val="both"/>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pacing w:val="0"/>
                <w:sz w:val="21"/>
                <w:szCs w:val="21"/>
                <w14:textFill>
                  <w14:solidFill>
                    <w14:schemeClr w14:val="tx1"/>
                  </w14:solidFill>
                </w14:textFill>
              </w:rPr>
              <w:t>规范润滑油等油料储存，危废</w:t>
            </w:r>
            <w:r>
              <w:rPr>
                <w:rFonts w:hint="eastAsia" w:cs="Times New Roman"/>
                <w:color w:val="000000" w:themeColor="text1"/>
                <w:spacing w:val="0"/>
                <w:sz w:val="21"/>
                <w:szCs w:val="21"/>
                <w:lang w:val="en-US" w:eastAsia="zh-CN"/>
                <w14:textFill>
                  <w14:solidFill>
                    <w14:schemeClr w14:val="tx1"/>
                  </w14:solidFill>
                </w14:textFill>
              </w:rPr>
              <w:t>贮存库</w:t>
            </w:r>
            <w:r>
              <w:rPr>
                <w:rFonts w:hint="default" w:ascii="Times New Roman" w:hAnsi="Times New Roman" w:eastAsia="宋体" w:cs="Times New Roman"/>
                <w:color w:val="000000" w:themeColor="text1"/>
                <w:spacing w:val="0"/>
                <w:sz w:val="21"/>
                <w:szCs w:val="21"/>
                <w14:textFill>
                  <w14:solidFill>
                    <w14:schemeClr w14:val="tx1"/>
                  </w14:solidFill>
                </w14:textFill>
              </w:rPr>
              <w:t>实行防渗、防雨、密闭设置，设置导流沟与应急收集池，配套吸油毡、沙袋等应急物资，防范废矿物油泄漏污染土壤及地下水。</w:t>
            </w:r>
          </w:p>
          <w:p w14:paraId="0A121676">
            <w:pPr>
              <w:pStyle w:val="17"/>
              <w:spacing w:line="360" w:lineRule="auto"/>
              <w:jc w:val="both"/>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pacing w:val="0"/>
                <w:sz w:val="21"/>
                <w:szCs w:val="21"/>
                <w14:textFill>
                  <w14:solidFill>
                    <w14:schemeClr w14:val="tx1"/>
                  </w14:solidFill>
                </w14:textFill>
              </w:rPr>
              <w:t>厂区实施分区防渗设计，生产区、危废贮存</w:t>
            </w:r>
            <w:r>
              <w:rPr>
                <w:rFonts w:hint="eastAsia" w:cs="Times New Roman"/>
                <w:color w:val="000000" w:themeColor="text1"/>
                <w:spacing w:val="0"/>
                <w:sz w:val="21"/>
                <w:szCs w:val="21"/>
                <w:lang w:val="en-US" w:eastAsia="zh-CN"/>
                <w14:textFill>
                  <w14:solidFill>
                    <w14:schemeClr w14:val="tx1"/>
                  </w14:solidFill>
                </w14:textFill>
              </w:rPr>
              <w:t>库</w:t>
            </w:r>
            <w:r>
              <w:rPr>
                <w:rFonts w:hint="default" w:ascii="Times New Roman" w:hAnsi="Times New Roman" w:eastAsia="宋体" w:cs="Times New Roman"/>
                <w:color w:val="000000" w:themeColor="text1"/>
                <w:spacing w:val="0"/>
                <w:sz w:val="21"/>
                <w:szCs w:val="21"/>
                <w14:textFill>
                  <w14:solidFill>
                    <w14:schemeClr w14:val="tx1"/>
                  </w14:solidFill>
                </w14:textFill>
              </w:rPr>
              <w:t>做好硬化防渗，定期检查地面破损情况，阻断污染物下渗途径，降低地下水污染风险。</w:t>
            </w:r>
          </w:p>
          <w:p w14:paraId="158AA310">
            <w:pPr>
              <w:pStyle w:val="17"/>
              <w:spacing w:line="360" w:lineRule="auto"/>
              <w:jc w:val="both"/>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pacing w:val="0"/>
                <w:sz w:val="21"/>
                <w:szCs w:val="21"/>
                <w14:textFill>
                  <w14:solidFill>
                    <w14:schemeClr w14:val="tx1"/>
                  </w14:solidFill>
                </w14:textFill>
              </w:rPr>
              <w:t>建立扬尘、火灾风险管控机制，厂区配齐消防器材；物料密闭堆放，严控无组织粉尘，避免粉尘遇明火引发火情；定期开展设备检修，减少机械故障漏油风险。</w:t>
            </w:r>
          </w:p>
          <w:p w14:paraId="152BC427">
            <w:pPr>
              <w:pStyle w:val="17"/>
              <w:spacing w:line="360" w:lineRule="auto"/>
              <w:jc w:val="both"/>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4.</w:t>
            </w:r>
            <w:r>
              <w:rPr>
                <w:rFonts w:hint="default" w:ascii="Times New Roman" w:hAnsi="Times New Roman" w:eastAsia="宋体" w:cs="Times New Roman"/>
                <w:color w:val="000000" w:themeColor="text1"/>
                <w:spacing w:val="0"/>
                <w:sz w:val="21"/>
                <w:szCs w:val="21"/>
                <w14:textFill>
                  <w14:solidFill>
                    <w14:schemeClr w14:val="tx1"/>
                  </w14:solidFill>
                </w14:textFill>
              </w:rPr>
              <w:t>完善厂区雨水导排系统，设置截排水沟，防止事故状态下泄漏油品、含泥废水随雨水外流，避免污染物扩散至厂区外区域。</w:t>
            </w:r>
          </w:p>
          <w:p w14:paraId="74696D2A">
            <w:pPr>
              <w:pStyle w:val="17"/>
              <w:spacing w:line="360" w:lineRule="auto"/>
              <w:jc w:val="both"/>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pacing w:val="0"/>
                <w:sz w:val="21"/>
                <w:szCs w:val="21"/>
                <w14:textFill>
                  <w14:solidFill>
                    <w14:schemeClr w14:val="tx1"/>
                  </w14:solidFill>
                </w14:textFill>
              </w:rPr>
              <w:t>健全环境风险应急管理制度，编制应急预案，定期组织应急演练；明确应急处置流程，一旦发生泄漏等突发状况，第一时间启动应急收集、封堵处置。</w:t>
            </w:r>
          </w:p>
          <w:p w14:paraId="1D385BB5">
            <w:pPr>
              <w:pStyle w:val="17"/>
              <w:spacing w:line="360" w:lineRule="auto"/>
              <w:jc w:val="both"/>
              <w:rPr>
                <w:rFonts w:hint="default" w:ascii="Times New Roman" w:hAnsi="Times New Roman" w:eastAsia="宋体" w:cs="Times New Roman"/>
                <w:color w:val="000000" w:themeColor="text1"/>
                <w:spacing w:val="0"/>
                <w:sz w:val="21"/>
                <w:szCs w:val="21"/>
                <w14:textFill>
                  <w14:solidFill>
                    <w14:schemeClr w14:val="tx1"/>
                  </w14:solidFill>
                </w14:textFill>
              </w:rPr>
            </w:pP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6.</w:t>
            </w:r>
            <w:r>
              <w:rPr>
                <w:rFonts w:hint="default" w:ascii="Times New Roman" w:hAnsi="Times New Roman" w:eastAsia="宋体" w:cs="Times New Roman"/>
                <w:color w:val="000000" w:themeColor="text1"/>
                <w:spacing w:val="0"/>
                <w:sz w:val="21"/>
                <w:szCs w:val="21"/>
                <w14:textFill>
                  <w14:solidFill>
                    <w14:schemeClr w14:val="tx1"/>
                  </w14:solidFill>
                </w14:textFill>
              </w:rPr>
              <w:t>落实风险常态化管理，建立风险物资台账，加强员工环保风险培训；日常开展厂区风险隐患巡查，及时排查整治隐患，最大限度降低突发环境事件发生概率。</w:t>
            </w:r>
          </w:p>
        </w:tc>
      </w:tr>
      <w:tr w14:paraId="50AC31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1" w:hRule="atLeast"/>
          <w:jc w:val="center"/>
        </w:trPr>
        <w:tc>
          <w:tcPr>
            <w:tcW w:w="1130" w:type="dxa"/>
            <w:tcBorders>
              <w:tl2br w:val="nil"/>
              <w:tr2bl w:val="nil"/>
            </w:tcBorders>
            <w:vAlign w:val="center"/>
          </w:tcPr>
          <w:p w14:paraId="1AEE1C2F">
            <w:pPr>
              <w:spacing w:line="400" w:lineRule="exact"/>
              <w:ind w:firstLine="0" w:firstLineChars="0"/>
              <w:rPr>
                <w:rFonts w:hint="default" w:ascii="Times New Roman" w:hAnsi="Times New Roman" w:cs="Times New Roman"/>
                <w:b/>
                <w:bCs/>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其他环境管理要求</w:t>
            </w:r>
          </w:p>
        </w:tc>
        <w:tc>
          <w:tcPr>
            <w:tcW w:w="7897" w:type="dxa"/>
            <w:gridSpan w:val="5"/>
            <w:tcBorders>
              <w:tl2br w:val="nil"/>
              <w:tr2bl w:val="nil"/>
            </w:tcBorders>
            <w:vAlign w:val="center"/>
          </w:tcPr>
          <w:p w14:paraId="3BBBF3B1">
            <w:pPr>
              <w:spacing w:line="400" w:lineRule="exact"/>
              <w:ind w:firstLine="420"/>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依据国务院办公厅关于印发《控制污染物排放许可制实施方案》的通知（国办发</w:t>
            </w:r>
            <w:r>
              <w:rPr>
                <w:rFonts w:hint="eastAsia" w:cs="Times New Roman"/>
                <w:color w:val="000000" w:themeColor="text1"/>
                <w:spacing w:val="0"/>
                <w:sz w:val="21"/>
                <w:szCs w:val="21"/>
                <w:lang w:eastAsia="zh-CN"/>
                <w14:textFill>
                  <w14:solidFill>
                    <w14:schemeClr w14:val="tx1"/>
                  </w14:solidFill>
                </w14:textFill>
              </w:rPr>
              <w:t>〔2016〕81号</w:t>
            </w:r>
            <w:r>
              <w:rPr>
                <w:rFonts w:hint="default" w:ascii="Times New Roman" w:hAnsi="Times New Roman" w:cs="Times New Roman"/>
                <w:color w:val="000000" w:themeColor="text1"/>
                <w:spacing w:val="0"/>
                <w:sz w:val="21"/>
                <w:szCs w:val="21"/>
                <w14:textFill>
                  <w14:solidFill>
                    <w14:schemeClr w14:val="tx1"/>
                  </w14:solidFill>
                </w14:textFill>
              </w:rPr>
              <w:t>）中的</w:t>
            </w:r>
            <w:r>
              <w:rPr>
                <w:rFonts w:hint="eastAsia" w:cs="Times New Roman"/>
                <w:color w:val="000000" w:themeColor="text1"/>
                <w:spacing w:val="0"/>
                <w:sz w:val="21"/>
                <w:szCs w:val="21"/>
                <w:lang w:eastAsia="zh-CN"/>
                <w14:textFill>
                  <w14:solidFill>
                    <w14:schemeClr w14:val="tx1"/>
                  </w14:solidFill>
                </w14:textFill>
              </w:rPr>
              <w:t>相关</w:t>
            </w:r>
            <w:r>
              <w:rPr>
                <w:rFonts w:hint="default" w:ascii="Times New Roman" w:hAnsi="Times New Roman" w:cs="Times New Roman"/>
                <w:color w:val="000000" w:themeColor="text1"/>
                <w:spacing w:val="0"/>
                <w:sz w:val="21"/>
                <w:szCs w:val="21"/>
                <w14:textFill>
                  <w14:solidFill>
                    <w14:schemeClr w14:val="tx1"/>
                  </w14:solidFill>
                </w14:textFill>
              </w:rPr>
              <w:t>《排污许可证管理暂行规定</w:t>
            </w:r>
            <w:r>
              <w:rPr>
                <w:rFonts w:hint="eastAsia" w:cs="Times New Roman"/>
                <w:color w:val="000000" w:themeColor="text1"/>
                <w:spacing w:val="0"/>
                <w:sz w:val="21"/>
                <w:szCs w:val="21"/>
                <w:lang w:eastAsia="zh-CN"/>
                <w14:textFill>
                  <w14:solidFill>
                    <w14:schemeClr w14:val="tx1"/>
                  </w14:solidFill>
                </w14:textFill>
              </w:rPr>
              <w:t>》和《</w:t>
            </w:r>
            <w:r>
              <w:rPr>
                <w:rFonts w:hint="default" w:ascii="Times New Roman" w:hAnsi="Times New Roman" w:cs="Times New Roman"/>
                <w:color w:val="000000" w:themeColor="text1"/>
                <w:spacing w:val="0"/>
                <w:sz w:val="21"/>
                <w:szCs w:val="21"/>
                <w14:textFill>
                  <w14:solidFill>
                    <w14:schemeClr w14:val="tx1"/>
                  </w14:solidFill>
                </w14:textFill>
              </w:rPr>
              <w:t>关于做好环境影响评价制度与排污许可制衔接相关工作的通知》（环办环评</w:t>
            </w:r>
            <w:r>
              <w:rPr>
                <w:rFonts w:hint="eastAsia" w:cs="Times New Roman"/>
                <w:color w:val="000000" w:themeColor="text1"/>
                <w:spacing w:val="0"/>
                <w:sz w:val="21"/>
                <w:szCs w:val="21"/>
                <w:lang w:eastAsia="zh-CN"/>
                <w14:textFill>
                  <w14:solidFill>
                    <w14:schemeClr w14:val="tx1"/>
                  </w14:solidFill>
                </w14:textFill>
              </w:rPr>
              <w:t>〔2017〕84号</w:t>
            </w:r>
            <w:r>
              <w:rPr>
                <w:rFonts w:hint="default" w:ascii="Times New Roman" w:hAnsi="Times New Roman" w:cs="Times New Roman"/>
                <w:color w:val="000000" w:themeColor="text1"/>
                <w:spacing w:val="0"/>
                <w:sz w:val="21"/>
                <w:szCs w:val="21"/>
                <w14:textFill>
                  <w14:solidFill>
                    <w14:schemeClr w14:val="tx1"/>
                  </w14:solidFill>
                </w14:textFill>
              </w:rPr>
              <w:t>），环境影响评价制度是建设项目的环境准入门槛，排污许可制是企事业单位生产运行期排污的法律依据，必须做好充分衔接，实现从污染预防到污染治理和排放控制的全过程监管。</w:t>
            </w:r>
          </w:p>
          <w:p w14:paraId="464B453E">
            <w:pPr>
              <w:spacing w:line="400" w:lineRule="exact"/>
              <w:ind w:firstLine="420"/>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建设单位应执行排污许可先行，三同时验收在后的原则，在项目建设后投产前根据实际排污情况进行排污许可变更。</w:t>
            </w:r>
          </w:p>
        </w:tc>
      </w:tr>
    </w:tbl>
    <w:p w14:paraId="78E429D3">
      <w:pPr>
        <w:pStyle w:val="37"/>
        <w:spacing w:line="240" w:lineRule="auto"/>
        <w:ind w:firstLine="0" w:firstLineChars="0"/>
        <w:jc w:val="center"/>
        <w:outlineLvl w:val="0"/>
        <w:rPr>
          <w:rFonts w:ascii="黑体" w:hAnsi="黑体" w:eastAsia="黑体"/>
          <w:snapToGrid w:val="0"/>
          <w:color w:val="000000" w:themeColor="text1"/>
          <w:sz w:val="30"/>
          <w:szCs w:val="30"/>
          <w14:textFill>
            <w14:solidFill>
              <w14:schemeClr w14:val="tx1"/>
            </w14:solidFill>
          </w14:textFill>
        </w:rPr>
      </w:pPr>
      <w:r>
        <w:rPr>
          <w:snapToGrid w:val="0"/>
          <w:color w:val="000000" w:themeColor="text1"/>
          <w14:textFill>
            <w14:solidFill>
              <w14:schemeClr w14:val="tx1"/>
            </w14:solidFill>
          </w14:textFill>
        </w:rPr>
        <w:br w:type="page"/>
      </w:r>
      <w:bookmarkStart w:id="8" w:name="_GoBack"/>
      <w:bookmarkEnd w:id="8"/>
      <w:r>
        <w:rPr>
          <w:rFonts w:hint="eastAsia" w:ascii="黑体" w:hAnsi="黑体" w:eastAsia="黑体"/>
          <w:b/>
          <w:bCs/>
          <w:snapToGrid w:val="0"/>
          <w:color w:val="000000" w:themeColor="text1"/>
          <w:sz w:val="30"/>
          <w:szCs w:val="30"/>
          <w14:textFill>
            <w14:solidFill>
              <w14:schemeClr w14:val="tx1"/>
            </w14:solidFill>
          </w14:textFill>
        </w:rPr>
        <w:t>六、结论</w:t>
      </w:r>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EB456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Borders>
              <w:tl2br w:val="nil"/>
              <w:tr2bl w:val="nil"/>
            </w:tcBorders>
          </w:tcPr>
          <w:p w14:paraId="55CC2041">
            <w:pPr>
              <w:keepNext w:val="0"/>
              <w:keepLines w:val="0"/>
              <w:pageBreakBefore w:val="0"/>
              <w:widowControl w:val="0"/>
              <w:kinsoku/>
              <w:wordWrap/>
              <w:overflowPunct/>
              <w:topLinePunct w:val="0"/>
              <w:autoSpaceDE/>
              <w:autoSpaceDN/>
              <w:bidi w:val="0"/>
              <w:adjustRightInd/>
              <w:snapToGrid/>
              <w:ind w:firstLine="48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本项目符合国家法律法规及国家产业政策，项目用地符合要求，项目建设区域周边无大的环境制约因素，废气、污水、噪声、固废拟采取的污染防治措施技术可靠、经济可行。项目建成投产后，将具有良好的经济、社会和环境效益。只要项目认真落实本报告中提出的各项污染防治对策措施，严格执行“三同时”制度，保证环境保护措施的有效运行，确保污染物稳定达标排放，从环保角度而言，本项目在此建设是可行的。</w:t>
            </w:r>
          </w:p>
          <w:p w14:paraId="17BD3F23">
            <w:pPr>
              <w:ind w:firstLine="0" w:firstLineChars="0"/>
              <w:jc w:val="left"/>
              <w:rPr>
                <w:rFonts w:ascii="宋体" w:cs="宋体"/>
                <w:color w:val="000000" w:themeColor="text1"/>
                <w14:textFill>
                  <w14:solidFill>
                    <w14:schemeClr w14:val="tx1"/>
                  </w14:solidFill>
                </w14:textFill>
              </w:rPr>
            </w:pPr>
          </w:p>
        </w:tc>
      </w:tr>
    </w:tbl>
    <w:p w14:paraId="476AC26F">
      <w:pPr>
        <w:ind w:firstLine="480"/>
        <w:rPr>
          <w:rFonts w:ascii="宋体"/>
          <w:color w:val="000000" w:themeColor="text1"/>
          <w14:textFill>
            <w14:solidFill>
              <w14:schemeClr w14:val="tx1"/>
            </w14:solidFill>
          </w14:textFill>
        </w:rPr>
        <w:sectPr>
          <w:pgSz w:w="11906" w:h="16838"/>
          <w:pgMar w:top="1440" w:right="1531" w:bottom="1440" w:left="1531" w:header="851" w:footer="851" w:gutter="0"/>
          <w:pgBorders>
            <w:top w:val="none" w:sz="0" w:space="0"/>
            <w:left w:val="none" w:sz="0" w:space="0"/>
            <w:bottom w:val="none" w:sz="0" w:space="0"/>
            <w:right w:val="none" w:sz="0" w:space="0"/>
          </w:pgBorders>
          <w:cols w:space="720" w:num="1"/>
          <w:docGrid w:linePitch="312" w:charSpace="0"/>
        </w:sectPr>
      </w:pPr>
    </w:p>
    <w:p w14:paraId="65B20586">
      <w:pPr>
        <w:pStyle w:val="2"/>
        <w:spacing w:before="24" w:after="24"/>
        <w:jc w:val="left"/>
        <w:rPr>
          <w:b/>
          <w:bCs/>
          <w:color w:val="000000" w:themeColor="text1"/>
          <w:sz w:val="24"/>
          <w:szCs w:val="24"/>
          <w14:textFill>
            <w14:solidFill>
              <w14:schemeClr w14:val="tx1"/>
            </w14:solidFill>
          </w14:textFill>
        </w:rPr>
      </w:pPr>
      <w:r>
        <w:rPr>
          <w:rFonts w:hint="eastAsia"/>
          <w:b/>
          <w:bCs/>
          <w:color w:val="000000" w:themeColor="text1"/>
          <w:sz w:val="28"/>
          <w:szCs w:val="28"/>
          <w14:textFill>
            <w14:solidFill>
              <w14:schemeClr w14:val="tx1"/>
            </w14:solidFill>
          </w14:textFill>
        </w:rPr>
        <w:t>附表</w:t>
      </w:r>
    </w:p>
    <w:p w14:paraId="798AC06A">
      <w:pPr>
        <w:pStyle w:val="2"/>
        <w:spacing w:before="24" w:after="24"/>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 xml:space="preserve">          </w:t>
      </w:r>
      <w:r>
        <w:rPr>
          <w:rFonts w:hint="eastAsia"/>
          <w:b/>
          <w:bCs/>
          <w:color w:val="000000" w:themeColor="text1"/>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 xml:space="preserve">建设项目污染物排放量汇总表    </w:t>
      </w:r>
      <w:r>
        <w:rPr>
          <w:b/>
          <w:bCs/>
          <w:color w:val="000000" w:themeColor="text1"/>
          <w:sz w:val="24"/>
          <w:szCs w:val="24"/>
          <w14:textFill>
            <w14:solidFill>
              <w14:schemeClr w14:val="tx1"/>
            </w14:solidFill>
          </w14:textFill>
        </w:rPr>
        <w:t>单位：t/a</w:t>
      </w:r>
    </w:p>
    <w:tbl>
      <w:tblPr>
        <w:tblStyle w:val="42"/>
        <w:tblW w:w="1383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5"/>
        <w:gridCol w:w="889"/>
        <w:gridCol w:w="2623"/>
        <w:gridCol w:w="1185"/>
        <w:gridCol w:w="1485"/>
        <w:gridCol w:w="1185"/>
        <w:gridCol w:w="1470"/>
        <w:gridCol w:w="1287"/>
        <w:gridCol w:w="1634"/>
        <w:gridCol w:w="1372"/>
      </w:tblGrid>
      <w:tr w14:paraId="5846B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94" w:type="dxa"/>
            <w:gridSpan w:val="2"/>
            <w:tcBorders>
              <w:tl2br w:val="nil"/>
              <w:tr2bl w:val="nil"/>
            </w:tcBorders>
            <w:tcMar>
              <w:left w:w="28" w:type="dxa"/>
              <w:right w:w="28" w:type="dxa"/>
            </w:tcMar>
            <w:vAlign w:val="center"/>
          </w:tcPr>
          <w:p w14:paraId="5B04A16F">
            <w:pPr>
              <w:pStyle w:val="2"/>
              <w:spacing w:before="0" w:beforeLines="0" w:after="0" w:afterLines="0" w:line="240" w:lineRule="auto"/>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项目</w:t>
            </w:r>
          </w:p>
          <w:p w14:paraId="5BB21423">
            <w:pPr>
              <w:pStyle w:val="2"/>
              <w:spacing w:before="0" w:beforeLines="0" w:after="0" w:afterLines="0" w:line="240" w:lineRule="auto"/>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分类</w:t>
            </w:r>
          </w:p>
        </w:tc>
        <w:tc>
          <w:tcPr>
            <w:tcW w:w="2623" w:type="dxa"/>
            <w:tcBorders>
              <w:tl2br w:val="nil"/>
              <w:tr2bl w:val="nil"/>
            </w:tcBorders>
            <w:tcMar>
              <w:left w:w="28" w:type="dxa"/>
              <w:right w:w="28" w:type="dxa"/>
            </w:tcMar>
            <w:vAlign w:val="center"/>
          </w:tcPr>
          <w:p w14:paraId="59BB635F">
            <w:pPr>
              <w:pStyle w:val="2"/>
              <w:spacing w:before="0" w:beforeLines="0" w:after="0" w:afterLines="0" w:line="240" w:lineRule="auto"/>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污染物名称</w:t>
            </w:r>
          </w:p>
        </w:tc>
        <w:tc>
          <w:tcPr>
            <w:tcW w:w="1185" w:type="dxa"/>
            <w:tcBorders>
              <w:tl2br w:val="nil"/>
              <w:tr2bl w:val="nil"/>
            </w:tcBorders>
            <w:tcMar>
              <w:left w:w="28" w:type="dxa"/>
              <w:right w:w="28" w:type="dxa"/>
            </w:tcMar>
            <w:vAlign w:val="center"/>
          </w:tcPr>
          <w:p w14:paraId="04E0197E">
            <w:pPr>
              <w:pStyle w:val="2"/>
              <w:spacing w:before="0" w:beforeLines="0" w:after="0" w:afterLines="0" w:line="240" w:lineRule="auto"/>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现有工程</w:t>
            </w:r>
          </w:p>
          <w:p w14:paraId="243EB26B">
            <w:pPr>
              <w:pStyle w:val="2"/>
              <w:spacing w:before="0" w:beforeLines="0" w:after="0" w:afterLines="0" w:line="240" w:lineRule="auto"/>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排放量</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instrText xml:space="preserve"> = 1 \* GB3 \* MERGEFORMAT </w:instrTex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①</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end"/>
            </w:r>
          </w:p>
        </w:tc>
        <w:tc>
          <w:tcPr>
            <w:tcW w:w="1485" w:type="dxa"/>
            <w:tcBorders>
              <w:tl2br w:val="nil"/>
              <w:tr2bl w:val="nil"/>
            </w:tcBorders>
            <w:tcMar>
              <w:left w:w="28" w:type="dxa"/>
              <w:right w:w="28" w:type="dxa"/>
            </w:tcMar>
            <w:vAlign w:val="center"/>
          </w:tcPr>
          <w:p w14:paraId="144F7CD4">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现有工程</w:t>
            </w:r>
          </w:p>
          <w:p w14:paraId="48748F35">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许可排放量</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instrText xml:space="preserve"> = 2 \* GB3 \* MERGEFORMAT </w:instrTex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separate"/>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②</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end"/>
            </w:r>
          </w:p>
        </w:tc>
        <w:tc>
          <w:tcPr>
            <w:tcW w:w="1185" w:type="dxa"/>
            <w:tcBorders>
              <w:tl2br w:val="nil"/>
              <w:tr2bl w:val="nil"/>
            </w:tcBorders>
            <w:tcMar>
              <w:left w:w="28" w:type="dxa"/>
              <w:right w:w="28" w:type="dxa"/>
            </w:tcMar>
            <w:vAlign w:val="center"/>
          </w:tcPr>
          <w:p w14:paraId="3AA6B4F4">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在建工程</w:t>
            </w:r>
          </w:p>
          <w:p w14:paraId="2878C02C">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排放量</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instrText xml:space="preserve"> = 3 \* GB3 \* MERGEFORMAT </w:instrTex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③</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end"/>
            </w:r>
          </w:p>
        </w:tc>
        <w:tc>
          <w:tcPr>
            <w:tcW w:w="1470" w:type="dxa"/>
            <w:tcBorders>
              <w:tl2br w:val="nil"/>
              <w:tr2bl w:val="nil"/>
            </w:tcBorders>
            <w:tcMar>
              <w:left w:w="28" w:type="dxa"/>
              <w:right w:w="28" w:type="dxa"/>
            </w:tcMar>
            <w:vAlign w:val="center"/>
          </w:tcPr>
          <w:p w14:paraId="3B710F0F">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本项目</w:t>
            </w:r>
          </w:p>
          <w:p w14:paraId="7B5B7954">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排放量</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instrText xml:space="preserve"> = 4 \* GB3 \* MERGEFORMAT </w:instrTex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④</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end"/>
            </w:r>
          </w:p>
        </w:tc>
        <w:tc>
          <w:tcPr>
            <w:tcW w:w="1287" w:type="dxa"/>
            <w:tcBorders>
              <w:tl2br w:val="nil"/>
              <w:tr2bl w:val="nil"/>
            </w:tcBorders>
            <w:tcMar>
              <w:left w:w="28" w:type="dxa"/>
              <w:right w:w="28" w:type="dxa"/>
            </w:tcMar>
            <w:vAlign w:val="center"/>
          </w:tcPr>
          <w:p w14:paraId="7F4A8545">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以新带老</w:t>
            </w:r>
          </w:p>
          <w:p w14:paraId="68E7AEB6">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削减量</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instrText xml:space="preserve"> = 5 \* GB3 \* MERGEFORMAT </w:instrTex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⑤</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end"/>
            </w:r>
          </w:p>
        </w:tc>
        <w:tc>
          <w:tcPr>
            <w:tcW w:w="1634" w:type="dxa"/>
            <w:tcBorders>
              <w:tl2br w:val="nil"/>
              <w:tr2bl w:val="nil"/>
            </w:tcBorders>
            <w:tcMar>
              <w:left w:w="28" w:type="dxa"/>
              <w:right w:w="28" w:type="dxa"/>
            </w:tcMar>
            <w:vAlign w:val="center"/>
          </w:tcPr>
          <w:p w14:paraId="1B2665B2">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本项目建成后</w:t>
            </w:r>
          </w:p>
          <w:p w14:paraId="2B180E85">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全厂排放量</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instrText xml:space="preserve"> = 6 \* GB3 \* MERGEFORMAT </w:instrTex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⑥</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end"/>
            </w:r>
          </w:p>
        </w:tc>
        <w:tc>
          <w:tcPr>
            <w:tcW w:w="1372" w:type="dxa"/>
            <w:tcBorders>
              <w:tl2br w:val="nil"/>
              <w:tr2bl w:val="nil"/>
            </w:tcBorders>
            <w:tcMar>
              <w:left w:w="28" w:type="dxa"/>
              <w:right w:w="28" w:type="dxa"/>
            </w:tcMar>
            <w:vAlign w:val="center"/>
          </w:tcPr>
          <w:p w14:paraId="54F1C847">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t>变化量</w:t>
            </w:r>
          </w:p>
          <w:p w14:paraId="5A9D1BF7">
            <w:pPr>
              <w:pStyle w:val="2"/>
              <w:spacing w:before="0" w:beforeLines="0" w:after="0" w:afterLines="0" w:line="240" w:lineRule="auto"/>
              <w:jc w:val="cente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instrText xml:space="preserve"> = 7 \* GB3 \* MERGEFORMAT </w:instrTex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⑦</w:t>
            </w:r>
            <w:r>
              <w:rPr>
                <w:rFonts w:hint="default" w:ascii="Times New Roman" w:hAnsi="Times New Roman" w:eastAsia="宋体" w:cs="Times New Roman"/>
                <w:b/>
                <w:bCs/>
                <w:snapToGrid w:val="0"/>
                <w:color w:val="000000" w:themeColor="text1"/>
                <w:kern w:val="21"/>
                <w:sz w:val="21"/>
                <w:szCs w:val="21"/>
                <w14:textFill>
                  <w14:solidFill>
                    <w14:schemeClr w14:val="tx1"/>
                  </w14:solidFill>
                </w14:textFill>
              </w:rPr>
              <w:fldChar w:fldCharType="end"/>
            </w:r>
          </w:p>
        </w:tc>
      </w:tr>
      <w:tr w14:paraId="33073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5" w:type="dxa"/>
            <w:tcBorders>
              <w:tl2br w:val="nil"/>
              <w:tr2bl w:val="nil"/>
            </w:tcBorders>
            <w:vAlign w:val="center"/>
          </w:tcPr>
          <w:p w14:paraId="2C62572D">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14:textFill>
                  <w14:solidFill>
                    <w14:schemeClr w14:val="tx1"/>
                  </w14:solidFill>
                </w14:textFill>
              </w:rPr>
              <w:t>废气</w:t>
            </w:r>
          </w:p>
        </w:tc>
        <w:tc>
          <w:tcPr>
            <w:tcW w:w="889" w:type="dxa"/>
            <w:tcBorders>
              <w:tl2br w:val="nil"/>
              <w:tr2bl w:val="nil"/>
            </w:tcBorders>
            <w:vAlign w:val="center"/>
          </w:tcPr>
          <w:p w14:paraId="53B71D9B">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有组织</w:t>
            </w:r>
          </w:p>
        </w:tc>
        <w:tc>
          <w:tcPr>
            <w:tcW w:w="2623" w:type="dxa"/>
            <w:tcBorders>
              <w:tl2br w:val="nil"/>
              <w:tr2bl w:val="nil"/>
            </w:tcBorders>
            <w:vAlign w:val="center"/>
          </w:tcPr>
          <w:p w14:paraId="32F7AF5B">
            <w:pPr>
              <w:pStyle w:val="2"/>
              <w:spacing w:before="0" w:beforeLines="0" w:after="0" w:afterLines="0" w:line="240" w:lineRule="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颗粒物</w:t>
            </w:r>
          </w:p>
        </w:tc>
        <w:tc>
          <w:tcPr>
            <w:tcW w:w="1185" w:type="dxa"/>
            <w:tcBorders>
              <w:tl2br w:val="nil"/>
              <w:tr2bl w:val="nil"/>
            </w:tcBorders>
            <w:vAlign w:val="center"/>
          </w:tcPr>
          <w:p w14:paraId="630F0D0C">
            <w:pPr>
              <w:pStyle w:val="2"/>
              <w:spacing w:before="0" w:beforeLines="0" w:after="0" w:afterLines="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0.185</w:t>
            </w:r>
          </w:p>
        </w:tc>
        <w:tc>
          <w:tcPr>
            <w:tcW w:w="1485" w:type="dxa"/>
            <w:tcBorders>
              <w:tl2br w:val="nil"/>
              <w:tr2bl w:val="nil"/>
            </w:tcBorders>
            <w:vAlign w:val="center"/>
          </w:tcPr>
          <w:p w14:paraId="53748124">
            <w:pPr>
              <w:spacing w:before="0" w:beforeLines="0" w:after="0" w:afterLines="0" w:line="240" w:lineRule="auto"/>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vAlign w:val="center"/>
          </w:tcPr>
          <w:p w14:paraId="378B1E9E">
            <w:pPr>
              <w:spacing w:before="0" w:beforeLines="0" w:after="0" w:afterLines="0" w:line="240" w:lineRule="auto"/>
              <w:ind w:firstLine="420" w:firstLineChars="200"/>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6F225362">
            <w:pPr>
              <w:pStyle w:val="2"/>
              <w:spacing w:before="0" w:beforeLines="0" w:after="0" w:afterLines="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0.22</w:t>
            </w:r>
          </w:p>
        </w:tc>
        <w:tc>
          <w:tcPr>
            <w:tcW w:w="1287" w:type="dxa"/>
            <w:tcBorders>
              <w:tl2br w:val="nil"/>
              <w:tr2bl w:val="nil"/>
            </w:tcBorders>
            <w:vAlign w:val="center"/>
          </w:tcPr>
          <w:p w14:paraId="12E5DB74">
            <w:pPr>
              <w:pStyle w:val="2"/>
              <w:spacing w:before="0" w:beforeLines="0" w:after="0" w:afterLines="0"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34" w:type="dxa"/>
            <w:tcBorders>
              <w:tl2br w:val="nil"/>
              <w:tr2bl w:val="nil"/>
            </w:tcBorders>
            <w:shd w:val="clear" w:color="auto" w:fill="auto"/>
            <w:vAlign w:val="center"/>
          </w:tcPr>
          <w:p w14:paraId="1720A691">
            <w:pPr>
              <w:pStyle w:val="2"/>
              <w:spacing w:before="0" w:beforeLines="0" w:after="0" w:afterLines="0" w:line="240" w:lineRule="auto"/>
              <w:ind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0.405</w:t>
            </w:r>
          </w:p>
        </w:tc>
        <w:tc>
          <w:tcPr>
            <w:tcW w:w="1372" w:type="dxa"/>
            <w:tcBorders>
              <w:tl2br w:val="nil"/>
              <w:tr2bl w:val="nil"/>
            </w:tcBorders>
            <w:shd w:val="clear" w:color="auto" w:fill="auto"/>
            <w:vAlign w:val="center"/>
          </w:tcPr>
          <w:p w14:paraId="5AA2CFB5">
            <w:pPr>
              <w:pStyle w:val="2"/>
              <w:spacing w:before="0" w:beforeLines="0" w:after="0" w:afterLines="0" w:line="240" w:lineRule="auto"/>
              <w:ind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+0.22</w:t>
            </w:r>
          </w:p>
        </w:tc>
      </w:tr>
      <w:tr w14:paraId="77B58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594" w:type="dxa"/>
            <w:gridSpan w:val="2"/>
            <w:vMerge w:val="restart"/>
            <w:tcBorders>
              <w:tl2br w:val="nil"/>
              <w:tr2bl w:val="nil"/>
            </w:tcBorders>
            <w:vAlign w:val="center"/>
          </w:tcPr>
          <w:p w14:paraId="38A1D890">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废水</w:t>
            </w:r>
          </w:p>
        </w:tc>
        <w:tc>
          <w:tcPr>
            <w:tcW w:w="2623" w:type="dxa"/>
            <w:tcBorders>
              <w:tl2br w:val="nil"/>
              <w:tr2bl w:val="nil"/>
            </w:tcBorders>
            <w:vAlign w:val="center"/>
          </w:tcPr>
          <w:p w14:paraId="39C9A55D">
            <w:pPr>
              <w:pStyle w:val="2"/>
              <w:spacing w:before="0" w:beforeLines="0" w:after="0" w:afterLines="0" w:line="240" w:lineRule="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CODcr</w:t>
            </w:r>
          </w:p>
        </w:tc>
        <w:tc>
          <w:tcPr>
            <w:tcW w:w="1185" w:type="dxa"/>
            <w:tcBorders>
              <w:tl2br w:val="nil"/>
              <w:tr2bl w:val="nil"/>
            </w:tcBorders>
            <w:shd w:val="clear" w:color="auto" w:fill="auto"/>
            <w:vAlign w:val="center"/>
          </w:tcPr>
          <w:p w14:paraId="41658DBA">
            <w:pPr>
              <w:spacing w:before="0" w:beforeLines="0" w:after="0" w:afterLines="0" w:line="240" w:lineRule="auto"/>
              <w:ind w:left="0" w:leftChars="0"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0.034</w:t>
            </w:r>
          </w:p>
        </w:tc>
        <w:tc>
          <w:tcPr>
            <w:tcW w:w="1485" w:type="dxa"/>
            <w:tcBorders>
              <w:tl2br w:val="nil"/>
              <w:tr2bl w:val="nil"/>
            </w:tcBorders>
            <w:shd w:val="clear" w:color="auto" w:fill="auto"/>
            <w:vAlign w:val="center"/>
          </w:tcPr>
          <w:p w14:paraId="7EEC6331">
            <w:pPr>
              <w:spacing w:before="0" w:beforeLines="0" w:after="0" w:afterLines="0" w:line="240" w:lineRule="auto"/>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342CC13D">
            <w:pPr>
              <w:spacing w:before="0" w:beforeLines="0" w:after="0" w:afterLines="0" w:line="240" w:lineRule="auto"/>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2323B04C">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0.0147</w:t>
            </w:r>
          </w:p>
        </w:tc>
        <w:tc>
          <w:tcPr>
            <w:tcW w:w="1287" w:type="dxa"/>
            <w:tcBorders>
              <w:tl2br w:val="nil"/>
              <w:tr2bl w:val="nil"/>
            </w:tcBorders>
            <w:vAlign w:val="center"/>
          </w:tcPr>
          <w:p w14:paraId="01E977EE">
            <w:pPr>
              <w:pStyle w:val="2"/>
              <w:spacing w:before="0" w:beforeLines="0" w:after="0" w:afterLines="0" w:line="240" w:lineRule="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34" w:type="dxa"/>
            <w:tcBorders>
              <w:tl2br w:val="nil"/>
              <w:tr2bl w:val="nil"/>
            </w:tcBorders>
            <w:shd w:val="clear" w:color="auto" w:fill="auto"/>
            <w:vAlign w:val="center"/>
          </w:tcPr>
          <w:p w14:paraId="69410921">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0.0487</w:t>
            </w:r>
          </w:p>
        </w:tc>
        <w:tc>
          <w:tcPr>
            <w:tcW w:w="1372" w:type="dxa"/>
            <w:tcBorders>
              <w:tl2br w:val="nil"/>
              <w:tr2bl w:val="nil"/>
            </w:tcBorders>
            <w:shd w:val="clear" w:color="auto" w:fill="auto"/>
            <w:vAlign w:val="center"/>
          </w:tcPr>
          <w:p w14:paraId="089F347C">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+0.0147</w:t>
            </w:r>
          </w:p>
        </w:tc>
      </w:tr>
      <w:tr w14:paraId="430CA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594" w:type="dxa"/>
            <w:gridSpan w:val="2"/>
            <w:vMerge w:val="continue"/>
            <w:tcBorders>
              <w:tl2br w:val="nil"/>
              <w:tr2bl w:val="nil"/>
            </w:tcBorders>
            <w:vAlign w:val="center"/>
          </w:tcPr>
          <w:p w14:paraId="19800E3B">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2623" w:type="dxa"/>
            <w:tcBorders>
              <w:tl2br w:val="nil"/>
              <w:tr2bl w:val="nil"/>
            </w:tcBorders>
            <w:vAlign w:val="center"/>
          </w:tcPr>
          <w:p w14:paraId="2D9B8AB6">
            <w:pPr>
              <w:pStyle w:val="2"/>
              <w:spacing w:before="0" w:beforeLines="0" w:after="0" w:afterLines="0" w:line="24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BOD</w:t>
            </w:r>
            <w:r>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t>5</w:t>
            </w:r>
          </w:p>
        </w:tc>
        <w:tc>
          <w:tcPr>
            <w:tcW w:w="1185" w:type="dxa"/>
            <w:tcBorders>
              <w:tl2br w:val="nil"/>
              <w:tr2bl w:val="nil"/>
            </w:tcBorders>
            <w:shd w:val="clear" w:color="auto" w:fill="auto"/>
            <w:vAlign w:val="center"/>
          </w:tcPr>
          <w:p w14:paraId="55200AD6">
            <w:pPr>
              <w:spacing w:before="0" w:beforeLines="0" w:after="0" w:afterLines="0" w:line="240" w:lineRule="auto"/>
              <w:ind w:left="0" w:leftChars="0"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0.024</w:t>
            </w:r>
          </w:p>
        </w:tc>
        <w:tc>
          <w:tcPr>
            <w:tcW w:w="1485" w:type="dxa"/>
            <w:tcBorders>
              <w:tl2br w:val="nil"/>
              <w:tr2bl w:val="nil"/>
            </w:tcBorders>
            <w:shd w:val="clear" w:color="auto" w:fill="auto"/>
            <w:vAlign w:val="center"/>
          </w:tcPr>
          <w:p w14:paraId="7F7FEC8B">
            <w:pPr>
              <w:spacing w:before="0" w:beforeLines="0" w:after="0" w:afterLines="0" w:line="240" w:lineRule="auto"/>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3C6A9A77">
            <w:pPr>
              <w:spacing w:before="0" w:beforeLines="0" w:after="0" w:afterLines="0" w:line="240" w:lineRule="auto"/>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7DAB45CB">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0.0924</w:t>
            </w:r>
          </w:p>
        </w:tc>
        <w:tc>
          <w:tcPr>
            <w:tcW w:w="1287" w:type="dxa"/>
            <w:tcBorders>
              <w:tl2br w:val="nil"/>
              <w:tr2bl w:val="nil"/>
            </w:tcBorders>
            <w:vAlign w:val="center"/>
          </w:tcPr>
          <w:p w14:paraId="31F219DF">
            <w:pPr>
              <w:pStyle w:val="2"/>
              <w:spacing w:before="0" w:beforeLines="0" w:after="0" w:afterLines="0" w:line="240" w:lineRule="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34" w:type="dxa"/>
            <w:tcBorders>
              <w:tl2br w:val="nil"/>
              <w:tr2bl w:val="nil"/>
            </w:tcBorders>
            <w:shd w:val="clear" w:color="auto" w:fill="auto"/>
            <w:vAlign w:val="center"/>
          </w:tcPr>
          <w:p w14:paraId="1F4A17E7">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0.03324</w:t>
            </w:r>
          </w:p>
        </w:tc>
        <w:tc>
          <w:tcPr>
            <w:tcW w:w="1372" w:type="dxa"/>
            <w:tcBorders>
              <w:tl2br w:val="nil"/>
              <w:tr2bl w:val="nil"/>
            </w:tcBorders>
            <w:shd w:val="clear" w:color="auto" w:fill="auto"/>
            <w:vAlign w:val="center"/>
          </w:tcPr>
          <w:p w14:paraId="4A27ACE8">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+0.0924</w:t>
            </w:r>
          </w:p>
        </w:tc>
      </w:tr>
      <w:tr w14:paraId="16F009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594" w:type="dxa"/>
            <w:gridSpan w:val="2"/>
            <w:vMerge w:val="continue"/>
            <w:tcBorders>
              <w:tl2br w:val="nil"/>
              <w:tr2bl w:val="nil"/>
            </w:tcBorders>
            <w:vAlign w:val="center"/>
          </w:tcPr>
          <w:p w14:paraId="688CB1C4">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2623" w:type="dxa"/>
            <w:tcBorders>
              <w:tl2br w:val="nil"/>
              <w:tr2bl w:val="nil"/>
            </w:tcBorders>
            <w:vAlign w:val="center"/>
          </w:tcPr>
          <w:p w14:paraId="56CB5A4E">
            <w:pPr>
              <w:pStyle w:val="2"/>
              <w:spacing w:before="0" w:beforeLines="0" w:after="0" w:afterLines="0" w:line="240" w:lineRule="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氨氮</w:t>
            </w:r>
          </w:p>
        </w:tc>
        <w:tc>
          <w:tcPr>
            <w:tcW w:w="1185" w:type="dxa"/>
            <w:tcBorders>
              <w:tl2br w:val="nil"/>
              <w:tr2bl w:val="nil"/>
            </w:tcBorders>
            <w:shd w:val="clear" w:color="auto" w:fill="auto"/>
            <w:vAlign w:val="center"/>
          </w:tcPr>
          <w:p w14:paraId="42026C9C">
            <w:pPr>
              <w:spacing w:before="0" w:beforeLines="0" w:after="0" w:afterLines="0" w:line="240" w:lineRule="auto"/>
              <w:ind w:left="0" w:leftChars="0"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0.004</w:t>
            </w:r>
          </w:p>
        </w:tc>
        <w:tc>
          <w:tcPr>
            <w:tcW w:w="1485" w:type="dxa"/>
            <w:tcBorders>
              <w:tl2br w:val="nil"/>
              <w:tr2bl w:val="nil"/>
            </w:tcBorders>
            <w:shd w:val="clear" w:color="auto" w:fill="auto"/>
            <w:vAlign w:val="center"/>
          </w:tcPr>
          <w:p w14:paraId="3052C0FF">
            <w:pPr>
              <w:spacing w:before="0" w:beforeLines="0" w:after="0" w:afterLines="0" w:line="240" w:lineRule="auto"/>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606ED2DB">
            <w:pPr>
              <w:spacing w:before="0" w:beforeLines="0" w:after="0" w:afterLines="0" w:line="240" w:lineRule="auto"/>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2B60FA50">
            <w:pPr>
              <w:spacing w:before="0" w:beforeLines="0" w:after="0" w:afterLines="0" w:line="240" w:lineRule="auto"/>
              <w:ind w:left="0" w:leftChars="0" w:firstLine="420" w:firstLineChars="20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0.00105</w:t>
            </w:r>
          </w:p>
        </w:tc>
        <w:tc>
          <w:tcPr>
            <w:tcW w:w="1287" w:type="dxa"/>
            <w:tcBorders>
              <w:tl2br w:val="nil"/>
              <w:tr2bl w:val="nil"/>
            </w:tcBorders>
            <w:vAlign w:val="center"/>
          </w:tcPr>
          <w:p w14:paraId="0871FE24">
            <w:pPr>
              <w:pStyle w:val="2"/>
              <w:spacing w:before="0" w:beforeLines="0" w:after="0" w:afterLines="0" w:line="240" w:lineRule="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34" w:type="dxa"/>
            <w:tcBorders>
              <w:tl2br w:val="nil"/>
              <w:tr2bl w:val="nil"/>
            </w:tcBorders>
            <w:shd w:val="clear" w:color="auto" w:fill="auto"/>
            <w:vAlign w:val="center"/>
          </w:tcPr>
          <w:p w14:paraId="12F9D24F">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0.00505</w:t>
            </w:r>
          </w:p>
        </w:tc>
        <w:tc>
          <w:tcPr>
            <w:tcW w:w="1372" w:type="dxa"/>
            <w:tcBorders>
              <w:tl2br w:val="nil"/>
              <w:tr2bl w:val="nil"/>
            </w:tcBorders>
            <w:shd w:val="clear" w:color="auto" w:fill="auto"/>
            <w:vAlign w:val="center"/>
          </w:tcPr>
          <w:p w14:paraId="720E36D0">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+0.00105</w:t>
            </w:r>
          </w:p>
        </w:tc>
      </w:tr>
      <w:tr w14:paraId="2C29E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594" w:type="dxa"/>
            <w:gridSpan w:val="2"/>
            <w:vMerge w:val="continue"/>
            <w:tcBorders>
              <w:tl2br w:val="nil"/>
              <w:tr2bl w:val="nil"/>
            </w:tcBorders>
            <w:vAlign w:val="center"/>
          </w:tcPr>
          <w:p w14:paraId="0CFEB144">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2623" w:type="dxa"/>
            <w:tcBorders>
              <w:tl2br w:val="nil"/>
              <w:tr2bl w:val="nil"/>
            </w:tcBorders>
            <w:vAlign w:val="center"/>
          </w:tcPr>
          <w:p w14:paraId="4810387A">
            <w:pPr>
              <w:pStyle w:val="2"/>
              <w:spacing w:before="0" w:beforeLines="0" w:after="0" w:afterLines="0" w:line="240" w:lineRule="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SS</w:t>
            </w:r>
          </w:p>
        </w:tc>
        <w:tc>
          <w:tcPr>
            <w:tcW w:w="1185" w:type="dxa"/>
            <w:tcBorders>
              <w:tl2br w:val="nil"/>
              <w:tr2bl w:val="nil"/>
            </w:tcBorders>
            <w:shd w:val="clear" w:color="auto" w:fill="auto"/>
            <w:vAlign w:val="center"/>
          </w:tcPr>
          <w:p w14:paraId="72C44731">
            <w:pPr>
              <w:spacing w:before="0" w:beforeLines="0" w:after="0" w:afterLines="0" w:line="240" w:lineRule="auto"/>
              <w:ind w:left="0" w:leftChars="0"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0.019</w:t>
            </w:r>
          </w:p>
        </w:tc>
        <w:tc>
          <w:tcPr>
            <w:tcW w:w="1485" w:type="dxa"/>
            <w:tcBorders>
              <w:tl2br w:val="nil"/>
              <w:tr2bl w:val="nil"/>
            </w:tcBorders>
            <w:shd w:val="clear" w:color="auto" w:fill="auto"/>
            <w:vAlign w:val="center"/>
          </w:tcPr>
          <w:p w14:paraId="47D82B0E">
            <w:pPr>
              <w:spacing w:before="0" w:beforeLines="0" w:after="0" w:afterLines="0" w:line="240" w:lineRule="auto"/>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5153E98D">
            <w:pPr>
              <w:spacing w:before="0" w:beforeLines="0" w:after="0" w:afterLines="0" w:line="240" w:lineRule="auto"/>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1BD17160">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0.0084</w:t>
            </w:r>
          </w:p>
        </w:tc>
        <w:tc>
          <w:tcPr>
            <w:tcW w:w="1287" w:type="dxa"/>
            <w:tcBorders>
              <w:tl2br w:val="nil"/>
              <w:tr2bl w:val="nil"/>
            </w:tcBorders>
            <w:vAlign w:val="center"/>
          </w:tcPr>
          <w:p w14:paraId="02210086">
            <w:pPr>
              <w:pStyle w:val="2"/>
              <w:spacing w:before="0" w:beforeLines="0" w:after="0" w:afterLines="0" w:line="240" w:lineRule="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34" w:type="dxa"/>
            <w:tcBorders>
              <w:tl2br w:val="nil"/>
              <w:tr2bl w:val="nil"/>
            </w:tcBorders>
            <w:shd w:val="clear" w:color="auto" w:fill="auto"/>
            <w:vAlign w:val="center"/>
          </w:tcPr>
          <w:p w14:paraId="12BAFC66">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0.0274</w:t>
            </w:r>
          </w:p>
        </w:tc>
        <w:tc>
          <w:tcPr>
            <w:tcW w:w="1372" w:type="dxa"/>
            <w:tcBorders>
              <w:tl2br w:val="nil"/>
              <w:tr2bl w:val="nil"/>
            </w:tcBorders>
            <w:shd w:val="clear" w:color="auto" w:fill="auto"/>
            <w:vAlign w:val="center"/>
          </w:tcPr>
          <w:p w14:paraId="0369361E">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+0.0084</w:t>
            </w:r>
          </w:p>
        </w:tc>
      </w:tr>
      <w:tr w14:paraId="35ECC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94" w:type="dxa"/>
            <w:gridSpan w:val="2"/>
            <w:vMerge w:val="restart"/>
            <w:tcBorders>
              <w:tl2br w:val="nil"/>
              <w:tr2bl w:val="nil"/>
            </w:tcBorders>
            <w:vAlign w:val="center"/>
          </w:tcPr>
          <w:p w14:paraId="48B00939">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14:textFill>
                  <w14:solidFill>
                    <w14:schemeClr w14:val="tx1"/>
                  </w14:solidFill>
                </w14:textFill>
              </w:rPr>
              <w:t>一般工业</w:t>
            </w:r>
          </w:p>
          <w:p w14:paraId="245EB29D">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14:textFill>
                  <w14:solidFill>
                    <w14:schemeClr w14:val="tx1"/>
                  </w14:solidFill>
                </w14:textFill>
              </w:rPr>
              <w:t>固体废物</w:t>
            </w:r>
          </w:p>
        </w:tc>
        <w:tc>
          <w:tcPr>
            <w:tcW w:w="2623" w:type="dxa"/>
            <w:tcBorders>
              <w:tl2br w:val="nil"/>
              <w:tr2bl w:val="nil"/>
            </w:tcBorders>
            <w:vAlign w:val="center"/>
          </w:tcPr>
          <w:p w14:paraId="06EFF269">
            <w:pPr>
              <w:pStyle w:val="2"/>
              <w:spacing w:before="0" w:beforeLines="0" w:after="0" w:afterLines="0" w:line="24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lang w:val="en-US" w:eastAsia="zh-CN"/>
              </w:rPr>
              <w:t>废铁屑、木块</w:t>
            </w:r>
          </w:p>
        </w:tc>
        <w:tc>
          <w:tcPr>
            <w:tcW w:w="1185" w:type="dxa"/>
            <w:tcBorders>
              <w:tl2br w:val="nil"/>
              <w:tr2bl w:val="nil"/>
            </w:tcBorders>
            <w:shd w:val="clear" w:color="auto" w:fill="auto"/>
            <w:vAlign w:val="center"/>
          </w:tcPr>
          <w:p w14:paraId="22101491">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809t</w:t>
            </w:r>
          </w:p>
        </w:tc>
        <w:tc>
          <w:tcPr>
            <w:tcW w:w="1485" w:type="dxa"/>
            <w:tcBorders>
              <w:tl2br w:val="nil"/>
              <w:tr2bl w:val="nil"/>
            </w:tcBorders>
            <w:shd w:val="clear" w:color="auto" w:fill="auto"/>
            <w:vAlign w:val="center"/>
          </w:tcPr>
          <w:p w14:paraId="5DF1D3DE">
            <w:pPr>
              <w:spacing w:before="0" w:beforeLines="0" w:after="0" w:afterLines="0" w:line="240" w:lineRule="auto"/>
              <w:ind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2159D9A5">
            <w:pPr>
              <w:spacing w:before="0" w:beforeLines="0" w:after="0" w:afterLines="0" w:line="240" w:lineRule="auto"/>
              <w:ind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0EFF5B4C">
            <w:pPr>
              <w:spacing w:before="0" w:beforeLines="0" w:after="0" w:afterLines="0" w:line="240" w:lineRule="auto"/>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p>
        </w:tc>
        <w:tc>
          <w:tcPr>
            <w:tcW w:w="1287" w:type="dxa"/>
            <w:tcBorders>
              <w:tl2br w:val="nil"/>
              <w:tr2bl w:val="nil"/>
            </w:tcBorders>
            <w:vAlign w:val="center"/>
          </w:tcPr>
          <w:p w14:paraId="755E299B">
            <w:pPr>
              <w:pStyle w:val="2"/>
              <w:spacing w:before="0" w:beforeLines="0" w:after="0" w:afterLines="0"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34" w:type="dxa"/>
            <w:tcBorders>
              <w:tl2br w:val="nil"/>
              <w:tr2bl w:val="nil"/>
            </w:tcBorders>
            <w:shd w:val="clear" w:color="auto" w:fill="auto"/>
            <w:vAlign w:val="center"/>
          </w:tcPr>
          <w:p w14:paraId="386F0596">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809</w:t>
            </w:r>
          </w:p>
        </w:tc>
        <w:tc>
          <w:tcPr>
            <w:tcW w:w="1372" w:type="dxa"/>
            <w:tcBorders>
              <w:tl2br w:val="nil"/>
              <w:tr2bl w:val="nil"/>
            </w:tcBorders>
            <w:shd w:val="clear" w:color="auto" w:fill="auto"/>
            <w:vAlign w:val="center"/>
          </w:tcPr>
          <w:p w14:paraId="16362316">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p>
        </w:tc>
      </w:tr>
      <w:tr w14:paraId="25B09B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94" w:type="dxa"/>
            <w:gridSpan w:val="2"/>
            <w:vMerge w:val="continue"/>
            <w:tcBorders>
              <w:tl2br w:val="nil"/>
              <w:tr2bl w:val="nil"/>
            </w:tcBorders>
            <w:vAlign w:val="center"/>
          </w:tcPr>
          <w:p w14:paraId="3C0DB4BF">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2623" w:type="dxa"/>
            <w:tcBorders>
              <w:tl2br w:val="nil"/>
              <w:tr2bl w:val="nil"/>
            </w:tcBorders>
            <w:vAlign w:val="center"/>
          </w:tcPr>
          <w:p w14:paraId="783FBD2C">
            <w:pPr>
              <w:pStyle w:val="2"/>
              <w:spacing w:before="0" w:beforeLines="0" w:after="0" w:afterLines="0" w:line="240" w:lineRule="auto"/>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lang w:val="en-US" w:eastAsia="zh-CN"/>
              </w:rPr>
              <w:t>除尘器收集粉尘</w:t>
            </w:r>
          </w:p>
        </w:tc>
        <w:tc>
          <w:tcPr>
            <w:tcW w:w="1185" w:type="dxa"/>
            <w:tcBorders>
              <w:tl2br w:val="nil"/>
              <w:tr2bl w:val="nil"/>
            </w:tcBorders>
            <w:shd w:val="clear" w:color="auto" w:fill="auto"/>
            <w:vAlign w:val="center"/>
          </w:tcPr>
          <w:p w14:paraId="044D0EE6">
            <w:pPr>
              <w:spacing w:before="0" w:beforeLines="0" w:after="0" w:afterLines="0" w:line="240" w:lineRule="auto"/>
              <w:ind w:left="0" w:leftChars="0" w:firstLine="0" w:firstLineChars="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5.02t</w:t>
            </w:r>
          </w:p>
        </w:tc>
        <w:tc>
          <w:tcPr>
            <w:tcW w:w="1485" w:type="dxa"/>
            <w:tcBorders>
              <w:tl2br w:val="nil"/>
              <w:tr2bl w:val="nil"/>
            </w:tcBorders>
            <w:shd w:val="clear" w:color="auto" w:fill="auto"/>
            <w:vAlign w:val="center"/>
          </w:tcPr>
          <w:p w14:paraId="4CE19D12">
            <w:pPr>
              <w:spacing w:before="0" w:beforeLines="0" w:after="0" w:afterLines="0" w:line="240" w:lineRule="auto"/>
              <w:ind w:firstLine="420" w:firstLineChars="20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046AD05B">
            <w:pPr>
              <w:spacing w:before="0" w:beforeLines="0" w:after="0" w:afterLines="0" w:line="240" w:lineRule="auto"/>
              <w:ind w:firstLine="420" w:firstLineChars="20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0964C684">
            <w:pPr>
              <w:spacing w:before="0" w:beforeLines="0" w:after="0" w:afterLines="0" w:line="240" w:lineRule="auto"/>
              <w:jc w:val="both"/>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21.47</w:t>
            </w:r>
          </w:p>
        </w:tc>
        <w:tc>
          <w:tcPr>
            <w:tcW w:w="1287" w:type="dxa"/>
            <w:tcBorders>
              <w:tl2br w:val="nil"/>
              <w:tr2bl w:val="nil"/>
            </w:tcBorders>
            <w:vAlign w:val="center"/>
          </w:tcPr>
          <w:p w14:paraId="59E4D26F">
            <w:pPr>
              <w:pStyle w:val="2"/>
              <w:spacing w:before="0" w:beforeLines="0" w:after="0" w:afterLines="0" w:line="240" w:lineRule="auto"/>
              <w:rPr>
                <w:rFonts w:hint="eastAsia" w:cs="Times New Roman"/>
                <w:color w:val="000000" w:themeColor="text1"/>
                <w:sz w:val="21"/>
                <w:szCs w:val="21"/>
                <w:lang w:val="en-US" w:eastAsia="zh-CN"/>
                <w14:textFill>
                  <w14:solidFill>
                    <w14:schemeClr w14:val="tx1"/>
                  </w14:solidFill>
                </w14:textFill>
              </w:rPr>
            </w:pPr>
          </w:p>
        </w:tc>
        <w:tc>
          <w:tcPr>
            <w:tcW w:w="1634" w:type="dxa"/>
            <w:tcBorders>
              <w:tl2br w:val="nil"/>
              <w:tr2bl w:val="nil"/>
            </w:tcBorders>
            <w:shd w:val="clear" w:color="auto" w:fill="auto"/>
            <w:vAlign w:val="center"/>
          </w:tcPr>
          <w:p w14:paraId="32D4D158">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26.49</w:t>
            </w:r>
          </w:p>
        </w:tc>
        <w:tc>
          <w:tcPr>
            <w:tcW w:w="1372" w:type="dxa"/>
            <w:tcBorders>
              <w:tl2br w:val="nil"/>
              <w:tr2bl w:val="nil"/>
            </w:tcBorders>
            <w:shd w:val="clear" w:color="auto" w:fill="auto"/>
            <w:vAlign w:val="center"/>
          </w:tcPr>
          <w:p w14:paraId="7BBB1180">
            <w:pPr>
              <w:spacing w:before="0" w:beforeLines="0" w:after="0" w:afterLines="0" w:line="240" w:lineRule="auto"/>
              <w:ind w:left="0" w:leftChars="0" w:firstLine="0" w:firstLineChars="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+21.47</w:t>
            </w:r>
          </w:p>
        </w:tc>
      </w:tr>
      <w:tr w14:paraId="20E0D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94" w:type="dxa"/>
            <w:gridSpan w:val="2"/>
            <w:vMerge w:val="continue"/>
            <w:tcBorders>
              <w:tl2br w:val="nil"/>
              <w:tr2bl w:val="nil"/>
            </w:tcBorders>
            <w:vAlign w:val="center"/>
          </w:tcPr>
          <w:p w14:paraId="75B70EB6">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2623" w:type="dxa"/>
            <w:tcBorders>
              <w:tl2br w:val="nil"/>
              <w:tr2bl w:val="nil"/>
            </w:tcBorders>
            <w:vAlign w:val="center"/>
          </w:tcPr>
          <w:p w14:paraId="05302C75">
            <w:pPr>
              <w:pStyle w:val="2"/>
              <w:spacing w:before="0" w:beforeLines="0" w:after="0" w:afterLines="0" w:line="240" w:lineRule="auto"/>
              <w:rPr>
                <w:rFonts w:hint="default" w:ascii="Times New Roman" w:hAnsi="Times New Roman" w:eastAsia="宋体" w:cs="Times New Roman"/>
                <w:color w:val="000000" w:themeColor="text1"/>
                <w:szCs w:val="22"/>
                <w:lang w:val="en-US" w:eastAsia="zh-CN"/>
                <w14:textFill>
                  <w14:solidFill>
                    <w14:schemeClr w14:val="tx1"/>
                  </w14:solidFill>
                </w14:textFill>
              </w:rPr>
            </w:pPr>
            <w:r>
              <w:rPr>
                <w:rFonts w:hint="eastAsia" w:cs="Times New Roman"/>
                <w:color w:val="000000" w:themeColor="text1"/>
                <w:szCs w:val="22"/>
                <w:lang w:val="en-US" w:eastAsia="zh-CN"/>
                <w14:textFill>
                  <w14:solidFill>
                    <w14:schemeClr w14:val="tx1"/>
                  </w14:solidFill>
                </w14:textFill>
              </w:rPr>
              <w:t>泥饼</w:t>
            </w:r>
          </w:p>
        </w:tc>
        <w:tc>
          <w:tcPr>
            <w:tcW w:w="1185" w:type="dxa"/>
            <w:tcBorders>
              <w:tl2br w:val="nil"/>
              <w:tr2bl w:val="nil"/>
            </w:tcBorders>
            <w:shd w:val="clear" w:color="auto" w:fill="auto"/>
            <w:vAlign w:val="center"/>
          </w:tcPr>
          <w:p w14:paraId="01B69F95">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2.5</w:t>
            </w:r>
          </w:p>
        </w:tc>
        <w:tc>
          <w:tcPr>
            <w:tcW w:w="1485" w:type="dxa"/>
            <w:tcBorders>
              <w:tl2br w:val="nil"/>
              <w:tr2bl w:val="nil"/>
            </w:tcBorders>
            <w:shd w:val="clear" w:color="auto" w:fill="auto"/>
            <w:vAlign w:val="center"/>
          </w:tcPr>
          <w:p w14:paraId="7C4178BE">
            <w:pPr>
              <w:spacing w:before="0" w:beforeLines="0" w:after="0" w:afterLines="0" w:line="240" w:lineRule="auto"/>
              <w:ind w:firstLine="420" w:firstLineChars="20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0CA5990A">
            <w:pPr>
              <w:spacing w:before="0" w:beforeLines="0" w:after="0" w:afterLines="0" w:line="240" w:lineRule="auto"/>
              <w:ind w:firstLine="420" w:firstLineChars="20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32CE91A3">
            <w:pPr>
              <w:spacing w:before="0" w:beforeLines="0" w:after="0" w:afterLines="0" w:line="240" w:lineRule="auto"/>
              <w:jc w:val="both"/>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927.74</w:t>
            </w:r>
          </w:p>
        </w:tc>
        <w:tc>
          <w:tcPr>
            <w:tcW w:w="1287" w:type="dxa"/>
            <w:tcBorders>
              <w:tl2br w:val="nil"/>
              <w:tr2bl w:val="nil"/>
            </w:tcBorders>
            <w:vAlign w:val="center"/>
          </w:tcPr>
          <w:p w14:paraId="707E2BCB">
            <w:pPr>
              <w:pStyle w:val="2"/>
              <w:spacing w:before="0" w:beforeLines="0" w:after="0" w:afterLines="0" w:line="240" w:lineRule="auto"/>
              <w:rPr>
                <w:rFonts w:hint="eastAsia" w:cs="Times New Roman"/>
                <w:color w:val="000000" w:themeColor="text1"/>
                <w:sz w:val="21"/>
                <w:szCs w:val="21"/>
                <w:lang w:val="en-US" w:eastAsia="zh-CN"/>
                <w14:textFill>
                  <w14:solidFill>
                    <w14:schemeClr w14:val="tx1"/>
                  </w14:solidFill>
                </w14:textFill>
              </w:rPr>
            </w:pPr>
          </w:p>
        </w:tc>
        <w:tc>
          <w:tcPr>
            <w:tcW w:w="1634" w:type="dxa"/>
            <w:tcBorders>
              <w:tl2br w:val="nil"/>
              <w:tr2bl w:val="nil"/>
            </w:tcBorders>
            <w:shd w:val="clear" w:color="auto" w:fill="auto"/>
            <w:vAlign w:val="center"/>
          </w:tcPr>
          <w:p w14:paraId="4369D9CE">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930.24</w:t>
            </w:r>
          </w:p>
        </w:tc>
        <w:tc>
          <w:tcPr>
            <w:tcW w:w="1372" w:type="dxa"/>
            <w:tcBorders>
              <w:tl2br w:val="nil"/>
              <w:tr2bl w:val="nil"/>
            </w:tcBorders>
            <w:shd w:val="clear" w:color="auto" w:fill="auto"/>
            <w:vAlign w:val="center"/>
          </w:tcPr>
          <w:p w14:paraId="6F4458B6">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+927.74</w:t>
            </w:r>
          </w:p>
        </w:tc>
      </w:tr>
      <w:tr w14:paraId="79FD9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94" w:type="dxa"/>
            <w:gridSpan w:val="2"/>
            <w:vMerge w:val="continue"/>
            <w:tcBorders>
              <w:tl2br w:val="nil"/>
              <w:tr2bl w:val="nil"/>
            </w:tcBorders>
            <w:vAlign w:val="center"/>
          </w:tcPr>
          <w:p w14:paraId="6FD66CC9">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2623" w:type="dxa"/>
            <w:tcBorders>
              <w:tl2br w:val="nil"/>
              <w:tr2bl w:val="nil"/>
            </w:tcBorders>
            <w:vAlign w:val="center"/>
          </w:tcPr>
          <w:p w14:paraId="01C7B063">
            <w:pPr>
              <w:pStyle w:val="2"/>
              <w:spacing w:before="0" w:beforeLines="0" w:after="0" w:afterLines="0" w:line="240" w:lineRule="auto"/>
              <w:rPr>
                <w:rFonts w:hint="default" w:ascii="Times New Roman" w:hAnsi="Times New Roman" w:eastAsia="宋体" w:cs="Times New Roman"/>
                <w:color w:val="000000" w:themeColor="text1"/>
                <w:szCs w:val="22"/>
                <w:lang w:val="en-US" w:eastAsia="zh-CN"/>
                <w14:textFill>
                  <w14:solidFill>
                    <w14:schemeClr w14:val="tx1"/>
                  </w14:solidFill>
                </w14:textFill>
              </w:rPr>
            </w:pPr>
            <w:r>
              <w:rPr>
                <w:rFonts w:hint="eastAsia" w:cs="Times New Roman"/>
                <w:color w:val="000000" w:themeColor="text1"/>
                <w:szCs w:val="22"/>
                <w:lang w:val="en-US" w:eastAsia="zh-CN"/>
                <w14:textFill>
                  <w14:solidFill>
                    <w14:schemeClr w14:val="tx1"/>
                  </w14:solidFill>
                </w14:textFill>
              </w:rPr>
              <w:t>废布袋</w:t>
            </w:r>
          </w:p>
        </w:tc>
        <w:tc>
          <w:tcPr>
            <w:tcW w:w="1185" w:type="dxa"/>
            <w:tcBorders>
              <w:tl2br w:val="nil"/>
              <w:tr2bl w:val="nil"/>
            </w:tcBorders>
            <w:shd w:val="clear" w:color="auto" w:fill="auto"/>
            <w:vAlign w:val="center"/>
          </w:tcPr>
          <w:p w14:paraId="3F266DFF">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p>
        </w:tc>
        <w:tc>
          <w:tcPr>
            <w:tcW w:w="1485" w:type="dxa"/>
            <w:tcBorders>
              <w:tl2br w:val="nil"/>
              <w:tr2bl w:val="nil"/>
            </w:tcBorders>
            <w:shd w:val="clear" w:color="auto" w:fill="auto"/>
            <w:vAlign w:val="center"/>
          </w:tcPr>
          <w:p w14:paraId="50E1E417">
            <w:pPr>
              <w:spacing w:before="0" w:beforeLines="0" w:after="0" w:afterLines="0" w:line="240" w:lineRule="auto"/>
              <w:ind w:firstLine="420" w:firstLineChars="20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07651898">
            <w:pPr>
              <w:spacing w:before="0" w:beforeLines="0" w:after="0" w:afterLines="0" w:line="240" w:lineRule="auto"/>
              <w:ind w:firstLine="420" w:firstLineChars="20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333D84AF">
            <w:pPr>
              <w:spacing w:before="0" w:beforeLines="0" w:after="0" w:afterLines="0" w:line="240" w:lineRule="auto"/>
              <w:jc w:val="both"/>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1287" w:type="dxa"/>
            <w:tcBorders>
              <w:tl2br w:val="nil"/>
              <w:tr2bl w:val="nil"/>
            </w:tcBorders>
            <w:vAlign w:val="center"/>
          </w:tcPr>
          <w:p w14:paraId="7B749121">
            <w:pPr>
              <w:pStyle w:val="2"/>
              <w:spacing w:before="0" w:beforeLines="0" w:after="0" w:afterLines="0" w:line="240" w:lineRule="auto"/>
              <w:rPr>
                <w:rFonts w:hint="eastAsia" w:cs="Times New Roman"/>
                <w:color w:val="000000" w:themeColor="text1"/>
                <w:sz w:val="21"/>
                <w:szCs w:val="21"/>
                <w:lang w:val="en-US" w:eastAsia="zh-CN"/>
                <w14:textFill>
                  <w14:solidFill>
                    <w14:schemeClr w14:val="tx1"/>
                  </w14:solidFill>
                </w14:textFill>
              </w:rPr>
            </w:pPr>
          </w:p>
        </w:tc>
        <w:tc>
          <w:tcPr>
            <w:tcW w:w="1634" w:type="dxa"/>
            <w:tcBorders>
              <w:tl2br w:val="nil"/>
              <w:tr2bl w:val="nil"/>
            </w:tcBorders>
            <w:shd w:val="clear" w:color="auto" w:fill="auto"/>
            <w:vAlign w:val="center"/>
          </w:tcPr>
          <w:p w14:paraId="291C1EC9">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1372" w:type="dxa"/>
            <w:tcBorders>
              <w:tl2br w:val="nil"/>
              <w:tr2bl w:val="nil"/>
            </w:tcBorders>
            <w:shd w:val="clear" w:color="auto" w:fill="auto"/>
            <w:vAlign w:val="center"/>
          </w:tcPr>
          <w:p w14:paraId="0EAB57B7">
            <w:pPr>
              <w:spacing w:before="0" w:beforeLines="0" w:after="0" w:afterLines="0" w:line="240" w:lineRule="auto"/>
              <w:ind w:left="0" w:leftChars="0" w:firstLine="0" w:firstLineChars="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r>
      <w:tr w14:paraId="69EC8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94" w:type="dxa"/>
            <w:gridSpan w:val="2"/>
            <w:vMerge w:val="continue"/>
            <w:tcBorders>
              <w:tl2br w:val="nil"/>
              <w:tr2bl w:val="nil"/>
            </w:tcBorders>
            <w:vAlign w:val="center"/>
          </w:tcPr>
          <w:p w14:paraId="54CF8D81">
            <w:pPr>
              <w:pStyle w:val="2"/>
              <w:spacing w:before="0" w:beforeLines="0" w:after="0" w:afterLines="0" w:line="240" w:lineRule="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2623" w:type="dxa"/>
            <w:tcBorders>
              <w:tl2br w:val="nil"/>
              <w:tr2bl w:val="nil"/>
            </w:tcBorders>
            <w:vAlign w:val="center"/>
          </w:tcPr>
          <w:p w14:paraId="09CC0428">
            <w:pPr>
              <w:pStyle w:val="2"/>
              <w:spacing w:before="0" w:beforeLines="0" w:after="0" w:afterLines="0" w:line="240" w:lineRule="auto"/>
              <w:rPr>
                <w:rFonts w:hint="default" w:ascii="Times New Roman" w:hAnsi="Times New Roman" w:eastAsia="宋体" w:cs="Times New Roman"/>
                <w:color w:val="000000" w:themeColor="text1"/>
                <w:szCs w:val="22"/>
                <w:lang w:val="en-US" w:eastAsia="zh-CN"/>
                <w14:textFill>
                  <w14:solidFill>
                    <w14:schemeClr w14:val="tx1"/>
                  </w14:solidFill>
                </w14:textFill>
              </w:rPr>
            </w:pPr>
            <w:r>
              <w:rPr>
                <w:rFonts w:hint="eastAsia" w:cs="Times New Roman"/>
                <w:color w:val="000000" w:themeColor="text1"/>
                <w:szCs w:val="22"/>
                <w:lang w:val="en-US" w:eastAsia="zh-CN"/>
                <w14:textFill>
                  <w14:solidFill>
                    <w14:schemeClr w14:val="tx1"/>
                  </w14:solidFill>
                </w14:textFill>
              </w:rPr>
              <w:t>废抑尘网</w:t>
            </w:r>
          </w:p>
        </w:tc>
        <w:tc>
          <w:tcPr>
            <w:tcW w:w="1185" w:type="dxa"/>
            <w:tcBorders>
              <w:tl2br w:val="nil"/>
              <w:tr2bl w:val="nil"/>
            </w:tcBorders>
            <w:shd w:val="clear" w:color="auto" w:fill="auto"/>
            <w:vAlign w:val="center"/>
          </w:tcPr>
          <w:p w14:paraId="461D0F66">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p>
        </w:tc>
        <w:tc>
          <w:tcPr>
            <w:tcW w:w="1485" w:type="dxa"/>
            <w:tcBorders>
              <w:tl2br w:val="nil"/>
              <w:tr2bl w:val="nil"/>
            </w:tcBorders>
            <w:shd w:val="clear" w:color="auto" w:fill="auto"/>
            <w:vAlign w:val="center"/>
          </w:tcPr>
          <w:p w14:paraId="366F37B3">
            <w:pPr>
              <w:spacing w:before="0" w:beforeLines="0" w:after="0" w:afterLines="0" w:line="240" w:lineRule="auto"/>
              <w:ind w:firstLine="420" w:firstLineChars="20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08C3F31E">
            <w:pPr>
              <w:spacing w:before="0" w:beforeLines="0" w:after="0" w:afterLines="0" w:line="240" w:lineRule="auto"/>
              <w:ind w:firstLine="420" w:firstLineChars="200"/>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457883E2">
            <w:pPr>
              <w:spacing w:before="0" w:beforeLines="0" w:after="0" w:afterLines="0" w:line="240" w:lineRule="auto"/>
              <w:jc w:val="both"/>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1287" w:type="dxa"/>
            <w:tcBorders>
              <w:tl2br w:val="nil"/>
              <w:tr2bl w:val="nil"/>
            </w:tcBorders>
            <w:vAlign w:val="center"/>
          </w:tcPr>
          <w:p w14:paraId="404EFA7A">
            <w:pPr>
              <w:pStyle w:val="2"/>
              <w:spacing w:before="0" w:beforeLines="0" w:after="0" w:afterLines="0" w:line="240" w:lineRule="auto"/>
              <w:rPr>
                <w:rFonts w:hint="eastAsia" w:cs="Times New Roman"/>
                <w:color w:val="000000" w:themeColor="text1"/>
                <w:sz w:val="21"/>
                <w:szCs w:val="21"/>
                <w:lang w:val="en-US" w:eastAsia="zh-CN"/>
                <w14:textFill>
                  <w14:solidFill>
                    <w14:schemeClr w14:val="tx1"/>
                  </w14:solidFill>
                </w14:textFill>
              </w:rPr>
            </w:pPr>
          </w:p>
        </w:tc>
        <w:tc>
          <w:tcPr>
            <w:tcW w:w="1634" w:type="dxa"/>
            <w:tcBorders>
              <w:tl2br w:val="nil"/>
              <w:tr2bl w:val="nil"/>
            </w:tcBorders>
            <w:shd w:val="clear" w:color="auto" w:fill="auto"/>
            <w:vAlign w:val="center"/>
          </w:tcPr>
          <w:p w14:paraId="40934CEE">
            <w:pPr>
              <w:spacing w:before="0" w:beforeLines="0" w:after="0" w:afterLines="0" w:line="240" w:lineRule="auto"/>
              <w:ind w:left="0" w:leftChars="0" w:firstLine="0" w:firstLineChars="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c>
          <w:tcPr>
            <w:tcW w:w="1372" w:type="dxa"/>
            <w:tcBorders>
              <w:tl2br w:val="nil"/>
              <w:tr2bl w:val="nil"/>
            </w:tcBorders>
            <w:shd w:val="clear" w:color="auto" w:fill="auto"/>
            <w:vAlign w:val="center"/>
          </w:tcPr>
          <w:p w14:paraId="45553B21">
            <w:pPr>
              <w:spacing w:before="0" w:beforeLines="0" w:after="0" w:afterLines="0" w:line="240" w:lineRule="auto"/>
              <w:ind w:left="0" w:leftChars="0" w:firstLine="0" w:firstLineChars="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r>
      <w:tr w14:paraId="72067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94" w:type="dxa"/>
            <w:gridSpan w:val="2"/>
            <w:vMerge w:val="restart"/>
            <w:tcBorders>
              <w:tl2br w:val="nil"/>
              <w:tr2bl w:val="nil"/>
            </w:tcBorders>
            <w:vAlign w:val="center"/>
          </w:tcPr>
          <w:p w14:paraId="79625861">
            <w:pPr>
              <w:pStyle w:val="2"/>
              <w:spacing w:before="0" w:beforeLines="0" w:after="0" w:afterLines="0" w:line="24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14:textFill>
                  <w14:solidFill>
                    <w14:schemeClr w14:val="tx1"/>
                  </w14:solidFill>
                </w14:textFill>
              </w:rPr>
              <w:t>危险废物</w:t>
            </w:r>
          </w:p>
        </w:tc>
        <w:tc>
          <w:tcPr>
            <w:tcW w:w="2623" w:type="dxa"/>
            <w:tcBorders>
              <w:tl2br w:val="nil"/>
              <w:tr2bl w:val="nil"/>
            </w:tcBorders>
            <w:vAlign w:val="center"/>
          </w:tcPr>
          <w:p w14:paraId="4CE57933">
            <w:pPr>
              <w:pStyle w:val="2"/>
              <w:spacing w:before="0" w:beforeLines="0" w:after="0" w:afterLines="0" w:line="24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废润滑油</w:t>
            </w:r>
          </w:p>
        </w:tc>
        <w:tc>
          <w:tcPr>
            <w:tcW w:w="1185" w:type="dxa"/>
            <w:tcBorders>
              <w:tl2br w:val="nil"/>
              <w:tr2bl w:val="nil"/>
            </w:tcBorders>
            <w:shd w:val="clear" w:color="auto" w:fill="auto"/>
            <w:vAlign w:val="center"/>
          </w:tcPr>
          <w:p w14:paraId="1A676C07">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0.05</w:t>
            </w:r>
          </w:p>
        </w:tc>
        <w:tc>
          <w:tcPr>
            <w:tcW w:w="1485" w:type="dxa"/>
            <w:tcBorders>
              <w:tl2br w:val="nil"/>
              <w:tr2bl w:val="nil"/>
            </w:tcBorders>
            <w:shd w:val="clear" w:color="auto" w:fill="auto"/>
            <w:vAlign w:val="center"/>
          </w:tcPr>
          <w:p w14:paraId="0CA7FB7F">
            <w:pPr>
              <w:spacing w:before="0" w:beforeLines="0" w:after="0" w:afterLines="0" w:line="240" w:lineRule="auto"/>
              <w:ind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2367FE65">
            <w:pPr>
              <w:spacing w:before="0" w:beforeLines="0" w:after="0" w:afterLines="0" w:line="240" w:lineRule="auto"/>
              <w:ind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67973890">
            <w:pPr>
              <w:spacing w:before="0" w:beforeLines="0" w:after="0" w:afterLines="0" w:line="24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p>
        </w:tc>
        <w:tc>
          <w:tcPr>
            <w:tcW w:w="1287" w:type="dxa"/>
            <w:tcBorders>
              <w:tl2br w:val="nil"/>
              <w:tr2bl w:val="nil"/>
            </w:tcBorders>
            <w:vAlign w:val="center"/>
          </w:tcPr>
          <w:p w14:paraId="2F61DE48">
            <w:pPr>
              <w:pStyle w:val="2"/>
              <w:spacing w:before="0" w:beforeLines="0" w:after="0" w:afterLines="0"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34" w:type="dxa"/>
            <w:tcBorders>
              <w:tl2br w:val="nil"/>
              <w:tr2bl w:val="nil"/>
            </w:tcBorders>
            <w:shd w:val="clear" w:color="auto" w:fill="auto"/>
            <w:vAlign w:val="center"/>
          </w:tcPr>
          <w:p w14:paraId="58992E32">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0.15</w:t>
            </w:r>
          </w:p>
        </w:tc>
        <w:tc>
          <w:tcPr>
            <w:tcW w:w="1372" w:type="dxa"/>
            <w:tcBorders>
              <w:tl2br w:val="nil"/>
              <w:tr2bl w:val="nil"/>
            </w:tcBorders>
            <w:shd w:val="clear" w:color="auto" w:fill="auto"/>
            <w:vAlign w:val="center"/>
          </w:tcPr>
          <w:p w14:paraId="078E1D4B">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p>
        </w:tc>
      </w:tr>
      <w:tr w14:paraId="4E73D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94" w:type="dxa"/>
            <w:gridSpan w:val="2"/>
            <w:vMerge w:val="continue"/>
            <w:tcBorders>
              <w:tl2br w:val="nil"/>
              <w:tr2bl w:val="nil"/>
            </w:tcBorders>
            <w:vAlign w:val="center"/>
          </w:tcPr>
          <w:p w14:paraId="7C8FAA5A">
            <w:pPr>
              <w:snapToGrid w:val="0"/>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623" w:type="dxa"/>
            <w:tcBorders>
              <w:tl2br w:val="nil"/>
              <w:tr2bl w:val="nil"/>
            </w:tcBorders>
            <w:vAlign w:val="center"/>
          </w:tcPr>
          <w:p w14:paraId="2E87330F">
            <w:pPr>
              <w:pStyle w:val="2"/>
              <w:spacing w:before="0" w:beforeLines="0" w:after="0" w:afterLines="0" w:line="240" w:lineRule="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w:t>
            </w:r>
            <w:r>
              <w:rPr>
                <w:rFonts w:hint="eastAsia" w:cs="Times New Roman"/>
                <w:color w:val="000000" w:themeColor="text1"/>
                <w:sz w:val="21"/>
                <w:szCs w:val="21"/>
                <w:lang w:val="en-US" w:eastAsia="zh-CN"/>
                <w14:textFill>
                  <w14:solidFill>
                    <w14:schemeClr w14:val="tx1"/>
                  </w14:solidFill>
                </w14:textFill>
              </w:rPr>
              <w:t>润滑油桶</w:t>
            </w:r>
          </w:p>
        </w:tc>
        <w:tc>
          <w:tcPr>
            <w:tcW w:w="1185" w:type="dxa"/>
            <w:tcBorders>
              <w:tl2br w:val="nil"/>
              <w:tr2bl w:val="nil"/>
            </w:tcBorders>
            <w:shd w:val="clear" w:color="auto" w:fill="auto"/>
            <w:vAlign w:val="center"/>
          </w:tcPr>
          <w:p w14:paraId="13BEA3BD">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0.05</w:t>
            </w:r>
          </w:p>
        </w:tc>
        <w:tc>
          <w:tcPr>
            <w:tcW w:w="1485" w:type="dxa"/>
            <w:tcBorders>
              <w:tl2br w:val="nil"/>
              <w:tr2bl w:val="nil"/>
            </w:tcBorders>
            <w:shd w:val="clear" w:color="auto" w:fill="auto"/>
            <w:vAlign w:val="center"/>
          </w:tcPr>
          <w:p w14:paraId="139C429C">
            <w:pPr>
              <w:spacing w:before="0" w:beforeLines="0" w:after="0" w:afterLines="0" w:line="240" w:lineRule="auto"/>
              <w:ind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6CB40FF2">
            <w:pPr>
              <w:spacing w:before="0" w:beforeLines="0" w:after="0" w:afterLines="0" w:line="240" w:lineRule="auto"/>
              <w:ind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52D4965F">
            <w:pPr>
              <w:spacing w:before="0" w:beforeLines="0" w:after="0" w:afterLines="0" w:line="24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p>
        </w:tc>
        <w:tc>
          <w:tcPr>
            <w:tcW w:w="1287" w:type="dxa"/>
            <w:tcBorders>
              <w:tl2br w:val="nil"/>
              <w:tr2bl w:val="nil"/>
            </w:tcBorders>
            <w:vAlign w:val="center"/>
          </w:tcPr>
          <w:p w14:paraId="4099A43C">
            <w:pPr>
              <w:pStyle w:val="2"/>
              <w:spacing w:before="0" w:beforeLines="0" w:after="0" w:afterLines="0"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34" w:type="dxa"/>
            <w:tcBorders>
              <w:tl2br w:val="nil"/>
              <w:tr2bl w:val="nil"/>
            </w:tcBorders>
            <w:shd w:val="clear" w:color="auto" w:fill="auto"/>
            <w:vAlign w:val="center"/>
          </w:tcPr>
          <w:p w14:paraId="613E76F3">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0.15</w:t>
            </w:r>
          </w:p>
        </w:tc>
        <w:tc>
          <w:tcPr>
            <w:tcW w:w="1372" w:type="dxa"/>
            <w:tcBorders>
              <w:tl2br w:val="nil"/>
              <w:tr2bl w:val="nil"/>
            </w:tcBorders>
            <w:shd w:val="clear" w:color="auto" w:fill="auto"/>
            <w:vAlign w:val="center"/>
          </w:tcPr>
          <w:p w14:paraId="34662A5C">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p>
        </w:tc>
      </w:tr>
      <w:tr w14:paraId="67AE5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94" w:type="dxa"/>
            <w:gridSpan w:val="2"/>
            <w:tcBorders>
              <w:tl2br w:val="nil"/>
              <w:tr2bl w:val="nil"/>
            </w:tcBorders>
            <w:vAlign w:val="center"/>
          </w:tcPr>
          <w:p w14:paraId="1A31B2DB">
            <w:pPr>
              <w:snapToGrid w:val="0"/>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生活垃圾</w:t>
            </w:r>
          </w:p>
        </w:tc>
        <w:tc>
          <w:tcPr>
            <w:tcW w:w="2623" w:type="dxa"/>
            <w:tcBorders>
              <w:tl2br w:val="nil"/>
              <w:tr2bl w:val="nil"/>
            </w:tcBorders>
            <w:vAlign w:val="center"/>
          </w:tcPr>
          <w:p w14:paraId="7FA73F5D">
            <w:pPr>
              <w:pStyle w:val="2"/>
              <w:spacing w:before="0" w:beforeLines="0" w:after="0" w:afterLines="0" w:line="24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生活垃圾</w:t>
            </w:r>
          </w:p>
        </w:tc>
        <w:tc>
          <w:tcPr>
            <w:tcW w:w="1185" w:type="dxa"/>
            <w:tcBorders>
              <w:tl2br w:val="nil"/>
              <w:tr2bl w:val="nil"/>
            </w:tcBorders>
            <w:shd w:val="clear" w:color="auto" w:fill="auto"/>
            <w:vAlign w:val="center"/>
          </w:tcPr>
          <w:p w14:paraId="4E36E1BF">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2.1</w:t>
            </w:r>
          </w:p>
        </w:tc>
        <w:tc>
          <w:tcPr>
            <w:tcW w:w="1485" w:type="dxa"/>
            <w:tcBorders>
              <w:tl2br w:val="nil"/>
              <w:tr2bl w:val="nil"/>
            </w:tcBorders>
            <w:shd w:val="clear" w:color="auto" w:fill="auto"/>
            <w:vAlign w:val="center"/>
          </w:tcPr>
          <w:p w14:paraId="2A7F4C1B">
            <w:pPr>
              <w:snapToGrid w:val="0"/>
              <w:spacing w:line="240" w:lineRule="auto"/>
              <w:ind w:firstLine="420" w:firstLineChars="200"/>
              <w:jc w:val="both"/>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185" w:type="dxa"/>
            <w:tcBorders>
              <w:tl2br w:val="nil"/>
              <w:tr2bl w:val="nil"/>
            </w:tcBorders>
            <w:shd w:val="clear" w:color="auto" w:fill="auto"/>
            <w:vAlign w:val="center"/>
          </w:tcPr>
          <w:p w14:paraId="70977AFA">
            <w:pPr>
              <w:spacing w:before="0" w:beforeLines="0" w:after="0" w:afterLines="0" w:line="240" w:lineRule="auto"/>
              <w:ind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470" w:type="dxa"/>
            <w:tcBorders>
              <w:tl2br w:val="nil"/>
              <w:tr2bl w:val="nil"/>
            </w:tcBorders>
            <w:vAlign w:val="center"/>
          </w:tcPr>
          <w:p w14:paraId="7E55BA7C">
            <w:pPr>
              <w:spacing w:before="0" w:beforeLines="0" w:after="0" w:afterLines="0" w:line="24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0.525</w:t>
            </w:r>
          </w:p>
        </w:tc>
        <w:tc>
          <w:tcPr>
            <w:tcW w:w="1287" w:type="dxa"/>
            <w:tcBorders>
              <w:tl2br w:val="nil"/>
              <w:tr2bl w:val="nil"/>
            </w:tcBorders>
            <w:vAlign w:val="center"/>
          </w:tcPr>
          <w:p w14:paraId="39E01604">
            <w:pPr>
              <w:snapToGrid w:val="0"/>
              <w:spacing w:line="240" w:lineRule="auto"/>
              <w:ind w:left="0" w:leftChars="0" w:firstLine="0" w:firstLineChars="0"/>
              <w:jc w:val="cente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634" w:type="dxa"/>
            <w:tcBorders>
              <w:tl2br w:val="nil"/>
              <w:tr2bl w:val="nil"/>
            </w:tcBorders>
            <w:shd w:val="clear" w:color="auto" w:fill="auto"/>
            <w:vAlign w:val="center"/>
          </w:tcPr>
          <w:p w14:paraId="64B971BD">
            <w:pPr>
              <w:tabs>
                <w:tab w:val="left" w:pos="394"/>
              </w:tabs>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2.625</w:t>
            </w:r>
          </w:p>
        </w:tc>
        <w:tc>
          <w:tcPr>
            <w:tcW w:w="1372" w:type="dxa"/>
            <w:tcBorders>
              <w:tl2br w:val="nil"/>
              <w:tr2bl w:val="nil"/>
            </w:tcBorders>
            <w:shd w:val="clear" w:color="auto" w:fill="auto"/>
            <w:vAlign w:val="center"/>
          </w:tcPr>
          <w:p w14:paraId="394D5B25">
            <w:pPr>
              <w:spacing w:before="0" w:beforeLines="0" w:after="0" w:afterLines="0" w:line="240" w:lineRule="auto"/>
              <w:ind w:left="0" w:leftChars="0" w:firstLine="0" w:firstLine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+0.525</w:t>
            </w:r>
          </w:p>
        </w:tc>
      </w:tr>
    </w:tbl>
    <w:p w14:paraId="10EE8F66">
      <w:pPr>
        <w:pStyle w:val="17"/>
        <w:spacing w:before="229" w:line="217" w:lineRule="auto"/>
        <w:ind w:left="47"/>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pacing w:val="-7"/>
          <w14:textFill>
            <w14:solidFill>
              <w14:schemeClr w14:val="tx1"/>
            </w14:solidFill>
          </w14:textFill>
        </w:rPr>
        <w:t>注：⑥</w:t>
      </w:r>
      <w:r>
        <w:rPr>
          <w:rFonts w:hint="default" w:ascii="Times New Roman" w:hAnsi="Times New Roman" w:eastAsia="黑体" w:cs="Times New Roman"/>
          <w:color w:val="000000" w:themeColor="text1"/>
          <w:spacing w:val="-7"/>
          <w14:textFill>
            <w14:solidFill>
              <w14:schemeClr w14:val="tx1"/>
            </w14:solidFill>
          </w14:textFill>
        </w:rPr>
        <w:t>=</w:t>
      </w:r>
      <w:r>
        <w:rPr>
          <w:rFonts w:hint="default" w:ascii="Times New Roman" w:hAnsi="Times New Roman" w:cs="Times New Roman"/>
          <w:color w:val="000000" w:themeColor="text1"/>
          <w:spacing w:val="-7"/>
          <w14:textFill>
            <w14:solidFill>
              <w14:schemeClr w14:val="tx1"/>
            </w14:solidFill>
          </w14:textFill>
        </w:rPr>
        <w:t>①</w:t>
      </w:r>
      <w:r>
        <w:rPr>
          <w:rFonts w:hint="default" w:ascii="Times New Roman" w:hAnsi="Times New Roman" w:eastAsia="黑体" w:cs="Times New Roman"/>
          <w:color w:val="000000" w:themeColor="text1"/>
          <w:spacing w:val="-7"/>
          <w14:textFill>
            <w14:solidFill>
              <w14:schemeClr w14:val="tx1"/>
            </w14:solidFill>
          </w14:textFill>
        </w:rPr>
        <w:t>+</w:t>
      </w:r>
      <w:r>
        <w:rPr>
          <w:rFonts w:hint="default" w:ascii="Times New Roman" w:hAnsi="Times New Roman" w:cs="Times New Roman"/>
          <w:color w:val="000000" w:themeColor="text1"/>
          <w:spacing w:val="-7"/>
          <w14:textFill>
            <w14:solidFill>
              <w14:schemeClr w14:val="tx1"/>
            </w14:solidFill>
          </w14:textFill>
        </w:rPr>
        <w:t>③</w:t>
      </w:r>
      <w:r>
        <w:rPr>
          <w:rFonts w:hint="default" w:ascii="Times New Roman" w:hAnsi="Times New Roman" w:eastAsia="黑体" w:cs="Times New Roman"/>
          <w:color w:val="000000" w:themeColor="text1"/>
          <w:spacing w:val="-7"/>
          <w14:textFill>
            <w14:solidFill>
              <w14:schemeClr w14:val="tx1"/>
            </w14:solidFill>
          </w14:textFill>
        </w:rPr>
        <w:t>+</w:t>
      </w:r>
      <w:r>
        <w:rPr>
          <w:rFonts w:hint="default" w:ascii="Times New Roman" w:hAnsi="Times New Roman" w:cs="Times New Roman"/>
          <w:color w:val="000000" w:themeColor="text1"/>
          <w:spacing w:val="-7"/>
          <w14:textFill>
            <w14:solidFill>
              <w14:schemeClr w14:val="tx1"/>
            </w14:solidFill>
          </w14:textFill>
        </w:rPr>
        <w:t>④</w:t>
      </w:r>
      <w:r>
        <w:rPr>
          <w:rFonts w:hint="default" w:ascii="Times New Roman" w:hAnsi="Times New Roman" w:eastAsia="黑体" w:cs="Times New Roman"/>
          <w:color w:val="000000" w:themeColor="text1"/>
          <w:spacing w:val="-7"/>
          <w14:textFill>
            <w14:solidFill>
              <w14:schemeClr w14:val="tx1"/>
            </w14:solidFill>
          </w14:textFill>
        </w:rPr>
        <w:t>-</w:t>
      </w:r>
      <w:r>
        <w:rPr>
          <w:rFonts w:hint="default" w:ascii="Times New Roman" w:hAnsi="Times New Roman" w:cs="Times New Roman"/>
          <w:color w:val="000000" w:themeColor="text1"/>
          <w:spacing w:val="-7"/>
          <w14:textFill>
            <w14:solidFill>
              <w14:schemeClr w14:val="tx1"/>
            </w14:solidFill>
          </w14:textFill>
        </w:rPr>
        <w:t>⑤;⑦</w:t>
      </w:r>
      <w:r>
        <w:rPr>
          <w:rFonts w:hint="default" w:ascii="Times New Roman" w:hAnsi="Times New Roman" w:eastAsia="黑体" w:cs="Times New Roman"/>
          <w:color w:val="000000" w:themeColor="text1"/>
          <w:spacing w:val="-7"/>
          <w14:textFill>
            <w14:solidFill>
              <w14:schemeClr w14:val="tx1"/>
            </w14:solidFill>
          </w14:textFill>
        </w:rPr>
        <w:t>=</w:t>
      </w:r>
      <w:r>
        <w:rPr>
          <w:rFonts w:hint="default" w:ascii="Times New Roman" w:hAnsi="Times New Roman" w:cs="Times New Roman"/>
          <w:color w:val="000000" w:themeColor="text1"/>
          <w:spacing w:val="-7"/>
          <w14:textFill>
            <w14:solidFill>
              <w14:schemeClr w14:val="tx1"/>
            </w14:solidFill>
          </w14:textFill>
        </w:rPr>
        <w:t>⑥</w:t>
      </w:r>
      <w:r>
        <w:rPr>
          <w:rFonts w:hint="default" w:ascii="Times New Roman" w:hAnsi="Times New Roman" w:eastAsia="黑体" w:cs="Times New Roman"/>
          <w:color w:val="000000" w:themeColor="text1"/>
          <w:spacing w:val="-7"/>
          <w14:textFill>
            <w14:solidFill>
              <w14:schemeClr w14:val="tx1"/>
            </w14:solidFill>
          </w14:textFill>
        </w:rPr>
        <w:t>-</w:t>
      </w:r>
      <w:r>
        <w:rPr>
          <w:rFonts w:hint="default" w:ascii="Times New Roman" w:hAnsi="Times New Roman" w:cs="Times New Roman"/>
          <w:color w:val="000000" w:themeColor="text1"/>
          <w:spacing w:val="-7"/>
          <w14:textFill>
            <w14:solidFill>
              <w14:schemeClr w14:val="tx1"/>
            </w14:solidFill>
          </w14:textFill>
        </w:rPr>
        <w:t>①</w:t>
      </w:r>
    </w:p>
    <w:p w14:paraId="1CD455C2">
      <w:pPr>
        <w:pStyle w:val="2"/>
        <w:spacing w:beforeLines="0" w:afterLines="0" w:line="240" w:lineRule="auto"/>
        <w:jc w:val="both"/>
        <w:rPr>
          <w:rFonts w:ascii="宋体" w:hAnsi="宋体" w:cs="宋体"/>
          <w:snapToGrid w:val="0"/>
          <w:color w:val="000000" w:themeColor="text1"/>
          <w:kern w:val="21"/>
          <w14:textFill>
            <w14:solidFill>
              <w14:schemeClr w14:val="tx1"/>
            </w14:solidFill>
          </w14:textFill>
        </w:rPr>
      </w:pPr>
    </w:p>
    <w:p w14:paraId="1A43ABD6">
      <w:pPr>
        <w:rPr>
          <w:rFonts w:ascii="宋体" w:hAnsi="宋体" w:cs="宋体"/>
          <w:snapToGrid w:val="0"/>
          <w:color w:val="000000" w:themeColor="text1"/>
          <w:kern w:val="21"/>
          <w14:textFill>
            <w14:solidFill>
              <w14:schemeClr w14:val="tx1"/>
            </w14:solidFill>
          </w14:textFill>
        </w:rPr>
      </w:pPr>
    </w:p>
    <w:p w14:paraId="7D4A9D12">
      <w:pPr>
        <w:pStyle w:val="17"/>
        <w:sectPr>
          <w:footerReference r:id="rId7" w:type="default"/>
          <w:pgSz w:w="16838" w:h="11906" w:orient="landscape"/>
          <w:pgMar w:top="1417" w:right="1531" w:bottom="1417" w:left="1531" w:header="851" w:footer="851" w:gutter="0"/>
          <w:pgBorders>
            <w:top w:val="none" w:sz="0" w:space="0"/>
            <w:left w:val="none" w:sz="0" w:space="0"/>
            <w:bottom w:val="none" w:sz="0" w:space="0"/>
            <w:right w:val="none" w:sz="0" w:space="0"/>
          </w:pgBorders>
          <w:cols w:space="720" w:num="1"/>
          <w:docGrid w:linePitch="312" w:charSpace="0"/>
        </w:sectPr>
      </w:pPr>
    </w:p>
    <w:p w14:paraId="37E5CE04">
      <w:pPr>
        <w:ind w:left="0" w:leftChars="0" w:firstLine="0" w:firstLineChars="0"/>
        <w:jc w:val="both"/>
        <w:rPr>
          <w:rFonts w:hint="default"/>
          <w:lang w:val="en-US" w:eastAsia="zh-CN"/>
        </w:rPr>
      </w:pPr>
    </w:p>
    <w:sectPr>
      <w:footerReference r:id="rId8" w:type="default"/>
      <w:pgSz w:w="11906" w:h="16838"/>
      <w:pgMar w:top="5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宋体">
    <w:panose1 w:val="02010600030101010101"/>
    <w:charset w:val="86"/>
    <w:family w:val="auto"/>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UI Symbol">
    <w:panose1 w:val="020B0502040204020203"/>
    <w:charset w:val="00"/>
    <w:family w:val="swiss"/>
    <w:pitch w:val="default"/>
    <w:sig w:usb0="800001E3" w:usb1="1200FFEF" w:usb2="00040000" w:usb3="04000000" w:csb0="00000001" w:csb1="40000000"/>
  </w:font>
  <w:font w:name="华文中宋">
    <w:panose1 w:val="02010600040101010101"/>
    <w:charset w:val="86"/>
    <w:family w:val="auto"/>
    <w:pitch w:val="default"/>
    <w:sig w:usb0="00000287" w:usb1="080F0000" w:usb2="00000000" w:usb3="00000000" w:csb0="0004009F" w:csb1="DFD70000"/>
  </w:font>
  <w:font w:name="Helvetica">
    <w:altName w:val="Arial"/>
    <w:panose1 w:val="00000000000000000000"/>
    <w:charset w:val="00"/>
    <w:family w:val="auto"/>
    <w:pitch w:val="default"/>
    <w:sig w:usb0="00000000" w:usb1="00000000" w:usb2="00000000" w:usb3="00000000" w:csb0="00000000" w:csb1="00000000"/>
  </w:font>
  <w:font w:name="TimesNewRoman">
    <w:altName w:val="微软雅黑"/>
    <w:panose1 w:val="00000000000000000000"/>
    <w:charset w:val="00"/>
    <w:family w:val="auto"/>
    <w:pitch w:val="default"/>
    <w:sig w:usb0="00000000"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B1C1A">
    <w:pPr>
      <w:pStyle w:val="26"/>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DE2E27">
                          <w:pPr>
                            <w:pStyle w:val="26"/>
                            <w:ind w:firstLine="36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43DE2E27">
                    <w:pPr>
                      <w:pStyle w:val="26"/>
                      <w:ind w:firstLine="360"/>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88B5">
    <w:pPr>
      <w:pStyle w:val="26"/>
      <w:ind w:right="360" w:firstLine="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D6C16">
                          <w:pPr>
                            <w:pStyle w:val="26"/>
                            <w:ind w:firstLine="36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A2D6C16">
                    <w:pPr>
                      <w:pStyle w:val="26"/>
                      <w:ind w:firstLine="360"/>
                    </w:pPr>
                    <w:r>
                      <w:fldChar w:fldCharType="begin"/>
                    </w:r>
                    <w:r>
                      <w:instrText xml:space="preserve"> PAGE  \* MERGEFORMAT </w:instrText>
                    </w:r>
                    <w:r>
                      <w:fldChar w:fldCharType="separate"/>
                    </w:r>
                    <w:r>
                      <w:t>66</w:t>
                    </w:r>
                    <w:r>
                      <w:fldChar w:fldCharType="end"/>
                    </w:r>
                  </w:p>
                </w:txbxContent>
              </v:textbox>
            </v:shape>
          </w:pict>
        </mc:Fallback>
      </mc:AlternateContent>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99BE5">
    <w:pPr>
      <w:pStyle w:val="2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 name="文本框 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A0AB8">
                          <w:pPr>
                            <w:pStyle w:val="26"/>
                            <w:ind w:firstLine="36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1hz8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bC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11hz8tAgAAWQQAAA4AAAAAAAAAAQAgAAAAHwEAAGRycy9lMm9Eb2MueG1sUEsFBgAAAAAG&#10;AAYAWQEAAL4FAAAAAA==&#10;">
              <v:fill on="f" focussize="0,0"/>
              <v:stroke on="f" weight="0.5pt"/>
              <v:imagedata o:title=""/>
              <o:lock v:ext="edit" aspectratio="f"/>
              <v:textbox inset="0mm,0mm,0mm,0mm" style="mso-fit-shape-to-text:t;">
                <w:txbxContent>
                  <w:p w14:paraId="440A0AB8">
                    <w:pPr>
                      <w:pStyle w:val="26"/>
                      <w:ind w:firstLine="36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94397">
    <w:pPr>
      <w:pStyle w:val="27"/>
      <w:pBdr>
        <w:bottom w:val="none" w:color="auto" w:sz="0" w:space="1"/>
      </w:pBdr>
      <w:ind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4814D5"/>
    <w:multiLevelType w:val="singleLevel"/>
    <w:tmpl w:val="914814D5"/>
    <w:lvl w:ilvl="0" w:tentative="0">
      <w:start w:val="1"/>
      <w:numFmt w:val="decimal"/>
      <w:suff w:val="nothing"/>
      <w:lvlText w:val="%1、"/>
      <w:lvlJc w:val="left"/>
    </w:lvl>
  </w:abstractNum>
  <w:abstractNum w:abstractNumId="1">
    <w:nsid w:val="96D16B08"/>
    <w:multiLevelType w:val="singleLevel"/>
    <w:tmpl w:val="96D16B08"/>
    <w:lvl w:ilvl="0" w:tentative="0">
      <w:start w:val="1"/>
      <w:numFmt w:val="decimal"/>
      <w:suff w:val="nothing"/>
      <w:lvlText w:val="（%1）"/>
      <w:lvlJc w:val="left"/>
    </w:lvl>
  </w:abstractNum>
  <w:abstractNum w:abstractNumId="2">
    <w:nsid w:val="E684DBB7"/>
    <w:multiLevelType w:val="singleLevel"/>
    <w:tmpl w:val="E684DBB7"/>
    <w:lvl w:ilvl="0" w:tentative="0">
      <w:start w:val="1"/>
      <w:numFmt w:val="decimal"/>
      <w:suff w:val="nothing"/>
      <w:lvlText w:val="（%1）"/>
      <w:lvlJc w:val="left"/>
    </w:lvl>
  </w:abstractNum>
  <w:abstractNum w:abstractNumId="3">
    <w:nsid w:val="ECE10C64"/>
    <w:multiLevelType w:val="singleLevel"/>
    <w:tmpl w:val="ECE10C64"/>
    <w:lvl w:ilvl="0" w:tentative="0">
      <w:start w:val="2"/>
      <w:numFmt w:val="decimal"/>
      <w:lvlText w:val="%1."/>
      <w:lvlJc w:val="left"/>
      <w:pPr>
        <w:tabs>
          <w:tab w:val="left" w:pos="312"/>
        </w:tabs>
      </w:pPr>
    </w:lvl>
  </w:abstractNum>
  <w:abstractNum w:abstractNumId="4">
    <w:nsid w:val="FCA3098F"/>
    <w:multiLevelType w:val="singleLevel"/>
    <w:tmpl w:val="FCA3098F"/>
    <w:lvl w:ilvl="0" w:tentative="0">
      <w:start w:val="4"/>
      <w:numFmt w:val="decimal"/>
      <w:suff w:val="space"/>
      <w:lvlText w:val="%1."/>
      <w:lvlJc w:val="left"/>
    </w:lvl>
  </w:abstractNum>
  <w:abstractNum w:abstractNumId="5">
    <w:nsid w:val="2EE8448F"/>
    <w:multiLevelType w:val="singleLevel"/>
    <w:tmpl w:val="2EE8448F"/>
    <w:lvl w:ilvl="0" w:tentative="0">
      <w:start w:val="1"/>
      <w:numFmt w:val="japaneseCounting"/>
      <w:pStyle w:val="147"/>
      <w:lvlText w:val="%1．"/>
      <w:lvlJc w:val="left"/>
      <w:pPr>
        <w:tabs>
          <w:tab w:val="left" w:pos="570"/>
        </w:tabs>
        <w:ind w:left="570" w:hanging="570"/>
      </w:pPr>
      <w:rPr>
        <w:rFonts w:hint="eastAsia"/>
      </w:rPr>
    </w:lvl>
  </w:abstractNum>
  <w:abstractNum w:abstractNumId="6">
    <w:nsid w:val="33EF1FC1"/>
    <w:multiLevelType w:val="multilevel"/>
    <w:tmpl w:val="33EF1FC1"/>
    <w:lvl w:ilvl="0" w:tentative="0">
      <w:start w:val="1"/>
      <w:numFmt w:val="decimal"/>
      <w:pStyle w:val="251"/>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3CBB970C"/>
    <w:multiLevelType w:val="singleLevel"/>
    <w:tmpl w:val="3CBB970C"/>
    <w:lvl w:ilvl="0" w:tentative="0">
      <w:start w:val="3"/>
      <w:numFmt w:val="decimal"/>
      <w:suff w:val="nothing"/>
      <w:lvlText w:val="（%1）"/>
      <w:lvlJc w:val="left"/>
    </w:lvl>
  </w:abstractNum>
  <w:abstractNum w:abstractNumId="8">
    <w:nsid w:val="57CF5DFB"/>
    <w:multiLevelType w:val="singleLevel"/>
    <w:tmpl w:val="57CF5DFB"/>
    <w:lvl w:ilvl="0" w:tentative="0">
      <w:start w:val="6"/>
      <w:numFmt w:val="chineseCounting"/>
      <w:suff w:val="nothing"/>
      <w:lvlText w:val="（%1）"/>
      <w:lvlJc w:val="left"/>
      <w:rPr>
        <w:rFonts w:hint="eastAsia"/>
      </w:rPr>
    </w:lvl>
  </w:abstractNum>
  <w:abstractNum w:abstractNumId="9">
    <w:nsid w:val="597D1FE4"/>
    <w:multiLevelType w:val="multilevel"/>
    <w:tmpl w:val="597D1FE4"/>
    <w:lvl w:ilvl="0" w:tentative="0">
      <w:start w:val="1"/>
      <w:numFmt w:val="decimal"/>
      <w:lvlText w:val="%1"/>
      <w:lvlJc w:val="left"/>
      <w:pPr>
        <w:tabs>
          <w:tab w:val="left" w:pos="5252"/>
        </w:tabs>
        <w:ind w:left="5252" w:hanging="432"/>
      </w:pPr>
      <w:rPr>
        <w:rFonts w:hint="default" w:ascii="宋体" w:hAnsi="宋体" w:eastAsia="宋体" w:cs="宋体"/>
      </w:rPr>
    </w:lvl>
    <w:lvl w:ilvl="1" w:tentative="0">
      <w:start w:val="1"/>
      <w:numFmt w:val="decimal"/>
      <w:lvlText w:val="%1.%2"/>
      <w:lvlJc w:val="left"/>
      <w:pPr>
        <w:tabs>
          <w:tab w:val="left" w:pos="5395"/>
        </w:tabs>
        <w:ind w:left="5395" w:hanging="575"/>
      </w:pPr>
      <w:rPr>
        <w:rFonts w:hint="default" w:ascii="宋体" w:hAnsi="宋体" w:eastAsia="宋体" w:cs="宋体"/>
      </w:rPr>
    </w:lvl>
    <w:lvl w:ilvl="2" w:tentative="0">
      <w:start w:val="1"/>
      <w:numFmt w:val="decimal"/>
      <w:suff w:val="nothing"/>
      <w:lvlText w:val="%1.%2.%3 "/>
      <w:lvlJc w:val="left"/>
      <w:pPr>
        <w:tabs>
          <w:tab w:val="left" w:pos="0"/>
        </w:tabs>
        <w:ind w:left="720" w:hanging="720"/>
      </w:pPr>
      <w:rPr>
        <w:rFonts w:hint="default" w:ascii="宋体" w:hAnsi="宋体" w:eastAsia="宋体" w:cs="宋体"/>
      </w:rPr>
    </w:lvl>
    <w:lvl w:ilvl="3" w:tentative="0">
      <w:start w:val="1"/>
      <w:numFmt w:val="decimal"/>
      <w:pStyle w:val="9"/>
      <w:lvlText w:val="%1.%2.%3.%4."/>
      <w:lvlJc w:val="left"/>
      <w:pPr>
        <w:tabs>
          <w:tab w:val="left" w:pos="5684"/>
        </w:tabs>
        <w:ind w:left="5684" w:hanging="864"/>
      </w:pPr>
      <w:rPr>
        <w:rFonts w:hint="default"/>
      </w:rPr>
    </w:lvl>
    <w:lvl w:ilvl="4" w:tentative="0">
      <w:start w:val="1"/>
      <w:numFmt w:val="decimal"/>
      <w:lvlText w:val="%1.%2.%3.%4.%5."/>
      <w:lvlJc w:val="left"/>
      <w:pPr>
        <w:tabs>
          <w:tab w:val="left" w:pos="5828"/>
        </w:tabs>
        <w:ind w:left="5828" w:hanging="1008"/>
      </w:pPr>
      <w:rPr>
        <w:rFonts w:hint="default"/>
      </w:rPr>
    </w:lvl>
    <w:lvl w:ilvl="5" w:tentative="0">
      <w:start w:val="1"/>
      <w:numFmt w:val="decimal"/>
      <w:lvlText w:val="%1.%2.%3.%4.%5.%6."/>
      <w:lvlJc w:val="left"/>
      <w:pPr>
        <w:tabs>
          <w:tab w:val="left" w:pos="5971"/>
        </w:tabs>
        <w:ind w:left="5971" w:hanging="1151"/>
      </w:pPr>
      <w:rPr>
        <w:rFonts w:hint="default"/>
      </w:rPr>
    </w:lvl>
    <w:lvl w:ilvl="6" w:tentative="0">
      <w:start w:val="1"/>
      <w:numFmt w:val="decimal"/>
      <w:lvlText w:val="%1.%2.%3.%4.%5.%6.%7."/>
      <w:lvlJc w:val="left"/>
      <w:pPr>
        <w:tabs>
          <w:tab w:val="left" w:pos="6116"/>
        </w:tabs>
        <w:ind w:left="6116" w:hanging="1296"/>
      </w:pPr>
      <w:rPr>
        <w:rFonts w:hint="default"/>
      </w:rPr>
    </w:lvl>
    <w:lvl w:ilvl="7" w:tentative="0">
      <w:start w:val="1"/>
      <w:numFmt w:val="decimal"/>
      <w:lvlText w:val="%1.%2.%3.%4.%5.%6.%7.%8."/>
      <w:lvlJc w:val="left"/>
      <w:pPr>
        <w:tabs>
          <w:tab w:val="left" w:pos="6260"/>
        </w:tabs>
        <w:ind w:left="6260" w:hanging="1440"/>
      </w:pPr>
      <w:rPr>
        <w:rFonts w:hint="default"/>
      </w:rPr>
    </w:lvl>
    <w:lvl w:ilvl="8" w:tentative="0">
      <w:start w:val="1"/>
      <w:numFmt w:val="decimal"/>
      <w:lvlText w:val="%1.%2.%3.%4.%5.%6.%7.%8.%9."/>
      <w:lvlJc w:val="left"/>
      <w:pPr>
        <w:tabs>
          <w:tab w:val="left" w:pos="6403"/>
        </w:tabs>
        <w:ind w:left="6403" w:hanging="1583"/>
      </w:pPr>
      <w:rPr>
        <w:rFonts w:hint="default"/>
      </w:rPr>
    </w:lvl>
  </w:abstractNum>
  <w:abstractNum w:abstractNumId="10">
    <w:nsid w:val="661A7D3A"/>
    <w:multiLevelType w:val="singleLevel"/>
    <w:tmpl w:val="661A7D3A"/>
    <w:lvl w:ilvl="0" w:tentative="0">
      <w:start w:val="1"/>
      <w:numFmt w:val="chineseCounting"/>
      <w:suff w:val="nothing"/>
      <w:lvlText w:val="（%1）"/>
      <w:lvlJc w:val="left"/>
      <w:rPr>
        <w:rFonts w:hint="eastAsia"/>
      </w:rPr>
    </w:lvl>
  </w:abstractNum>
  <w:abstractNum w:abstractNumId="11">
    <w:nsid w:val="7A4F76AA"/>
    <w:multiLevelType w:val="singleLevel"/>
    <w:tmpl w:val="7A4F76AA"/>
    <w:lvl w:ilvl="0" w:tentative="0">
      <w:start w:val="5"/>
      <w:numFmt w:val="decimal"/>
      <w:suff w:val="nothing"/>
      <w:lvlText w:val="%1、"/>
      <w:lvlJc w:val="left"/>
    </w:lvl>
  </w:abstractNum>
  <w:num w:numId="1">
    <w:abstractNumId w:val="9"/>
  </w:num>
  <w:num w:numId="2">
    <w:abstractNumId w:val="5"/>
  </w:num>
  <w:num w:numId="3">
    <w:abstractNumId w:val="6"/>
  </w:num>
  <w:num w:numId="4">
    <w:abstractNumId w:val="8"/>
  </w:num>
  <w:num w:numId="5">
    <w:abstractNumId w:val="7"/>
  </w:num>
  <w:num w:numId="6">
    <w:abstractNumId w:val="10"/>
  </w:num>
  <w:num w:numId="7">
    <w:abstractNumId w:val="3"/>
  </w:num>
  <w:num w:numId="8">
    <w:abstractNumId w:val="2"/>
  </w:num>
  <w:num w:numId="9">
    <w:abstractNumId w:val="11"/>
  </w:num>
  <w:num w:numId="10">
    <w:abstractNumId w:val="0"/>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210"/>
  <w:drawingGridVerticalSpacing w:val="-794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yNzg2MDYxNThkZTJhNjhlZjBhNjRjMDczNWVjYWUifQ=="/>
  </w:docVars>
  <w:rsids>
    <w:rsidRoot w:val="00172A27"/>
    <w:rsid w:val="000060B3"/>
    <w:rsid w:val="00031142"/>
    <w:rsid w:val="000357F0"/>
    <w:rsid w:val="00041ACD"/>
    <w:rsid w:val="0004364B"/>
    <w:rsid w:val="00061B1F"/>
    <w:rsid w:val="000733C4"/>
    <w:rsid w:val="00074783"/>
    <w:rsid w:val="00076F05"/>
    <w:rsid w:val="0008070B"/>
    <w:rsid w:val="000810AC"/>
    <w:rsid w:val="00081A02"/>
    <w:rsid w:val="00082231"/>
    <w:rsid w:val="000901F0"/>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5101"/>
    <w:rsid w:val="00155B47"/>
    <w:rsid w:val="00157435"/>
    <w:rsid w:val="0016168E"/>
    <w:rsid w:val="00167073"/>
    <w:rsid w:val="0017504D"/>
    <w:rsid w:val="0017671A"/>
    <w:rsid w:val="00177422"/>
    <w:rsid w:val="00184590"/>
    <w:rsid w:val="001870D1"/>
    <w:rsid w:val="0018781E"/>
    <w:rsid w:val="0019262D"/>
    <w:rsid w:val="001A1B35"/>
    <w:rsid w:val="001A286E"/>
    <w:rsid w:val="001A48A2"/>
    <w:rsid w:val="001A6F61"/>
    <w:rsid w:val="001B72B8"/>
    <w:rsid w:val="001C69B3"/>
    <w:rsid w:val="001D5595"/>
    <w:rsid w:val="001D7874"/>
    <w:rsid w:val="001D7F22"/>
    <w:rsid w:val="001E3C50"/>
    <w:rsid w:val="001F0F17"/>
    <w:rsid w:val="001F3347"/>
    <w:rsid w:val="001F69E4"/>
    <w:rsid w:val="002125B4"/>
    <w:rsid w:val="002155B8"/>
    <w:rsid w:val="00216C71"/>
    <w:rsid w:val="00224839"/>
    <w:rsid w:val="002249B2"/>
    <w:rsid w:val="00226574"/>
    <w:rsid w:val="002278EC"/>
    <w:rsid w:val="0023280E"/>
    <w:rsid w:val="002377D1"/>
    <w:rsid w:val="002506BC"/>
    <w:rsid w:val="00254345"/>
    <w:rsid w:val="0026445E"/>
    <w:rsid w:val="00264557"/>
    <w:rsid w:val="0027369A"/>
    <w:rsid w:val="002805AB"/>
    <w:rsid w:val="00284204"/>
    <w:rsid w:val="00284DEE"/>
    <w:rsid w:val="00291773"/>
    <w:rsid w:val="002A168C"/>
    <w:rsid w:val="002A3DC7"/>
    <w:rsid w:val="002B49E2"/>
    <w:rsid w:val="002B7B00"/>
    <w:rsid w:val="002B7C44"/>
    <w:rsid w:val="002C2B17"/>
    <w:rsid w:val="002C6E65"/>
    <w:rsid w:val="002D131E"/>
    <w:rsid w:val="002D3DD0"/>
    <w:rsid w:val="002D5685"/>
    <w:rsid w:val="002D6D20"/>
    <w:rsid w:val="002E1F3A"/>
    <w:rsid w:val="002E298A"/>
    <w:rsid w:val="002E3D20"/>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85ECD"/>
    <w:rsid w:val="00390857"/>
    <w:rsid w:val="003A4BF3"/>
    <w:rsid w:val="003B420D"/>
    <w:rsid w:val="003B4A89"/>
    <w:rsid w:val="003B5F8A"/>
    <w:rsid w:val="003C6C16"/>
    <w:rsid w:val="003D794D"/>
    <w:rsid w:val="003E3058"/>
    <w:rsid w:val="003E76A9"/>
    <w:rsid w:val="003F0809"/>
    <w:rsid w:val="003F6A8C"/>
    <w:rsid w:val="003F755C"/>
    <w:rsid w:val="00406F01"/>
    <w:rsid w:val="00407EAF"/>
    <w:rsid w:val="00416D50"/>
    <w:rsid w:val="00416FD5"/>
    <w:rsid w:val="00417772"/>
    <w:rsid w:val="00420E6A"/>
    <w:rsid w:val="00421CA6"/>
    <w:rsid w:val="00425A9E"/>
    <w:rsid w:val="00426D6B"/>
    <w:rsid w:val="00431E6C"/>
    <w:rsid w:val="00433CE7"/>
    <w:rsid w:val="00452738"/>
    <w:rsid w:val="00456091"/>
    <w:rsid w:val="00466321"/>
    <w:rsid w:val="00474821"/>
    <w:rsid w:val="00484B9B"/>
    <w:rsid w:val="004855F6"/>
    <w:rsid w:val="0048661E"/>
    <w:rsid w:val="00486693"/>
    <w:rsid w:val="00492D7A"/>
    <w:rsid w:val="00494670"/>
    <w:rsid w:val="004A3823"/>
    <w:rsid w:val="004D2A45"/>
    <w:rsid w:val="004E6946"/>
    <w:rsid w:val="004F13BE"/>
    <w:rsid w:val="004F1AD8"/>
    <w:rsid w:val="005039CB"/>
    <w:rsid w:val="0050558F"/>
    <w:rsid w:val="00506286"/>
    <w:rsid w:val="00510813"/>
    <w:rsid w:val="00511990"/>
    <w:rsid w:val="00511DE0"/>
    <w:rsid w:val="00512CE9"/>
    <w:rsid w:val="00514870"/>
    <w:rsid w:val="00514B9B"/>
    <w:rsid w:val="00517F02"/>
    <w:rsid w:val="005220A7"/>
    <w:rsid w:val="00524303"/>
    <w:rsid w:val="005258A2"/>
    <w:rsid w:val="005401AE"/>
    <w:rsid w:val="00542E07"/>
    <w:rsid w:val="00545424"/>
    <w:rsid w:val="00554A7B"/>
    <w:rsid w:val="0055572C"/>
    <w:rsid w:val="0056106A"/>
    <w:rsid w:val="005720AE"/>
    <w:rsid w:val="00586F88"/>
    <w:rsid w:val="00594D77"/>
    <w:rsid w:val="005969E4"/>
    <w:rsid w:val="005A06B7"/>
    <w:rsid w:val="005A1759"/>
    <w:rsid w:val="005A68A7"/>
    <w:rsid w:val="005D2535"/>
    <w:rsid w:val="005D36AB"/>
    <w:rsid w:val="00607668"/>
    <w:rsid w:val="00615CCF"/>
    <w:rsid w:val="00617CC3"/>
    <w:rsid w:val="00625348"/>
    <w:rsid w:val="006377A6"/>
    <w:rsid w:val="00637A3D"/>
    <w:rsid w:val="006411EF"/>
    <w:rsid w:val="006748B8"/>
    <w:rsid w:val="006775C3"/>
    <w:rsid w:val="00677AE2"/>
    <w:rsid w:val="0069290A"/>
    <w:rsid w:val="0069775A"/>
    <w:rsid w:val="00697813"/>
    <w:rsid w:val="006A3EE8"/>
    <w:rsid w:val="006A72BF"/>
    <w:rsid w:val="006B03F2"/>
    <w:rsid w:val="006B37DC"/>
    <w:rsid w:val="006B4F68"/>
    <w:rsid w:val="006C0592"/>
    <w:rsid w:val="006C272E"/>
    <w:rsid w:val="006C5479"/>
    <w:rsid w:val="006C6283"/>
    <w:rsid w:val="006C68BA"/>
    <w:rsid w:val="006D13B5"/>
    <w:rsid w:val="006E12FF"/>
    <w:rsid w:val="006E5E63"/>
    <w:rsid w:val="006E607E"/>
    <w:rsid w:val="006F7B33"/>
    <w:rsid w:val="00706C5D"/>
    <w:rsid w:val="00720010"/>
    <w:rsid w:val="00732922"/>
    <w:rsid w:val="0075162E"/>
    <w:rsid w:val="00754034"/>
    <w:rsid w:val="00756556"/>
    <w:rsid w:val="007618C4"/>
    <w:rsid w:val="00767980"/>
    <w:rsid w:val="00770B19"/>
    <w:rsid w:val="00773061"/>
    <w:rsid w:val="0077463F"/>
    <w:rsid w:val="0078136E"/>
    <w:rsid w:val="007836EA"/>
    <w:rsid w:val="00784CDA"/>
    <w:rsid w:val="007878AD"/>
    <w:rsid w:val="007906C4"/>
    <w:rsid w:val="007940EA"/>
    <w:rsid w:val="007967E8"/>
    <w:rsid w:val="007A2170"/>
    <w:rsid w:val="007A22BF"/>
    <w:rsid w:val="007A3323"/>
    <w:rsid w:val="007B72B8"/>
    <w:rsid w:val="007B7A58"/>
    <w:rsid w:val="007B7B3E"/>
    <w:rsid w:val="007C21B5"/>
    <w:rsid w:val="007C428F"/>
    <w:rsid w:val="007D42F9"/>
    <w:rsid w:val="007E4BD2"/>
    <w:rsid w:val="00801393"/>
    <w:rsid w:val="00802F88"/>
    <w:rsid w:val="0081293E"/>
    <w:rsid w:val="00815465"/>
    <w:rsid w:val="00817E9A"/>
    <w:rsid w:val="008306BD"/>
    <w:rsid w:val="00830BF3"/>
    <w:rsid w:val="00831A80"/>
    <w:rsid w:val="00833743"/>
    <w:rsid w:val="008340A4"/>
    <w:rsid w:val="00850B3C"/>
    <w:rsid w:val="008527E1"/>
    <w:rsid w:val="00856781"/>
    <w:rsid w:val="00857075"/>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4B5"/>
    <w:rsid w:val="008E76F0"/>
    <w:rsid w:val="008F15FE"/>
    <w:rsid w:val="008F2D29"/>
    <w:rsid w:val="008F5187"/>
    <w:rsid w:val="008F60D8"/>
    <w:rsid w:val="00902727"/>
    <w:rsid w:val="0090312B"/>
    <w:rsid w:val="0091736D"/>
    <w:rsid w:val="0093037A"/>
    <w:rsid w:val="0094154D"/>
    <w:rsid w:val="0095155F"/>
    <w:rsid w:val="00951E7E"/>
    <w:rsid w:val="00954429"/>
    <w:rsid w:val="009563CE"/>
    <w:rsid w:val="009630DA"/>
    <w:rsid w:val="00976328"/>
    <w:rsid w:val="0097680D"/>
    <w:rsid w:val="00982438"/>
    <w:rsid w:val="0098404C"/>
    <w:rsid w:val="00985283"/>
    <w:rsid w:val="00995992"/>
    <w:rsid w:val="009A03E5"/>
    <w:rsid w:val="009A0F3B"/>
    <w:rsid w:val="009A1BB4"/>
    <w:rsid w:val="009A2628"/>
    <w:rsid w:val="009A3200"/>
    <w:rsid w:val="009B0897"/>
    <w:rsid w:val="009B351F"/>
    <w:rsid w:val="009B5D68"/>
    <w:rsid w:val="009B7BD9"/>
    <w:rsid w:val="009C74E6"/>
    <w:rsid w:val="009C7DD5"/>
    <w:rsid w:val="009D15EF"/>
    <w:rsid w:val="009D2266"/>
    <w:rsid w:val="009D2F4B"/>
    <w:rsid w:val="009E0CC5"/>
    <w:rsid w:val="009E227D"/>
    <w:rsid w:val="009E5019"/>
    <w:rsid w:val="009F2932"/>
    <w:rsid w:val="00A04F1B"/>
    <w:rsid w:val="00A0501B"/>
    <w:rsid w:val="00A14947"/>
    <w:rsid w:val="00A32A83"/>
    <w:rsid w:val="00A368DB"/>
    <w:rsid w:val="00A423AA"/>
    <w:rsid w:val="00A53EC6"/>
    <w:rsid w:val="00A55C0F"/>
    <w:rsid w:val="00A61EF6"/>
    <w:rsid w:val="00A8713F"/>
    <w:rsid w:val="00A87501"/>
    <w:rsid w:val="00A90BA1"/>
    <w:rsid w:val="00A97A9A"/>
    <w:rsid w:val="00AA0671"/>
    <w:rsid w:val="00AA2317"/>
    <w:rsid w:val="00AA2531"/>
    <w:rsid w:val="00AB1E09"/>
    <w:rsid w:val="00AB5330"/>
    <w:rsid w:val="00AB7747"/>
    <w:rsid w:val="00AC0FFE"/>
    <w:rsid w:val="00AC14CE"/>
    <w:rsid w:val="00AC2A56"/>
    <w:rsid w:val="00AC704B"/>
    <w:rsid w:val="00AD055E"/>
    <w:rsid w:val="00AD1762"/>
    <w:rsid w:val="00AD47A7"/>
    <w:rsid w:val="00AF0CBF"/>
    <w:rsid w:val="00AF257F"/>
    <w:rsid w:val="00AF33CF"/>
    <w:rsid w:val="00AF4D50"/>
    <w:rsid w:val="00AF6179"/>
    <w:rsid w:val="00B1295A"/>
    <w:rsid w:val="00B20A45"/>
    <w:rsid w:val="00B22C5C"/>
    <w:rsid w:val="00B24F30"/>
    <w:rsid w:val="00B31ABF"/>
    <w:rsid w:val="00B33BE3"/>
    <w:rsid w:val="00B34090"/>
    <w:rsid w:val="00B53B5D"/>
    <w:rsid w:val="00B6055E"/>
    <w:rsid w:val="00B6317D"/>
    <w:rsid w:val="00B7723F"/>
    <w:rsid w:val="00B80534"/>
    <w:rsid w:val="00B8433C"/>
    <w:rsid w:val="00B87491"/>
    <w:rsid w:val="00B972B7"/>
    <w:rsid w:val="00BA212F"/>
    <w:rsid w:val="00BA29E9"/>
    <w:rsid w:val="00BA7142"/>
    <w:rsid w:val="00BB237C"/>
    <w:rsid w:val="00BB41A3"/>
    <w:rsid w:val="00BC32DC"/>
    <w:rsid w:val="00BC35B6"/>
    <w:rsid w:val="00BD1B51"/>
    <w:rsid w:val="00BD4596"/>
    <w:rsid w:val="00BE1405"/>
    <w:rsid w:val="00BE312D"/>
    <w:rsid w:val="00BF1C20"/>
    <w:rsid w:val="00BF2355"/>
    <w:rsid w:val="00C10578"/>
    <w:rsid w:val="00C135BC"/>
    <w:rsid w:val="00C15C95"/>
    <w:rsid w:val="00C2596A"/>
    <w:rsid w:val="00C27537"/>
    <w:rsid w:val="00C328FE"/>
    <w:rsid w:val="00C33507"/>
    <w:rsid w:val="00C3771F"/>
    <w:rsid w:val="00C404EE"/>
    <w:rsid w:val="00C433ED"/>
    <w:rsid w:val="00C4409D"/>
    <w:rsid w:val="00C44E72"/>
    <w:rsid w:val="00C45A06"/>
    <w:rsid w:val="00C47E5B"/>
    <w:rsid w:val="00C5575F"/>
    <w:rsid w:val="00C61E4B"/>
    <w:rsid w:val="00C64BFF"/>
    <w:rsid w:val="00C6504F"/>
    <w:rsid w:val="00C704E9"/>
    <w:rsid w:val="00C763C9"/>
    <w:rsid w:val="00C76A13"/>
    <w:rsid w:val="00C80057"/>
    <w:rsid w:val="00C82232"/>
    <w:rsid w:val="00C82913"/>
    <w:rsid w:val="00C905A2"/>
    <w:rsid w:val="00C972B1"/>
    <w:rsid w:val="00CA2CCE"/>
    <w:rsid w:val="00CA43FD"/>
    <w:rsid w:val="00CA7B03"/>
    <w:rsid w:val="00CA7EF8"/>
    <w:rsid w:val="00CC489B"/>
    <w:rsid w:val="00CD2BCD"/>
    <w:rsid w:val="00CD3A4C"/>
    <w:rsid w:val="00CE0940"/>
    <w:rsid w:val="00CE10E9"/>
    <w:rsid w:val="00CE2910"/>
    <w:rsid w:val="00CE5393"/>
    <w:rsid w:val="00CE6CA3"/>
    <w:rsid w:val="00CF1134"/>
    <w:rsid w:val="00CF36BE"/>
    <w:rsid w:val="00CF6000"/>
    <w:rsid w:val="00D003F3"/>
    <w:rsid w:val="00D0364F"/>
    <w:rsid w:val="00D06485"/>
    <w:rsid w:val="00D06834"/>
    <w:rsid w:val="00D308ED"/>
    <w:rsid w:val="00D36D86"/>
    <w:rsid w:val="00D428AA"/>
    <w:rsid w:val="00D4369D"/>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46AF1"/>
    <w:rsid w:val="00E528E8"/>
    <w:rsid w:val="00E56322"/>
    <w:rsid w:val="00E60982"/>
    <w:rsid w:val="00E62C62"/>
    <w:rsid w:val="00E645F8"/>
    <w:rsid w:val="00E654C1"/>
    <w:rsid w:val="00E65D97"/>
    <w:rsid w:val="00E72A5A"/>
    <w:rsid w:val="00E73354"/>
    <w:rsid w:val="00E9242D"/>
    <w:rsid w:val="00E9677F"/>
    <w:rsid w:val="00EB5255"/>
    <w:rsid w:val="00EB5C47"/>
    <w:rsid w:val="00EC0544"/>
    <w:rsid w:val="00EC3524"/>
    <w:rsid w:val="00ED0639"/>
    <w:rsid w:val="00EF4755"/>
    <w:rsid w:val="00EF7135"/>
    <w:rsid w:val="00F027DB"/>
    <w:rsid w:val="00F048E8"/>
    <w:rsid w:val="00F14A7A"/>
    <w:rsid w:val="00F22985"/>
    <w:rsid w:val="00F3363D"/>
    <w:rsid w:val="00F3383E"/>
    <w:rsid w:val="00F45666"/>
    <w:rsid w:val="00F465A7"/>
    <w:rsid w:val="00F50B7C"/>
    <w:rsid w:val="00F550E6"/>
    <w:rsid w:val="00F652FD"/>
    <w:rsid w:val="00F74345"/>
    <w:rsid w:val="00F80A0A"/>
    <w:rsid w:val="00F82B19"/>
    <w:rsid w:val="00F9212D"/>
    <w:rsid w:val="00F92165"/>
    <w:rsid w:val="00F965DA"/>
    <w:rsid w:val="00FA406A"/>
    <w:rsid w:val="00FA7E29"/>
    <w:rsid w:val="00FB503A"/>
    <w:rsid w:val="00FB516C"/>
    <w:rsid w:val="00FB6CF8"/>
    <w:rsid w:val="00FB7185"/>
    <w:rsid w:val="00FD0236"/>
    <w:rsid w:val="00FD18F4"/>
    <w:rsid w:val="00FD54DB"/>
    <w:rsid w:val="00FD619F"/>
    <w:rsid w:val="01211E2A"/>
    <w:rsid w:val="01290F7E"/>
    <w:rsid w:val="012F2730"/>
    <w:rsid w:val="01460D9A"/>
    <w:rsid w:val="015D1E09"/>
    <w:rsid w:val="015D63FC"/>
    <w:rsid w:val="016F5A4D"/>
    <w:rsid w:val="01A4253F"/>
    <w:rsid w:val="01AD3E66"/>
    <w:rsid w:val="01B3775E"/>
    <w:rsid w:val="01BB17A1"/>
    <w:rsid w:val="01C40DDD"/>
    <w:rsid w:val="01DB299C"/>
    <w:rsid w:val="02162139"/>
    <w:rsid w:val="02385327"/>
    <w:rsid w:val="023F484A"/>
    <w:rsid w:val="02697903"/>
    <w:rsid w:val="02753E85"/>
    <w:rsid w:val="02775E4F"/>
    <w:rsid w:val="02A31452"/>
    <w:rsid w:val="02A640E8"/>
    <w:rsid w:val="02CB619B"/>
    <w:rsid w:val="02DE7C7D"/>
    <w:rsid w:val="02F96569"/>
    <w:rsid w:val="02FC3CB9"/>
    <w:rsid w:val="02FE01CA"/>
    <w:rsid w:val="030A2E8B"/>
    <w:rsid w:val="031606FA"/>
    <w:rsid w:val="032C46F5"/>
    <w:rsid w:val="033856D9"/>
    <w:rsid w:val="034D2693"/>
    <w:rsid w:val="03561E30"/>
    <w:rsid w:val="035B5D0E"/>
    <w:rsid w:val="036956E6"/>
    <w:rsid w:val="0370464D"/>
    <w:rsid w:val="038A7E04"/>
    <w:rsid w:val="03A24E2E"/>
    <w:rsid w:val="03B035A6"/>
    <w:rsid w:val="03C15907"/>
    <w:rsid w:val="03CB66A7"/>
    <w:rsid w:val="03DB1C59"/>
    <w:rsid w:val="03E77215"/>
    <w:rsid w:val="03EA7B21"/>
    <w:rsid w:val="03F323CC"/>
    <w:rsid w:val="040709C8"/>
    <w:rsid w:val="04195F68"/>
    <w:rsid w:val="04392755"/>
    <w:rsid w:val="045521C0"/>
    <w:rsid w:val="04603EF6"/>
    <w:rsid w:val="04635272"/>
    <w:rsid w:val="047B2FED"/>
    <w:rsid w:val="048F1274"/>
    <w:rsid w:val="049C4F1D"/>
    <w:rsid w:val="04B31719"/>
    <w:rsid w:val="04EC7421"/>
    <w:rsid w:val="04FD724E"/>
    <w:rsid w:val="051947F9"/>
    <w:rsid w:val="05597F13"/>
    <w:rsid w:val="0580501B"/>
    <w:rsid w:val="059268C4"/>
    <w:rsid w:val="059A347C"/>
    <w:rsid w:val="05B9677F"/>
    <w:rsid w:val="05BB24F7"/>
    <w:rsid w:val="05BD7089"/>
    <w:rsid w:val="05C965F0"/>
    <w:rsid w:val="05D67331"/>
    <w:rsid w:val="05F83EAE"/>
    <w:rsid w:val="06065E40"/>
    <w:rsid w:val="062744B1"/>
    <w:rsid w:val="0635669A"/>
    <w:rsid w:val="063A63AF"/>
    <w:rsid w:val="063E7D85"/>
    <w:rsid w:val="064811D3"/>
    <w:rsid w:val="06634348"/>
    <w:rsid w:val="06B831C8"/>
    <w:rsid w:val="06BA6606"/>
    <w:rsid w:val="06BF5D4E"/>
    <w:rsid w:val="06D729CD"/>
    <w:rsid w:val="06D82C35"/>
    <w:rsid w:val="07293586"/>
    <w:rsid w:val="07295285"/>
    <w:rsid w:val="072B33CD"/>
    <w:rsid w:val="0741135D"/>
    <w:rsid w:val="07636392"/>
    <w:rsid w:val="07666493"/>
    <w:rsid w:val="07760940"/>
    <w:rsid w:val="07770C56"/>
    <w:rsid w:val="077E1FE6"/>
    <w:rsid w:val="07857DB0"/>
    <w:rsid w:val="07C13FE4"/>
    <w:rsid w:val="07EA6E3F"/>
    <w:rsid w:val="080E326F"/>
    <w:rsid w:val="08316828"/>
    <w:rsid w:val="085E5043"/>
    <w:rsid w:val="085E53BC"/>
    <w:rsid w:val="086473DD"/>
    <w:rsid w:val="08800364"/>
    <w:rsid w:val="08971B90"/>
    <w:rsid w:val="08A31D09"/>
    <w:rsid w:val="08A62E3F"/>
    <w:rsid w:val="08AF6E31"/>
    <w:rsid w:val="08DC4C5E"/>
    <w:rsid w:val="08E934C8"/>
    <w:rsid w:val="091F5511"/>
    <w:rsid w:val="092217DD"/>
    <w:rsid w:val="0925781D"/>
    <w:rsid w:val="093A7294"/>
    <w:rsid w:val="093E6584"/>
    <w:rsid w:val="094B714A"/>
    <w:rsid w:val="098B21E0"/>
    <w:rsid w:val="098E519B"/>
    <w:rsid w:val="09935AC3"/>
    <w:rsid w:val="09A339CE"/>
    <w:rsid w:val="0A263993"/>
    <w:rsid w:val="0A2D3AC2"/>
    <w:rsid w:val="0A90075E"/>
    <w:rsid w:val="0A943317"/>
    <w:rsid w:val="0A9C07A5"/>
    <w:rsid w:val="0AA2328D"/>
    <w:rsid w:val="0AA755DF"/>
    <w:rsid w:val="0AAE43D8"/>
    <w:rsid w:val="0ABD4847"/>
    <w:rsid w:val="0AD04A95"/>
    <w:rsid w:val="0AF34846"/>
    <w:rsid w:val="0B045E9D"/>
    <w:rsid w:val="0B0A58F1"/>
    <w:rsid w:val="0B120D44"/>
    <w:rsid w:val="0B17001C"/>
    <w:rsid w:val="0B210234"/>
    <w:rsid w:val="0B611987"/>
    <w:rsid w:val="0B796626"/>
    <w:rsid w:val="0B802AB7"/>
    <w:rsid w:val="0B82775D"/>
    <w:rsid w:val="0B8670C7"/>
    <w:rsid w:val="0B8E420A"/>
    <w:rsid w:val="0B93279A"/>
    <w:rsid w:val="0B9C1ACC"/>
    <w:rsid w:val="0BA10BB6"/>
    <w:rsid w:val="0BA118E7"/>
    <w:rsid w:val="0BB26C75"/>
    <w:rsid w:val="0BC518C6"/>
    <w:rsid w:val="0BCE3E13"/>
    <w:rsid w:val="0BD27BF6"/>
    <w:rsid w:val="0C3B3C7D"/>
    <w:rsid w:val="0C3E0978"/>
    <w:rsid w:val="0C430B50"/>
    <w:rsid w:val="0C4A0131"/>
    <w:rsid w:val="0C591671"/>
    <w:rsid w:val="0C6C6ABA"/>
    <w:rsid w:val="0C7837E8"/>
    <w:rsid w:val="0C8005A6"/>
    <w:rsid w:val="0C831386"/>
    <w:rsid w:val="0C836DFA"/>
    <w:rsid w:val="0CA36299"/>
    <w:rsid w:val="0CAB2EAE"/>
    <w:rsid w:val="0CCC5DEC"/>
    <w:rsid w:val="0CFF06B3"/>
    <w:rsid w:val="0D0F5959"/>
    <w:rsid w:val="0D11100A"/>
    <w:rsid w:val="0D2E61CA"/>
    <w:rsid w:val="0D5004C9"/>
    <w:rsid w:val="0D5B3CB5"/>
    <w:rsid w:val="0D602280"/>
    <w:rsid w:val="0D621C7D"/>
    <w:rsid w:val="0D7F4822"/>
    <w:rsid w:val="0D883F1F"/>
    <w:rsid w:val="0D90024C"/>
    <w:rsid w:val="0D9F0360"/>
    <w:rsid w:val="0DA25D4B"/>
    <w:rsid w:val="0DA44D17"/>
    <w:rsid w:val="0DBF626F"/>
    <w:rsid w:val="0DCD3FCE"/>
    <w:rsid w:val="0DF751C4"/>
    <w:rsid w:val="0E01128E"/>
    <w:rsid w:val="0E1741BD"/>
    <w:rsid w:val="0E2A021A"/>
    <w:rsid w:val="0E3A34EA"/>
    <w:rsid w:val="0E64645C"/>
    <w:rsid w:val="0E73034D"/>
    <w:rsid w:val="0E8B3370"/>
    <w:rsid w:val="0EB439B7"/>
    <w:rsid w:val="0EE228A3"/>
    <w:rsid w:val="0EF95E3E"/>
    <w:rsid w:val="0F012ED3"/>
    <w:rsid w:val="0F0C3DC3"/>
    <w:rsid w:val="0F127C0C"/>
    <w:rsid w:val="0F13775A"/>
    <w:rsid w:val="0F5A2BFA"/>
    <w:rsid w:val="0F5F45FE"/>
    <w:rsid w:val="0F6238BD"/>
    <w:rsid w:val="0F741936"/>
    <w:rsid w:val="0F76555A"/>
    <w:rsid w:val="0F7C6A5D"/>
    <w:rsid w:val="0F9342EA"/>
    <w:rsid w:val="0F9A112B"/>
    <w:rsid w:val="0F9C1A49"/>
    <w:rsid w:val="0FB74893"/>
    <w:rsid w:val="0FE61D30"/>
    <w:rsid w:val="100561EC"/>
    <w:rsid w:val="10175F89"/>
    <w:rsid w:val="10256ED7"/>
    <w:rsid w:val="103F19BB"/>
    <w:rsid w:val="10401F77"/>
    <w:rsid w:val="104233D7"/>
    <w:rsid w:val="10503015"/>
    <w:rsid w:val="106D2F64"/>
    <w:rsid w:val="10714882"/>
    <w:rsid w:val="108A3888"/>
    <w:rsid w:val="10B63710"/>
    <w:rsid w:val="10E42CCD"/>
    <w:rsid w:val="10F10820"/>
    <w:rsid w:val="11005262"/>
    <w:rsid w:val="110F18B2"/>
    <w:rsid w:val="111127E6"/>
    <w:rsid w:val="111C2F7A"/>
    <w:rsid w:val="113E7EA9"/>
    <w:rsid w:val="114535BD"/>
    <w:rsid w:val="115869FA"/>
    <w:rsid w:val="115B2D3B"/>
    <w:rsid w:val="116538CB"/>
    <w:rsid w:val="11665CA1"/>
    <w:rsid w:val="117250FF"/>
    <w:rsid w:val="119E4981"/>
    <w:rsid w:val="11DF30C9"/>
    <w:rsid w:val="11F05B3A"/>
    <w:rsid w:val="11F94976"/>
    <w:rsid w:val="120F6EE1"/>
    <w:rsid w:val="121A0681"/>
    <w:rsid w:val="123F1DBA"/>
    <w:rsid w:val="12555419"/>
    <w:rsid w:val="12562BFC"/>
    <w:rsid w:val="12641821"/>
    <w:rsid w:val="1265299B"/>
    <w:rsid w:val="128E5FAC"/>
    <w:rsid w:val="12902616"/>
    <w:rsid w:val="12A74238"/>
    <w:rsid w:val="12AA1F5E"/>
    <w:rsid w:val="12CF28EA"/>
    <w:rsid w:val="12DA6E37"/>
    <w:rsid w:val="12E254FB"/>
    <w:rsid w:val="131F271E"/>
    <w:rsid w:val="13237857"/>
    <w:rsid w:val="13474931"/>
    <w:rsid w:val="135B70C7"/>
    <w:rsid w:val="135E778E"/>
    <w:rsid w:val="136F4E1E"/>
    <w:rsid w:val="13890FC6"/>
    <w:rsid w:val="13951726"/>
    <w:rsid w:val="13A67ACB"/>
    <w:rsid w:val="13BD2572"/>
    <w:rsid w:val="13C42392"/>
    <w:rsid w:val="13FA41EA"/>
    <w:rsid w:val="140D0C3F"/>
    <w:rsid w:val="14105CEB"/>
    <w:rsid w:val="141E17BB"/>
    <w:rsid w:val="142F2762"/>
    <w:rsid w:val="14356B49"/>
    <w:rsid w:val="14396509"/>
    <w:rsid w:val="145E0C1D"/>
    <w:rsid w:val="1469430D"/>
    <w:rsid w:val="14700951"/>
    <w:rsid w:val="14D07641"/>
    <w:rsid w:val="14DD2C3C"/>
    <w:rsid w:val="150C68CB"/>
    <w:rsid w:val="1523280D"/>
    <w:rsid w:val="154A2A83"/>
    <w:rsid w:val="15551FB6"/>
    <w:rsid w:val="15583CB7"/>
    <w:rsid w:val="15612FBC"/>
    <w:rsid w:val="1572564B"/>
    <w:rsid w:val="15854816"/>
    <w:rsid w:val="159378CF"/>
    <w:rsid w:val="15A5462A"/>
    <w:rsid w:val="15C94D4E"/>
    <w:rsid w:val="15CA5B4B"/>
    <w:rsid w:val="15E70540"/>
    <w:rsid w:val="16087E1D"/>
    <w:rsid w:val="161D0057"/>
    <w:rsid w:val="162A5E87"/>
    <w:rsid w:val="16372984"/>
    <w:rsid w:val="16372FEA"/>
    <w:rsid w:val="16452020"/>
    <w:rsid w:val="16710152"/>
    <w:rsid w:val="16741C0C"/>
    <w:rsid w:val="16826932"/>
    <w:rsid w:val="16853E6C"/>
    <w:rsid w:val="168D57EA"/>
    <w:rsid w:val="168E3310"/>
    <w:rsid w:val="16B25A2E"/>
    <w:rsid w:val="16D24AD5"/>
    <w:rsid w:val="16F95A20"/>
    <w:rsid w:val="1703785A"/>
    <w:rsid w:val="170757A4"/>
    <w:rsid w:val="17165ABD"/>
    <w:rsid w:val="171B1048"/>
    <w:rsid w:val="17273EF3"/>
    <w:rsid w:val="172C7222"/>
    <w:rsid w:val="175B20F3"/>
    <w:rsid w:val="17701D14"/>
    <w:rsid w:val="17735226"/>
    <w:rsid w:val="179C5284"/>
    <w:rsid w:val="17B825FA"/>
    <w:rsid w:val="17E3040C"/>
    <w:rsid w:val="1852392A"/>
    <w:rsid w:val="185F31B6"/>
    <w:rsid w:val="187F2592"/>
    <w:rsid w:val="189109A8"/>
    <w:rsid w:val="189F624C"/>
    <w:rsid w:val="18BD05EF"/>
    <w:rsid w:val="18E718F4"/>
    <w:rsid w:val="18F31102"/>
    <w:rsid w:val="18FA1864"/>
    <w:rsid w:val="19061218"/>
    <w:rsid w:val="192B4E46"/>
    <w:rsid w:val="1955656E"/>
    <w:rsid w:val="199B57BD"/>
    <w:rsid w:val="19B90066"/>
    <w:rsid w:val="19E27BFB"/>
    <w:rsid w:val="19E75165"/>
    <w:rsid w:val="19E971DB"/>
    <w:rsid w:val="19FE2C6F"/>
    <w:rsid w:val="1A1104E0"/>
    <w:rsid w:val="1A1A307C"/>
    <w:rsid w:val="1A1C66C0"/>
    <w:rsid w:val="1A42393B"/>
    <w:rsid w:val="1A4C54B1"/>
    <w:rsid w:val="1A6264CB"/>
    <w:rsid w:val="1A635595"/>
    <w:rsid w:val="1A742624"/>
    <w:rsid w:val="1A795B6E"/>
    <w:rsid w:val="1A8F0CA4"/>
    <w:rsid w:val="1AAD45DE"/>
    <w:rsid w:val="1AC85664"/>
    <w:rsid w:val="1AF070C2"/>
    <w:rsid w:val="1B001DF1"/>
    <w:rsid w:val="1B001ECC"/>
    <w:rsid w:val="1B046F80"/>
    <w:rsid w:val="1B072E29"/>
    <w:rsid w:val="1B0847D7"/>
    <w:rsid w:val="1B170D77"/>
    <w:rsid w:val="1B1F4373"/>
    <w:rsid w:val="1B3267B5"/>
    <w:rsid w:val="1B40161D"/>
    <w:rsid w:val="1B441859"/>
    <w:rsid w:val="1B4B592E"/>
    <w:rsid w:val="1B6606B1"/>
    <w:rsid w:val="1B753723"/>
    <w:rsid w:val="1B776A68"/>
    <w:rsid w:val="1B9E0FF5"/>
    <w:rsid w:val="1B9E3FF5"/>
    <w:rsid w:val="1BAE5BB8"/>
    <w:rsid w:val="1BD110BB"/>
    <w:rsid w:val="1BE506A0"/>
    <w:rsid w:val="1BEE4751"/>
    <w:rsid w:val="1BFA0CB1"/>
    <w:rsid w:val="1C01246E"/>
    <w:rsid w:val="1C192366"/>
    <w:rsid w:val="1C205129"/>
    <w:rsid w:val="1C294811"/>
    <w:rsid w:val="1C47643B"/>
    <w:rsid w:val="1C4F6AE7"/>
    <w:rsid w:val="1C5E7925"/>
    <w:rsid w:val="1C7D5A13"/>
    <w:rsid w:val="1C821675"/>
    <w:rsid w:val="1C93073C"/>
    <w:rsid w:val="1CAA49F4"/>
    <w:rsid w:val="1CAD59D7"/>
    <w:rsid w:val="1CAD7667"/>
    <w:rsid w:val="1CB258B3"/>
    <w:rsid w:val="1CEE5261"/>
    <w:rsid w:val="1CFA4C43"/>
    <w:rsid w:val="1CFD070F"/>
    <w:rsid w:val="1D0D4C53"/>
    <w:rsid w:val="1D13466D"/>
    <w:rsid w:val="1D3D7EF3"/>
    <w:rsid w:val="1D4A057E"/>
    <w:rsid w:val="1D5F6196"/>
    <w:rsid w:val="1D6132A5"/>
    <w:rsid w:val="1D646408"/>
    <w:rsid w:val="1D710D2A"/>
    <w:rsid w:val="1D72564D"/>
    <w:rsid w:val="1D8E56D5"/>
    <w:rsid w:val="1DAA43EE"/>
    <w:rsid w:val="1DAB497F"/>
    <w:rsid w:val="1DC75DEB"/>
    <w:rsid w:val="1DC77208"/>
    <w:rsid w:val="1DCC1FED"/>
    <w:rsid w:val="1DF5717A"/>
    <w:rsid w:val="1E0F7546"/>
    <w:rsid w:val="1E144788"/>
    <w:rsid w:val="1E170497"/>
    <w:rsid w:val="1E473D11"/>
    <w:rsid w:val="1E5020B6"/>
    <w:rsid w:val="1E7A43DA"/>
    <w:rsid w:val="1E7F3B1C"/>
    <w:rsid w:val="1E8A6C87"/>
    <w:rsid w:val="1EA86C92"/>
    <w:rsid w:val="1EAF422E"/>
    <w:rsid w:val="1EB56DAF"/>
    <w:rsid w:val="1EE576F5"/>
    <w:rsid w:val="1F0834FF"/>
    <w:rsid w:val="1F14746B"/>
    <w:rsid w:val="1F4629DA"/>
    <w:rsid w:val="1F83709F"/>
    <w:rsid w:val="1F8452B0"/>
    <w:rsid w:val="1F8B28FD"/>
    <w:rsid w:val="1F9D636F"/>
    <w:rsid w:val="1FB1358B"/>
    <w:rsid w:val="1FB913FE"/>
    <w:rsid w:val="1FD224BF"/>
    <w:rsid w:val="1FDB35F9"/>
    <w:rsid w:val="1FE7539E"/>
    <w:rsid w:val="20011A4A"/>
    <w:rsid w:val="20034C4A"/>
    <w:rsid w:val="200F1D69"/>
    <w:rsid w:val="204074DD"/>
    <w:rsid w:val="20434EB8"/>
    <w:rsid w:val="204E6BF0"/>
    <w:rsid w:val="206231BF"/>
    <w:rsid w:val="20671BE0"/>
    <w:rsid w:val="207075A7"/>
    <w:rsid w:val="207578E5"/>
    <w:rsid w:val="20785D9F"/>
    <w:rsid w:val="208B21C1"/>
    <w:rsid w:val="20963CB8"/>
    <w:rsid w:val="20A81A1B"/>
    <w:rsid w:val="20A976C4"/>
    <w:rsid w:val="20AA6F98"/>
    <w:rsid w:val="20B07FB6"/>
    <w:rsid w:val="20B646FB"/>
    <w:rsid w:val="20BD15D1"/>
    <w:rsid w:val="211E0916"/>
    <w:rsid w:val="213B74B1"/>
    <w:rsid w:val="213F0E4A"/>
    <w:rsid w:val="21413E90"/>
    <w:rsid w:val="2148336D"/>
    <w:rsid w:val="215A2310"/>
    <w:rsid w:val="215A6C10"/>
    <w:rsid w:val="21A140ED"/>
    <w:rsid w:val="21B604F8"/>
    <w:rsid w:val="21D03407"/>
    <w:rsid w:val="21D45AA9"/>
    <w:rsid w:val="21D7200F"/>
    <w:rsid w:val="21DE318A"/>
    <w:rsid w:val="21EF5B80"/>
    <w:rsid w:val="22025CAA"/>
    <w:rsid w:val="22044217"/>
    <w:rsid w:val="2229020F"/>
    <w:rsid w:val="22576990"/>
    <w:rsid w:val="226220C7"/>
    <w:rsid w:val="22653FDB"/>
    <w:rsid w:val="22681257"/>
    <w:rsid w:val="227F4A93"/>
    <w:rsid w:val="22947F00"/>
    <w:rsid w:val="2299569C"/>
    <w:rsid w:val="22A0546D"/>
    <w:rsid w:val="22B033F0"/>
    <w:rsid w:val="22C30018"/>
    <w:rsid w:val="22EE7610"/>
    <w:rsid w:val="22F47480"/>
    <w:rsid w:val="22F621A3"/>
    <w:rsid w:val="22FA15C5"/>
    <w:rsid w:val="22FB586C"/>
    <w:rsid w:val="230C3F3A"/>
    <w:rsid w:val="23183694"/>
    <w:rsid w:val="23264905"/>
    <w:rsid w:val="232E542C"/>
    <w:rsid w:val="23A25CC2"/>
    <w:rsid w:val="23C245F9"/>
    <w:rsid w:val="23C44D4D"/>
    <w:rsid w:val="23CB7951"/>
    <w:rsid w:val="23DD51CF"/>
    <w:rsid w:val="23DE1C48"/>
    <w:rsid w:val="240210CD"/>
    <w:rsid w:val="240A2FE8"/>
    <w:rsid w:val="240C24F3"/>
    <w:rsid w:val="2431383D"/>
    <w:rsid w:val="2431626E"/>
    <w:rsid w:val="243E45C7"/>
    <w:rsid w:val="246D6944"/>
    <w:rsid w:val="24BF09F7"/>
    <w:rsid w:val="24C34ACD"/>
    <w:rsid w:val="24C55680"/>
    <w:rsid w:val="24C62BF5"/>
    <w:rsid w:val="24D624CB"/>
    <w:rsid w:val="24FA2BA5"/>
    <w:rsid w:val="25122324"/>
    <w:rsid w:val="252D53FE"/>
    <w:rsid w:val="25306DE0"/>
    <w:rsid w:val="25323013"/>
    <w:rsid w:val="256A520F"/>
    <w:rsid w:val="258F2841"/>
    <w:rsid w:val="25B6018D"/>
    <w:rsid w:val="25C41E51"/>
    <w:rsid w:val="25CE3EDF"/>
    <w:rsid w:val="25DA7861"/>
    <w:rsid w:val="25EC2D81"/>
    <w:rsid w:val="25ED0053"/>
    <w:rsid w:val="25FD6AE7"/>
    <w:rsid w:val="2604084F"/>
    <w:rsid w:val="261750D0"/>
    <w:rsid w:val="263341A2"/>
    <w:rsid w:val="26385327"/>
    <w:rsid w:val="26405C39"/>
    <w:rsid w:val="26652716"/>
    <w:rsid w:val="267F48AA"/>
    <w:rsid w:val="268345D2"/>
    <w:rsid w:val="268A4C03"/>
    <w:rsid w:val="268F64E1"/>
    <w:rsid w:val="269356A1"/>
    <w:rsid w:val="26AF353B"/>
    <w:rsid w:val="26B30632"/>
    <w:rsid w:val="26BC5DED"/>
    <w:rsid w:val="26D134D1"/>
    <w:rsid w:val="26F471BF"/>
    <w:rsid w:val="26F941FE"/>
    <w:rsid w:val="270F70E6"/>
    <w:rsid w:val="271909D4"/>
    <w:rsid w:val="271B0E18"/>
    <w:rsid w:val="271E65A5"/>
    <w:rsid w:val="27225ADA"/>
    <w:rsid w:val="272D1723"/>
    <w:rsid w:val="27583992"/>
    <w:rsid w:val="275C03CF"/>
    <w:rsid w:val="2769195B"/>
    <w:rsid w:val="27697382"/>
    <w:rsid w:val="276B688A"/>
    <w:rsid w:val="277057A2"/>
    <w:rsid w:val="279D33B3"/>
    <w:rsid w:val="27AD3811"/>
    <w:rsid w:val="27E234BC"/>
    <w:rsid w:val="28134482"/>
    <w:rsid w:val="28184BC9"/>
    <w:rsid w:val="281A2C55"/>
    <w:rsid w:val="2823482F"/>
    <w:rsid w:val="28247F13"/>
    <w:rsid w:val="283F26BC"/>
    <w:rsid w:val="284400AE"/>
    <w:rsid w:val="284A012F"/>
    <w:rsid w:val="284D4DD9"/>
    <w:rsid w:val="28500935"/>
    <w:rsid w:val="285708F3"/>
    <w:rsid w:val="28592E78"/>
    <w:rsid w:val="28722A91"/>
    <w:rsid w:val="28732329"/>
    <w:rsid w:val="288015D7"/>
    <w:rsid w:val="288D370C"/>
    <w:rsid w:val="28A54C15"/>
    <w:rsid w:val="28A83743"/>
    <w:rsid w:val="28B05368"/>
    <w:rsid w:val="28B735B2"/>
    <w:rsid w:val="28CC5791"/>
    <w:rsid w:val="28D4380A"/>
    <w:rsid w:val="2909285F"/>
    <w:rsid w:val="290A34AC"/>
    <w:rsid w:val="291B02C6"/>
    <w:rsid w:val="291B2704"/>
    <w:rsid w:val="29201E90"/>
    <w:rsid w:val="29206EB8"/>
    <w:rsid w:val="293D24FB"/>
    <w:rsid w:val="29595666"/>
    <w:rsid w:val="29874881"/>
    <w:rsid w:val="29972205"/>
    <w:rsid w:val="29A12812"/>
    <w:rsid w:val="29A30DB5"/>
    <w:rsid w:val="29A51F1F"/>
    <w:rsid w:val="29CD1552"/>
    <w:rsid w:val="29D251B6"/>
    <w:rsid w:val="29D561BD"/>
    <w:rsid w:val="29E325E0"/>
    <w:rsid w:val="29ED6161"/>
    <w:rsid w:val="29EE7A91"/>
    <w:rsid w:val="2A027E45"/>
    <w:rsid w:val="2A15053B"/>
    <w:rsid w:val="2A17083E"/>
    <w:rsid w:val="2A292E75"/>
    <w:rsid w:val="2A2D2C2C"/>
    <w:rsid w:val="2A355A11"/>
    <w:rsid w:val="2A3D6CE9"/>
    <w:rsid w:val="2A404DFC"/>
    <w:rsid w:val="2A452503"/>
    <w:rsid w:val="2A4936BC"/>
    <w:rsid w:val="2A6D794F"/>
    <w:rsid w:val="2A8F2D9C"/>
    <w:rsid w:val="2A9F4867"/>
    <w:rsid w:val="2ABC51A5"/>
    <w:rsid w:val="2ACD5078"/>
    <w:rsid w:val="2AD57308"/>
    <w:rsid w:val="2B0927F5"/>
    <w:rsid w:val="2B1B75C5"/>
    <w:rsid w:val="2B3035FA"/>
    <w:rsid w:val="2B42499D"/>
    <w:rsid w:val="2B4E1621"/>
    <w:rsid w:val="2B707E88"/>
    <w:rsid w:val="2B7F6556"/>
    <w:rsid w:val="2B8D47F8"/>
    <w:rsid w:val="2BA936A8"/>
    <w:rsid w:val="2BB1029B"/>
    <w:rsid w:val="2BB501B9"/>
    <w:rsid w:val="2BE927CD"/>
    <w:rsid w:val="2BF34F1D"/>
    <w:rsid w:val="2BF36DB1"/>
    <w:rsid w:val="2BF403C2"/>
    <w:rsid w:val="2C315A5A"/>
    <w:rsid w:val="2C330541"/>
    <w:rsid w:val="2C4B1C25"/>
    <w:rsid w:val="2C4F6850"/>
    <w:rsid w:val="2C7C5C8D"/>
    <w:rsid w:val="2C811D03"/>
    <w:rsid w:val="2C877628"/>
    <w:rsid w:val="2C9A56E4"/>
    <w:rsid w:val="2CA84CD4"/>
    <w:rsid w:val="2CB25B52"/>
    <w:rsid w:val="2CB34BB4"/>
    <w:rsid w:val="2CDE3278"/>
    <w:rsid w:val="2CFC44B3"/>
    <w:rsid w:val="2D1842F5"/>
    <w:rsid w:val="2D1E0012"/>
    <w:rsid w:val="2D2325AC"/>
    <w:rsid w:val="2D271F36"/>
    <w:rsid w:val="2D4726B9"/>
    <w:rsid w:val="2D86222F"/>
    <w:rsid w:val="2D90271A"/>
    <w:rsid w:val="2D9E56F5"/>
    <w:rsid w:val="2DB14F92"/>
    <w:rsid w:val="2DCE28FC"/>
    <w:rsid w:val="2DDB740F"/>
    <w:rsid w:val="2DDE2278"/>
    <w:rsid w:val="2DED76B5"/>
    <w:rsid w:val="2DF1476B"/>
    <w:rsid w:val="2E3702A7"/>
    <w:rsid w:val="2E374561"/>
    <w:rsid w:val="2E3D3F57"/>
    <w:rsid w:val="2E434C3C"/>
    <w:rsid w:val="2E667F96"/>
    <w:rsid w:val="2E6B2ACE"/>
    <w:rsid w:val="2E6D6793"/>
    <w:rsid w:val="2E717347"/>
    <w:rsid w:val="2E7C3646"/>
    <w:rsid w:val="2E8226AB"/>
    <w:rsid w:val="2E88136B"/>
    <w:rsid w:val="2EAE2349"/>
    <w:rsid w:val="2ECA37FB"/>
    <w:rsid w:val="2ED578D6"/>
    <w:rsid w:val="2EDC3096"/>
    <w:rsid w:val="2EEF5422"/>
    <w:rsid w:val="2EF066C7"/>
    <w:rsid w:val="2EF148CD"/>
    <w:rsid w:val="2F040880"/>
    <w:rsid w:val="2F37233F"/>
    <w:rsid w:val="2F4C4943"/>
    <w:rsid w:val="2F573BDC"/>
    <w:rsid w:val="2F5B6CD2"/>
    <w:rsid w:val="2F641318"/>
    <w:rsid w:val="2F9C585F"/>
    <w:rsid w:val="2FBE65BC"/>
    <w:rsid w:val="2FC15714"/>
    <w:rsid w:val="2FC46D62"/>
    <w:rsid w:val="2FD065E6"/>
    <w:rsid w:val="2FD96870"/>
    <w:rsid w:val="300C65EE"/>
    <w:rsid w:val="3011493E"/>
    <w:rsid w:val="30241C05"/>
    <w:rsid w:val="303D1BD7"/>
    <w:rsid w:val="30580BC9"/>
    <w:rsid w:val="30636393"/>
    <w:rsid w:val="306814F8"/>
    <w:rsid w:val="30734B18"/>
    <w:rsid w:val="30830199"/>
    <w:rsid w:val="309D08C8"/>
    <w:rsid w:val="30AC2DC3"/>
    <w:rsid w:val="30AF1472"/>
    <w:rsid w:val="30BF3917"/>
    <w:rsid w:val="30D458C3"/>
    <w:rsid w:val="30E13110"/>
    <w:rsid w:val="30E8016C"/>
    <w:rsid w:val="311C359A"/>
    <w:rsid w:val="311E2ED7"/>
    <w:rsid w:val="31400623"/>
    <w:rsid w:val="31463519"/>
    <w:rsid w:val="31481E6B"/>
    <w:rsid w:val="31516361"/>
    <w:rsid w:val="31521943"/>
    <w:rsid w:val="31557338"/>
    <w:rsid w:val="315619EE"/>
    <w:rsid w:val="315C42DF"/>
    <w:rsid w:val="315C449C"/>
    <w:rsid w:val="31723B02"/>
    <w:rsid w:val="318203D5"/>
    <w:rsid w:val="3187538C"/>
    <w:rsid w:val="31A44036"/>
    <w:rsid w:val="31B13C30"/>
    <w:rsid w:val="31B82709"/>
    <w:rsid w:val="31D05482"/>
    <w:rsid w:val="31D75662"/>
    <w:rsid w:val="31E518FE"/>
    <w:rsid w:val="31E57F01"/>
    <w:rsid w:val="31EE13DB"/>
    <w:rsid w:val="31FE5FE6"/>
    <w:rsid w:val="32085CA7"/>
    <w:rsid w:val="320F4EAD"/>
    <w:rsid w:val="321F54BE"/>
    <w:rsid w:val="322301BD"/>
    <w:rsid w:val="32236BAB"/>
    <w:rsid w:val="32400B34"/>
    <w:rsid w:val="32751C54"/>
    <w:rsid w:val="328D037E"/>
    <w:rsid w:val="329655CE"/>
    <w:rsid w:val="329E6876"/>
    <w:rsid w:val="32A048E9"/>
    <w:rsid w:val="32A73E9F"/>
    <w:rsid w:val="32DA195F"/>
    <w:rsid w:val="33047D73"/>
    <w:rsid w:val="333015F2"/>
    <w:rsid w:val="334B6320"/>
    <w:rsid w:val="335774EB"/>
    <w:rsid w:val="33C63E85"/>
    <w:rsid w:val="33CC3CD5"/>
    <w:rsid w:val="33D44583"/>
    <w:rsid w:val="33D75386"/>
    <w:rsid w:val="33D934D4"/>
    <w:rsid w:val="33FE2F6A"/>
    <w:rsid w:val="340E07E5"/>
    <w:rsid w:val="34235BF7"/>
    <w:rsid w:val="342A3F6C"/>
    <w:rsid w:val="344D4C35"/>
    <w:rsid w:val="34507902"/>
    <w:rsid w:val="349C5822"/>
    <w:rsid w:val="34C12DD7"/>
    <w:rsid w:val="34C616BC"/>
    <w:rsid w:val="34FC166C"/>
    <w:rsid w:val="34FC2365"/>
    <w:rsid w:val="34FE0CED"/>
    <w:rsid w:val="35000273"/>
    <w:rsid w:val="350D0755"/>
    <w:rsid w:val="35531BEF"/>
    <w:rsid w:val="3558387E"/>
    <w:rsid w:val="35652649"/>
    <w:rsid w:val="356859E0"/>
    <w:rsid w:val="358C5FA8"/>
    <w:rsid w:val="35975445"/>
    <w:rsid w:val="35C15DF1"/>
    <w:rsid w:val="35C856FD"/>
    <w:rsid w:val="35DC229E"/>
    <w:rsid w:val="35E177F0"/>
    <w:rsid w:val="36074A7F"/>
    <w:rsid w:val="36272911"/>
    <w:rsid w:val="36404F27"/>
    <w:rsid w:val="365A73F8"/>
    <w:rsid w:val="36653674"/>
    <w:rsid w:val="36774D6F"/>
    <w:rsid w:val="367A1E9C"/>
    <w:rsid w:val="36923549"/>
    <w:rsid w:val="36AA54A0"/>
    <w:rsid w:val="36B532DF"/>
    <w:rsid w:val="36B75FBF"/>
    <w:rsid w:val="36BD0C45"/>
    <w:rsid w:val="36C872FA"/>
    <w:rsid w:val="36D24AAC"/>
    <w:rsid w:val="36FB35DB"/>
    <w:rsid w:val="37126BC7"/>
    <w:rsid w:val="37375D3F"/>
    <w:rsid w:val="3784633D"/>
    <w:rsid w:val="378935B2"/>
    <w:rsid w:val="37A64D4C"/>
    <w:rsid w:val="37A75D91"/>
    <w:rsid w:val="37B72FB2"/>
    <w:rsid w:val="37C30EC2"/>
    <w:rsid w:val="37CA21FC"/>
    <w:rsid w:val="37DA66CF"/>
    <w:rsid w:val="37E00298"/>
    <w:rsid w:val="37E14CCF"/>
    <w:rsid w:val="37E77B63"/>
    <w:rsid w:val="37EB4955"/>
    <w:rsid w:val="38066101"/>
    <w:rsid w:val="382346F2"/>
    <w:rsid w:val="382B261A"/>
    <w:rsid w:val="382D2531"/>
    <w:rsid w:val="38381DC9"/>
    <w:rsid w:val="384B02A9"/>
    <w:rsid w:val="384F40DB"/>
    <w:rsid w:val="384F7762"/>
    <w:rsid w:val="3875642D"/>
    <w:rsid w:val="387C0DC3"/>
    <w:rsid w:val="38B302F9"/>
    <w:rsid w:val="38C14A97"/>
    <w:rsid w:val="38E8515D"/>
    <w:rsid w:val="38F12CD3"/>
    <w:rsid w:val="38F94775"/>
    <w:rsid w:val="38FF1E1A"/>
    <w:rsid w:val="39153832"/>
    <w:rsid w:val="391C32AC"/>
    <w:rsid w:val="392971ED"/>
    <w:rsid w:val="39325651"/>
    <w:rsid w:val="393939F9"/>
    <w:rsid w:val="396571F5"/>
    <w:rsid w:val="396C6CA7"/>
    <w:rsid w:val="39AB1CEF"/>
    <w:rsid w:val="39E704A5"/>
    <w:rsid w:val="3A1A21B9"/>
    <w:rsid w:val="3A1C46D6"/>
    <w:rsid w:val="3A1C5951"/>
    <w:rsid w:val="3A3F08AD"/>
    <w:rsid w:val="3A4E3EF3"/>
    <w:rsid w:val="3A611F39"/>
    <w:rsid w:val="3A872856"/>
    <w:rsid w:val="3A8C7236"/>
    <w:rsid w:val="3AC0143A"/>
    <w:rsid w:val="3ACA0B1D"/>
    <w:rsid w:val="3AD81FEA"/>
    <w:rsid w:val="3AF85078"/>
    <w:rsid w:val="3AFA7BCA"/>
    <w:rsid w:val="3B3763D1"/>
    <w:rsid w:val="3B3D367F"/>
    <w:rsid w:val="3B471B5C"/>
    <w:rsid w:val="3B556027"/>
    <w:rsid w:val="3B645349"/>
    <w:rsid w:val="3BA30D13"/>
    <w:rsid w:val="3BAE755F"/>
    <w:rsid w:val="3BEE6114"/>
    <w:rsid w:val="3BF64EEB"/>
    <w:rsid w:val="3BFB12BF"/>
    <w:rsid w:val="3C103383"/>
    <w:rsid w:val="3C1133BB"/>
    <w:rsid w:val="3C2A6235"/>
    <w:rsid w:val="3C2F6E1E"/>
    <w:rsid w:val="3C4F64BA"/>
    <w:rsid w:val="3C5902A8"/>
    <w:rsid w:val="3C783CF0"/>
    <w:rsid w:val="3C7B3A61"/>
    <w:rsid w:val="3C903612"/>
    <w:rsid w:val="3CA478F0"/>
    <w:rsid w:val="3CCA65A0"/>
    <w:rsid w:val="3CDA245A"/>
    <w:rsid w:val="3CE07B72"/>
    <w:rsid w:val="3D127F47"/>
    <w:rsid w:val="3D1E06B7"/>
    <w:rsid w:val="3D2757A1"/>
    <w:rsid w:val="3D357C44"/>
    <w:rsid w:val="3D4A057A"/>
    <w:rsid w:val="3D5051DA"/>
    <w:rsid w:val="3D654078"/>
    <w:rsid w:val="3D8022B5"/>
    <w:rsid w:val="3D8C05A7"/>
    <w:rsid w:val="3DA2751D"/>
    <w:rsid w:val="3DED5EDD"/>
    <w:rsid w:val="3E05038D"/>
    <w:rsid w:val="3E1B3427"/>
    <w:rsid w:val="3E210442"/>
    <w:rsid w:val="3E2C55C2"/>
    <w:rsid w:val="3E347011"/>
    <w:rsid w:val="3E981D70"/>
    <w:rsid w:val="3EA6693C"/>
    <w:rsid w:val="3EA778B4"/>
    <w:rsid w:val="3ECB1F84"/>
    <w:rsid w:val="3ECC6D40"/>
    <w:rsid w:val="3ED92BA7"/>
    <w:rsid w:val="3EDA0523"/>
    <w:rsid w:val="3EEA117C"/>
    <w:rsid w:val="3F1B27FA"/>
    <w:rsid w:val="3F5507D9"/>
    <w:rsid w:val="3F625768"/>
    <w:rsid w:val="3F791385"/>
    <w:rsid w:val="3F884755"/>
    <w:rsid w:val="3F892743"/>
    <w:rsid w:val="3F9744AB"/>
    <w:rsid w:val="3FAB1D6D"/>
    <w:rsid w:val="3FBD1D82"/>
    <w:rsid w:val="3FF3732F"/>
    <w:rsid w:val="3FF97B90"/>
    <w:rsid w:val="40121FD1"/>
    <w:rsid w:val="4018439A"/>
    <w:rsid w:val="404B79F8"/>
    <w:rsid w:val="40732076"/>
    <w:rsid w:val="407A6407"/>
    <w:rsid w:val="40B53D20"/>
    <w:rsid w:val="40BB0757"/>
    <w:rsid w:val="40CC6769"/>
    <w:rsid w:val="40E8793D"/>
    <w:rsid w:val="40EA70CD"/>
    <w:rsid w:val="40EC3FA9"/>
    <w:rsid w:val="40FD441F"/>
    <w:rsid w:val="410B61F1"/>
    <w:rsid w:val="411B1420"/>
    <w:rsid w:val="41272213"/>
    <w:rsid w:val="412C2EA9"/>
    <w:rsid w:val="41397850"/>
    <w:rsid w:val="414255BD"/>
    <w:rsid w:val="418D6218"/>
    <w:rsid w:val="419B1A8E"/>
    <w:rsid w:val="419E0894"/>
    <w:rsid w:val="41AB720D"/>
    <w:rsid w:val="4200449D"/>
    <w:rsid w:val="420600A2"/>
    <w:rsid w:val="42247051"/>
    <w:rsid w:val="42334138"/>
    <w:rsid w:val="423A3BCC"/>
    <w:rsid w:val="423A41C8"/>
    <w:rsid w:val="423D1A47"/>
    <w:rsid w:val="424E57D2"/>
    <w:rsid w:val="42931117"/>
    <w:rsid w:val="42A9516D"/>
    <w:rsid w:val="42B26C49"/>
    <w:rsid w:val="42BB25F3"/>
    <w:rsid w:val="42C158A0"/>
    <w:rsid w:val="42C33D4A"/>
    <w:rsid w:val="42C65107"/>
    <w:rsid w:val="42ED3847"/>
    <w:rsid w:val="42F92617"/>
    <w:rsid w:val="432156EA"/>
    <w:rsid w:val="433A6FE6"/>
    <w:rsid w:val="43480868"/>
    <w:rsid w:val="4350713C"/>
    <w:rsid w:val="435E641A"/>
    <w:rsid w:val="43613B8C"/>
    <w:rsid w:val="436653E0"/>
    <w:rsid w:val="43781F58"/>
    <w:rsid w:val="437C2374"/>
    <w:rsid w:val="438C402D"/>
    <w:rsid w:val="439B0C97"/>
    <w:rsid w:val="43BB4E95"/>
    <w:rsid w:val="43C4431A"/>
    <w:rsid w:val="43EF2D90"/>
    <w:rsid w:val="43EF6839"/>
    <w:rsid w:val="43F42155"/>
    <w:rsid w:val="43FC65CD"/>
    <w:rsid w:val="4434235A"/>
    <w:rsid w:val="44356402"/>
    <w:rsid w:val="44446C38"/>
    <w:rsid w:val="44462D2F"/>
    <w:rsid w:val="445826E4"/>
    <w:rsid w:val="445D7CFA"/>
    <w:rsid w:val="4460047F"/>
    <w:rsid w:val="4461491D"/>
    <w:rsid w:val="44727EF8"/>
    <w:rsid w:val="447B4624"/>
    <w:rsid w:val="44A252D9"/>
    <w:rsid w:val="44A92FC5"/>
    <w:rsid w:val="44B951CC"/>
    <w:rsid w:val="44CD14E0"/>
    <w:rsid w:val="44CE6E4A"/>
    <w:rsid w:val="44EA7B47"/>
    <w:rsid w:val="44EF0842"/>
    <w:rsid w:val="44F20B0B"/>
    <w:rsid w:val="44F85C75"/>
    <w:rsid w:val="44FA0BC8"/>
    <w:rsid w:val="451F02D9"/>
    <w:rsid w:val="452E5F4C"/>
    <w:rsid w:val="45331B25"/>
    <w:rsid w:val="45442CBB"/>
    <w:rsid w:val="45612018"/>
    <w:rsid w:val="45616DE1"/>
    <w:rsid w:val="45700B86"/>
    <w:rsid w:val="458946E9"/>
    <w:rsid w:val="45A47C0E"/>
    <w:rsid w:val="45A57C18"/>
    <w:rsid w:val="45A80829"/>
    <w:rsid w:val="45CC0DD5"/>
    <w:rsid w:val="45EE0B84"/>
    <w:rsid w:val="461940F5"/>
    <w:rsid w:val="462A14AB"/>
    <w:rsid w:val="46577FD6"/>
    <w:rsid w:val="46850E5F"/>
    <w:rsid w:val="46A00D5F"/>
    <w:rsid w:val="46BA1E03"/>
    <w:rsid w:val="46BB5C1A"/>
    <w:rsid w:val="46C20938"/>
    <w:rsid w:val="46C9693C"/>
    <w:rsid w:val="46D955A7"/>
    <w:rsid w:val="46F34D79"/>
    <w:rsid w:val="46FD1309"/>
    <w:rsid w:val="47053E20"/>
    <w:rsid w:val="470E6C42"/>
    <w:rsid w:val="47133957"/>
    <w:rsid w:val="47521E6D"/>
    <w:rsid w:val="477C6803"/>
    <w:rsid w:val="47882145"/>
    <w:rsid w:val="478B4159"/>
    <w:rsid w:val="478B4B7E"/>
    <w:rsid w:val="478D4A66"/>
    <w:rsid w:val="47A07E0C"/>
    <w:rsid w:val="47B70069"/>
    <w:rsid w:val="47D8086F"/>
    <w:rsid w:val="47D949C1"/>
    <w:rsid w:val="47ED3965"/>
    <w:rsid w:val="47EE23CD"/>
    <w:rsid w:val="48010369"/>
    <w:rsid w:val="48183354"/>
    <w:rsid w:val="48284E5E"/>
    <w:rsid w:val="482C45B3"/>
    <w:rsid w:val="483257B7"/>
    <w:rsid w:val="483D62E1"/>
    <w:rsid w:val="48405650"/>
    <w:rsid w:val="4870272E"/>
    <w:rsid w:val="48717893"/>
    <w:rsid w:val="48873598"/>
    <w:rsid w:val="48943F06"/>
    <w:rsid w:val="489D0858"/>
    <w:rsid w:val="48A80DD1"/>
    <w:rsid w:val="48A8753D"/>
    <w:rsid w:val="48B506D7"/>
    <w:rsid w:val="48B632E6"/>
    <w:rsid w:val="48FD1AAC"/>
    <w:rsid w:val="4932633A"/>
    <w:rsid w:val="494A0775"/>
    <w:rsid w:val="49751256"/>
    <w:rsid w:val="499F6861"/>
    <w:rsid w:val="49A4370E"/>
    <w:rsid w:val="49C60448"/>
    <w:rsid w:val="49DC7715"/>
    <w:rsid w:val="49E62D26"/>
    <w:rsid w:val="49ED38CE"/>
    <w:rsid w:val="49F14465"/>
    <w:rsid w:val="49F562A4"/>
    <w:rsid w:val="4A023139"/>
    <w:rsid w:val="4A0C5671"/>
    <w:rsid w:val="4A1B0DBA"/>
    <w:rsid w:val="4A1E2F96"/>
    <w:rsid w:val="4A426A3E"/>
    <w:rsid w:val="4A4C4A99"/>
    <w:rsid w:val="4A5029D5"/>
    <w:rsid w:val="4A5230D3"/>
    <w:rsid w:val="4A541B9F"/>
    <w:rsid w:val="4A5F4720"/>
    <w:rsid w:val="4A7B576F"/>
    <w:rsid w:val="4A7C09EF"/>
    <w:rsid w:val="4A945A0C"/>
    <w:rsid w:val="4AA87EA4"/>
    <w:rsid w:val="4AB12B4E"/>
    <w:rsid w:val="4AB810F7"/>
    <w:rsid w:val="4AE57050"/>
    <w:rsid w:val="4AE90539"/>
    <w:rsid w:val="4AF561A9"/>
    <w:rsid w:val="4AFA081E"/>
    <w:rsid w:val="4B047121"/>
    <w:rsid w:val="4B174F9B"/>
    <w:rsid w:val="4B251B56"/>
    <w:rsid w:val="4B547872"/>
    <w:rsid w:val="4B58746D"/>
    <w:rsid w:val="4B65100D"/>
    <w:rsid w:val="4BA34950"/>
    <w:rsid w:val="4BA3693A"/>
    <w:rsid w:val="4BAE7328"/>
    <w:rsid w:val="4BB072A9"/>
    <w:rsid w:val="4BC74B74"/>
    <w:rsid w:val="4BD777FC"/>
    <w:rsid w:val="4BD8728F"/>
    <w:rsid w:val="4BDB2578"/>
    <w:rsid w:val="4BEA2D77"/>
    <w:rsid w:val="4C04077A"/>
    <w:rsid w:val="4C0A4C0B"/>
    <w:rsid w:val="4C14056A"/>
    <w:rsid w:val="4C235566"/>
    <w:rsid w:val="4C2E7CEE"/>
    <w:rsid w:val="4C4A0649"/>
    <w:rsid w:val="4C7E5ECA"/>
    <w:rsid w:val="4C876AA5"/>
    <w:rsid w:val="4C8E2DE8"/>
    <w:rsid w:val="4C903268"/>
    <w:rsid w:val="4C926E25"/>
    <w:rsid w:val="4C947972"/>
    <w:rsid w:val="4C9D1D90"/>
    <w:rsid w:val="4CDA06D2"/>
    <w:rsid w:val="4D03441C"/>
    <w:rsid w:val="4D046343"/>
    <w:rsid w:val="4D073CAE"/>
    <w:rsid w:val="4D0A212D"/>
    <w:rsid w:val="4D0E00FB"/>
    <w:rsid w:val="4D176606"/>
    <w:rsid w:val="4D387557"/>
    <w:rsid w:val="4D5C537C"/>
    <w:rsid w:val="4DB8548D"/>
    <w:rsid w:val="4DEC4FB0"/>
    <w:rsid w:val="4DFC2838"/>
    <w:rsid w:val="4E075D8A"/>
    <w:rsid w:val="4E235B10"/>
    <w:rsid w:val="4E2D69C0"/>
    <w:rsid w:val="4E5D7EA8"/>
    <w:rsid w:val="4E667348"/>
    <w:rsid w:val="4E6A7BE3"/>
    <w:rsid w:val="4E7740AE"/>
    <w:rsid w:val="4E7C16C5"/>
    <w:rsid w:val="4E8F31A6"/>
    <w:rsid w:val="4E996F14"/>
    <w:rsid w:val="4EA7146E"/>
    <w:rsid w:val="4EC00FAD"/>
    <w:rsid w:val="4F0B0683"/>
    <w:rsid w:val="4F224336"/>
    <w:rsid w:val="4F290123"/>
    <w:rsid w:val="4F3971C2"/>
    <w:rsid w:val="4F7F39AB"/>
    <w:rsid w:val="4F88780D"/>
    <w:rsid w:val="4F9843DC"/>
    <w:rsid w:val="4FB26A0C"/>
    <w:rsid w:val="4FB64B8F"/>
    <w:rsid w:val="4FC62A8C"/>
    <w:rsid w:val="4FCD4557"/>
    <w:rsid w:val="4FE20F0D"/>
    <w:rsid w:val="4FE51552"/>
    <w:rsid w:val="50070D6D"/>
    <w:rsid w:val="501E3B9C"/>
    <w:rsid w:val="503137C9"/>
    <w:rsid w:val="50504C4B"/>
    <w:rsid w:val="50650042"/>
    <w:rsid w:val="50774D18"/>
    <w:rsid w:val="50937675"/>
    <w:rsid w:val="509C6E7C"/>
    <w:rsid w:val="50A53155"/>
    <w:rsid w:val="50B86D6E"/>
    <w:rsid w:val="50F4041C"/>
    <w:rsid w:val="510A120A"/>
    <w:rsid w:val="514B4B81"/>
    <w:rsid w:val="51583182"/>
    <w:rsid w:val="5162104E"/>
    <w:rsid w:val="516C5867"/>
    <w:rsid w:val="516E158F"/>
    <w:rsid w:val="51730B5D"/>
    <w:rsid w:val="5183346D"/>
    <w:rsid w:val="51887046"/>
    <w:rsid w:val="519C1220"/>
    <w:rsid w:val="51B86EB8"/>
    <w:rsid w:val="51C53D17"/>
    <w:rsid w:val="51D310BC"/>
    <w:rsid w:val="51DA4B58"/>
    <w:rsid w:val="51E96052"/>
    <w:rsid w:val="51F32363"/>
    <w:rsid w:val="51F6353C"/>
    <w:rsid w:val="51F845EB"/>
    <w:rsid w:val="51FC14AB"/>
    <w:rsid w:val="52361456"/>
    <w:rsid w:val="52365EA5"/>
    <w:rsid w:val="52520B07"/>
    <w:rsid w:val="528B23AC"/>
    <w:rsid w:val="52990A97"/>
    <w:rsid w:val="529B2DF8"/>
    <w:rsid w:val="52B07B8F"/>
    <w:rsid w:val="52B129B0"/>
    <w:rsid w:val="530A3043"/>
    <w:rsid w:val="53354DB8"/>
    <w:rsid w:val="53492BF4"/>
    <w:rsid w:val="534F1565"/>
    <w:rsid w:val="535624E4"/>
    <w:rsid w:val="535921CF"/>
    <w:rsid w:val="535940CA"/>
    <w:rsid w:val="53757E61"/>
    <w:rsid w:val="53762B86"/>
    <w:rsid w:val="53A039CC"/>
    <w:rsid w:val="53A1505A"/>
    <w:rsid w:val="53B877F5"/>
    <w:rsid w:val="53BD5B81"/>
    <w:rsid w:val="53CD1007"/>
    <w:rsid w:val="53E47A9C"/>
    <w:rsid w:val="53FD3492"/>
    <w:rsid w:val="54063E08"/>
    <w:rsid w:val="541512FB"/>
    <w:rsid w:val="54335CF0"/>
    <w:rsid w:val="543437E8"/>
    <w:rsid w:val="547C333D"/>
    <w:rsid w:val="54E40BEE"/>
    <w:rsid w:val="54EC0A64"/>
    <w:rsid w:val="54F73313"/>
    <w:rsid w:val="54F80955"/>
    <w:rsid w:val="550D00BA"/>
    <w:rsid w:val="551F1D4C"/>
    <w:rsid w:val="5520724E"/>
    <w:rsid w:val="555170A7"/>
    <w:rsid w:val="557108E4"/>
    <w:rsid w:val="5587536D"/>
    <w:rsid w:val="558F0976"/>
    <w:rsid w:val="559B174B"/>
    <w:rsid w:val="55AA6236"/>
    <w:rsid w:val="55AC288F"/>
    <w:rsid w:val="55B01E77"/>
    <w:rsid w:val="55B15360"/>
    <w:rsid w:val="55B55BE8"/>
    <w:rsid w:val="55BF1327"/>
    <w:rsid w:val="55CE0CF4"/>
    <w:rsid w:val="55EE7159"/>
    <w:rsid w:val="56127146"/>
    <w:rsid w:val="563C38EF"/>
    <w:rsid w:val="56420C7D"/>
    <w:rsid w:val="56450363"/>
    <w:rsid w:val="5647055D"/>
    <w:rsid w:val="564D38B8"/>
    <w:rsid w:val="56530F5D"/>
    <w:rsid w:val="56955A19"/>
    <w:rsid w:val="56A30136"/>
    <w:rsid w:val="56B04288"/>
    <w:rsid w:val="56B22A9C"/>
    <w:rsid w:val="56C9205C"/>
    <w:rsid w:val="56DF4986"/>
    <w:rsid w:val="56EB4CAC"/>
    <w:rsid w:val="56FB5071"/>
    <w:rsid w:val="571701DC"/>
    <w:rsid w:val="571B0175"/>
    <w:rsid w:val="57256D9D"/>
    <w:rsid w:val="57447B92"/>
    <w:rsid w:val="5752279E"/>
    <w:rsid w:val="577F6125"/>
    <w:rsid w:val="57B72A76"/>
    <w:rsid w:val="57C3426C"/>
    <w:rsid w:val="57C9766C"/>
    <w:rsid w:val="57CE1F93"/>
    <w:rsid w:val="57F37CDB"/>
    <w:rsid w:val="58010D7E"/>
    <w:rsid w:val="58210F3E"/>
    <w:rsid w:val="584821DD"/>
    <w:rsid w:val="587D6ECB"/>
    <w:rsid w:val="588743D1"/>
    <w:rsid w:val="5887701A"/>
    <w:rsid w:val="58B21E27"/>
    <w:rsid w:val="58D207F1"/>
    <w:rsid w:val="58EA722C"/>
    <w:rsid w:val="594F3C5E"/>
    <w:rsid w:val="59625CD5"/>
    <w:rsid w:val="59A909AD"/>
    <w:rsid w:val="59C0439F"/>
    <w:rsid w:val="59C81C62"/>
    <w:rsid w:val="59D25058"/>
    <w:rsid w:val="59E21465"/>
    <w:rsid w:val="59F75FE7"/>
    <w:rsid w:val="5A0408BB"/>
    <w:rsid w:val="5A4C3A7E"/>
    <w:rsid w:val="5A647AB1"/>
    <w:rsid w:val="5A7D6CE3"/>
    <w:rsid w:val="5A816840"/>
    <w:rsid w:val="5A8B53DB"/>
    <w:rsid w:val="5A924396"/>
    <w:rsid w:val="5AA601F5"/>
    <w:rsid w:val="5ABE2233"/>
    <w:rsid w:val="5AF32D0E"/>
    <w:rsid w:val="5B0229A0"/>
    <w:rsid w:val="5B4952EB"/>
    <w:rsid w:val="5B7E4166"/>
    <w:rsid w:val="5BA86AA9"/>
    <w:rsid w:val="5BBA0C56"/>
    <w:rsid w:val="5BDF5D95"/>
    <w:rsid w:val="5BF4415A"/>
    <w:rsid w:val="5BF96A72"/>
    <w:rsid w:val="5BFE7528"/>
    <w:rsid w:val="5C1D5290"/>
    <w:rsid w:val="5C2100CD"/>
    <w:rsid w:val="5C3E7497"/>
    <w:rsid w:val="5C3F334E"/>
    <w:rsid w:val="5C495723"/>
    <w:rsid w:val="5C6B200B"/>
    <w:rsid w:val="5C8512CA"/>
    <w:rsid w:val="5C907364"/>
    <w:rsid w:val="5CA56282"/>
    <w:rsid w:val="5CE3362C"/>
    <w:rsid w:val="5D0314BF"/>
    <w:rsid w:val="5D362994"/>
    <w:rsid w:val="5D586AB3"/>
    <w:rsid w:val="5D5944DA"/>
    <w:rsid w:val="5D730EDB"/>
    <w:rsid w:val="5D92680F"/>
    <w:rsid w:val="5DAF73C1"/>
    <w:rsid w:val="5DB1478F"/>
    <w:rsid w:val="5DB47A88"/>
    <w:rsid w:val="5DB86C55"/>
    <w:rsid w:val="5DC56BE4"/>
    <w:rsid w:val="5DC664B8"/>
    <w:rsid w:val="5DD409CB"/>
    <w:rsid w:val="5DD5027E"/>
    <w:rsid w:val="5DE60909"/>
    <w:rsid w:val="5DE754C1"/>
    <w:rsid w:val="5DE83B5A"/>
    <w:rsid w:val="5E0E287A"/>
    <w:rsid w:val="5E1901D9"/>
    <w:rsid w:val="5E2467F1"/>
    <w:rsid w:val="5E4A70E9"/>
    <w:rsid w:val="5E594687"/>
    <w:rsid w:val="5E653D32"/>
    <w:rsid w:val="5E6B4C29"/>
    <w:rsid w:val="5E713D58"/>
    <w:rsid w:val="5E7809EA"/>
    <w:rsid w:val="5E9F4D52"/>
    <w:rsid w:val="5EAD01B2"/>
    <w:rsid w:val="5EAE42D0"/>
    <w:rsid w:val="5EC53034"/>
    <w:rsid w:val="5EDA2CA4"/>
    <w:rsid w:val="5EDD61AF"/>
    <w:rsid w:val="5EE07489"/>
    <w:rsid w:val="5EE50BC0"/>
    <w:rsid w:val="5F036C97"/>
    <w:rsid w:val="5F1A2B43"/>
    <w:rsid w:val="5F3F3B6C"/>
    <w:rsid w:val="5F47719C"/>
    <w:rsid w:val="5F903222"/>
    <w:rsid w:val="5F9C509D"/>
    <w:rsid w:val="5FA15FFF"/>
    <w:rsid w:val="5FB837BB"/>
    <w:rsid w:val="5FC30B08"/>
    <w:rsid w:val="5FFC7C68"/>
    <w:rsid w:val="60041A3E"/>
    <w:rsid w:val="60306CF4"/>
    <w:rsid w:val="6064233C"/>
    <w:rsid w:val="6070010A"/>
    <w:rsid w:val="609A013C"/>
    <w:rsid w:val="609E2409"/>
    <w:rsid w:val="60A26D69"/>
    <w:rsid w:val="60C522E2"/>
    <w:rsid w:val="60CC405A"/>
    <w:rsid w:val="60D5687A"/>
    <w:rsid w:val="60DF094D"/>
    <w:rsid w:val="60E727A2"/>
    <w:rsid w:val="60EB340E"/>
    <w:rsid w:val="61037D79"/>
    <w:rsid w:val="61113EEE"/>
    <w:rsid w:val="61465F92"/>
    <w:rsid w:val="616526F7"/>
    <w:rsid w:val="61811267"/>
    <w:rsid w:val="61853CF1"/>
    <w:rsid w:val="618E777C"/>
    <w:rsid w:val="6192277F"/>
    <w:rsid w:val="61AD6D23"/>
    <w:rsid w:val="61C15E6D"/>
    <w:rsid w:val="61E215D8"/>
    <w:rsid w:val="61E37639"/>
    <w:rsid w:val="61F01D56"/>
    <w:rsid w:val="61FC3BD3"/>
    <w:rsid w:val="62145A44"/>
    <w:rsid w:val="621B3775"/>
    <w:rsid w:val="621C67CC"/>
    <w:rsid w:val="62364782"/>
    <w:rsid w:val="623C4AB1"/>
    <w:rsid w:val="626553A2"/>
    <w:rsid w:val="626A2052"/>
    <w:rsid w:val="627D7A8D"/>
    <w:rsid w:val="628A5FDB"/>
    <w:rsid w:val="62BA5BC9"/>
    <w:rsid w:val="62C552EA"/>
    <w:rsid w:val="62C9628D"/>
    <w:rsid w:val="62CB2F58"/>
    <w:rsid w:val="62ED4E8E"/>
    <w:rsid w:val="631D7206"/>
    <w:rsid w:val="63266AB4"/>
    <w:rsid w:val="63483163"/>
    <w:rsid w:val="636447A9"/>
    <w:rsid w:val="6377272F"/>
    <w:rsid w:val="6378589B"/>
    <w:rsid w:val="63933804"/>
    <w:rsid w:val="6394356A"/>
    <w:rsid w:val="63A22EDA"/>
    <w:rsid w:val="63A412B9"/>
    <w:rsid w:val="63C61B2C"/>
    <w:rsid w:val="63D40BE9"/>
    <w:rsid w:val="63D95197"/>
    <w:rsid w:val="63E53F5F"/>
    <w:rsid w:val="64001337"/>
    <w:rsid w:val="64102431"/>
    <w:rsid w:val="641656BB"/>
    <w:rsid w:val="642A7243"/>
    <w:rsid w:val="64607667"/>
    <w:rsid w:val="649D1848"/>
    <w:rsid w:val="64A5243A"/>
    <w:rsid w:val="64A532CB"/>
    <w:rsid w:val="64BE438D"/>
    <w:rsid w:val="64D66EEA"/>
    <w:rsid w:val="64F531DE"/>
    <w:rsid w:val="650C5BC9"/>
    <w:rsid w:val="651846A9"/>
    <w:rsid w:val="65373578"/>
    <w:rsid w:val="65395525"/>
    <w:rsid w:val="6558033E"/>
    <w:rsid w:val="655C79E3"/>
    <w:rsid w:val="656F1FA7"/>
    <w:rsid w:val="658214D7"/>
    <w:rsid w:val="65D11CE1"/>
    <w:rsid w:val="65D75707"/>
    <w:rsid w:val="65E848DC"/>
    <w:rsid w:val="663777EA"/>
    <w:rsid w:val="663963E6"/>
    <w:rsid w:val="664E34EF"/>
    <w:rsid w:val="664E3BC6"/>
    <w:rsid w:val="667D1535"/>
    <w:rsid w:val="669435F8"/>
    <w:rsid w:val="66A22A9A"/>
    <w:rsid w:val="66B912B0"/>
    <w:rsid w:val="671F124A"/>
    <w:rsid w:val="672279F3"/>
    <w:rsid w:val="6740552D"/>
    <w:rsid w:val="674B1DAB"/>
    <w:rsid w:val="67634704"/>
    <w:rsid w:val="676D08AF"/>
    <w:rsid w:val="67782B05"/>
    <w:rsid w:val="677A33C6"/>
    <w:rsid w:val="678C33E3"/>
    <w:rsid w:val="678D19D0"/>
    <w:rsid w:val="679B1046"/>
    <w:rsid w:val="67AD1A0C"/>
    <w:rsid w:val="67BD7B9C"/>
    <w:rsid w:val="67C97D37"/>
    <w:rsid w:val="67D20B44"/>
    <w:rsid w:val="67E418CD"/>
    <w:rsid w:val="68013BB0"/>
    <w:rsid w:val="680E5DCE"/>
    <w:rsid w:val="681401CC"/>
    <w:rsid w:val="681F6961"/>
    <w:rsid w:val="6834229D"/>
    <w:rsid w:val="683A1F7D"/>
    <w:rsid w:val="68602928"/>
    <w:rsid w:val="68610A2F"/>
    <w:rsid w:val="68737866"/>
    <w:rsid w:val="687412BD"/>
    <w:rsid w:val="6875682B"/>
    <w:rsid w:val="68805514"/>
    <w:rsid w:val="688D38DB"/>
    <w:rsid w:val="68C57D7E"/>
    <w:rsid w:val="68CB2A4F"/>
    <w:rsid w:val="68F34E87"/>
    <w:rsid w:val="68FB716A"/>
    <w:rsid w:val="69081E5F"/>
    <w:rsid w:val="69114C9B"/>
    <w:rsid w:val="69126A56"/>
    <w:rsid w:val="69316E2F"/>
    <w:rsid w:val="69324274"/>
    <w:rsid w:val="693F7441"/>
    <w:rsid w:val="694E2071"/>
    <w:rsid w:val="69611C3E"/>
    <w:rsid w:val="696753C7"/>
    <w:rsid w:val="69766163"/>
    <w:rsid w:val="6979176F"/>
    <w:rsid w:val="697A3B33"/>
    <w:rsid w:val="69AC6DCF"/>
    <w:rsid w:val="69D44760"/>
    <w:rsid w:val="69D94717"/>
    <w:rsid w:val="69EA4DB2"/>
    <w:rsid w:val="69EA5E7A"/>
    <w:rsid w:val="69ED1DB0"/>
    <w:rsid w:val="6A0605E7"/>
    <w:rsid w:val="6A2B63DE"/>
    <w:rsid w:val="6A382A32"/>
    <w:rsid w:val="6A3A1706"/>
    <w:rsid w:val="6A3A44B6"/>
    <w:rsid w:val="6A520EC7"/>
    <w:rsid w:val="6A5744FE"/>
    <w:rsid w:val="6A6A24C5"/>
    <w:rsid w:val="6A6B4B66"/>
    <w:rsid w:val="6A71075D"/>
    <w:rsid w:val="6A8A77D8"/>
    <w:rsid w:val="6AB308F0"/>
    <w:rsid w:val="6ABE162F"/>
    <w:rsid w:val="6ABE50E7"/>
    <w:rsid w:val="6AD167ED"/>
    <w:rsid w:val="6AD22940"/>
    <w:rsid w:val="6AF87E20"/>
    <w:rsid w:val="6B054586"/>
    <w:rsid w:val="6B167905"/>
    <w:rsid w:val="6B2C5FC5"/>
    <w:rsid w:val="6B322639"/>
    <w:rsid w:val="6B38259B"/>
    <w:rsid w:val="6B4E4332"/>
    <w:rsid w:val="6B693AE7"/>
    <w:rsid w:val="6B856CEA"/>
    <w:rsid w:val="6B8E0E4E"/>
    <w:rsid w:val="6B9B56C1"/>
    <w:rsid w:val="6BE14BD6"/>
    <w:rsid w:val="6C080E7E"/>
    <w:rsid w:val="6C1256EA"/>
    <w:rsid w:val="6C24486B"/>
    <w:rsid w:val="6C2F5BB2"/>
    <w:rsid w:val="6C520AF3"/>
    <w:rsid w:val="6C636C38"/>
    <w:rsid w:val="6C7F0D7C"/>
    <w:rsid w:val="6CA83948"/>
    <w:rsid w:val="6D051C80"/>
    <w:rsid w:val="6D147240"/>
    <w:rsid w:val="6D205500"/>
    <w:rsid w:val="6D364072"/>
    <w:rsid w:val="6D385D53"/>
    <w:rsid w:val="6D507653"/>
    <w:rsid w:val="6D7236B4"/>
    <w:rsid w:val="6D974046"/>
    <w:rsid w:val="6D9C5B13"/>
    <w:rsid w:val="6DB05DD5"/>
    <w:rsid w:val="6DB34098"/>
    <w:rsid w:val="6DB545B6"/>
    <w:rsid w:val="6DCA39CE"/>
    <w:rsid w:val="6DDE0A71"/>
    <w:rsid w:val="6DE02FB4"/>
    <w:rsid w:val="6DED1374"/>
    <w:rsid w:val="6DEE7882"/>
    <w:rsid w:val="6E11552E"/>
    <w:rsid w:val="6E133222"/>
    <w:rsid w:val="6E2870E5"/>
    <w:rsid w:val="6E514CED"/>
    <w:rsid w:val="6E626C11"/>
    <w:rsid w:val="6EB563D5"/>
    <w:rsid w:val="6EC65E1C"/>
    <w:rsid w:val="6ED92677"/>
    <w:rsid w:val="6EF02AFB"/>
    <w:rsid w:val="6F12155D"/>
    <w:rsid w:val="6F201FF4"/>
    <w:rsid w:val="6F225983"/>
    <w:rsid w:val="6F274071"/>
    <w:rsid w:val="6F2A28B2"/>
    <w:rsid w:val="6F370B2F"/>
    <w:rsid w:val="6F4B2A57"/>
    <w:rsid w:val="6F743C3C"/>
    <w:rsid w:val="6FA95287"/>
    <w:rsid w:val="6FAC6A87"/>
    <w:rsid w:val="6FC856F2"/>
    <w:rsid w:val="6FDC41D9"/>
    <w:rsid w:val="6FFC5590"/>
    <w:rsid w:val="70276095"/>
    <w:rsid w:val="70470C4F"/>
    <w:rsid w:val="70477145"/>
    <w:rsid w:val="704F7525"/>
    <w:rsid w:val="70673B2B"/>
    <w:rsid w:val="706D1DD0"/>
    <w:rsid w:val="7070711D"/>
    <w:rsid w:val="70760711"/>
    <w:rsid w:val="70856B87"/>
    <w:rsid w:val="70921015"/>
    <w:rsid w:val="709522D0"/>
    <w:rsid w:val="70B825D8"/>
    <w:rsid w:val="70C14F42"/>
    <w:rsid w:val="70D527EE"/>
    <w:rsid w:val="70DD294E"/>
    <w:rsid w:val="70E14E3D"/>
    <w:rsid w:val="70EB0658"/>
    <w:rsid w:val="70EE4E91"/>
    <w:rsid w:val="71185AD1"/>
    <w:rsid w:val="713B3F08"/>
    <w:rsid w:val="7142223A"/>
    <w:rsid w:val="714A1784"/>
    <w:rsid w:val="715706C7"/>
    <w:rsid w:val="715B5300"/>
    <w:rsid w:val="716A2181"/>
    <w:rsid w:val="71704C61"/>
    <w:rsid w:val="71867FE1"/>
    <w:rsid w:val="719F0A68"/>
    <w:rsid w:val="719F4B85"/>
    <w:rsid w:val="71A9767E"/>
    <w:rsid w:val="71B94054"/>
    <w:rsid w:val="71D27F8A"/>
    <w:rsid w:val="71DA5585"/>
    <w:rsid w:val="71E60A7F"/>
    <w:rsid w:val="71F51943"/>
    <w:rsid w:val="71F757F7"/>
    <w:rsid w:val="720D5AD4"/>
    <w:rsid w:val="7215587B"/>
    <w:rsid w:val="721A3174"/>
    <w:rsid w:val="722D2438"/>
    <w:rsid w:val="72301DDD"/>
    <w:rsid w:val="724E6D50"/>
    <w:rsid w:val="72553024"/>
    <w:rsid w:val="72864DA4"/>
    <w:rsid w:val="729E2273"/>
    <w:rsid w:val="72B148D7"/>
    <w:rsid w:val="72CE179B"/>
    <w:rsid w:val="72DD76E0"/>
    <w:rsid w:val="72E840F8"/>
    <w:rsid w:val="72EB0A43"/>
    <w:rsid w:val="72EC0317"/>
    <w:rsid w:val="72EF0D56"/>
    <w:rsid w:val="730B18ED"/>
    <w:rsid w:val="73122968"/>
    <w:rsid w:val="7319723D"/>
    <w:rsid w:val="731F5D5E"/>
    <w:rsid w:val="73306F4A"/>
    <w:rsid w:val="73381EDE"/>
    <w:rsid w:val="73476B72"/>
    <w:rsid w:val="7363682B"/>
    <w:rsid w:val="73641621"/>
    <w:rsid w:val="73702F5E"/>
    <w:rsid w:val="737F6469"/>
    <w:rsid w:val="7384663F"/>
    <w:rsid w:val="7395275D"/>
    <w:rsid w:val="739F6F62"/>
    <w:rsid w:val="73C51AD5"/>
    <w:rsid w:val="73D90708"/>
    <w:rsid w:val="73ED07EB"/>
    <w:rsid w:val="73F17133"/>
    <w:rsid w:val="73F352AD"/>
    <w:rsid w:val="740C77A9"/>
    <w:rsid w:val="741347D7"/>
    <w:rsid w:val="741437E2"/>
    <w:rsid w:val="74145744"/>
    <w:rsid w:val="741E793C"/>
    <w:rsid w:val="7428352C"/>
    <w:rsid w:val="74434284"/>
    <w:rsid w:val="74545F6F"/>
    <w:rsid w:val="745E3944"/>
    <w:rsid w:val="745F7780"/>
    <w:rsid w:val="746A200A"/>
    <w:rsid w:val="747106A7"/>
    <w:rsid w:val="74762199"/>
    <w:rsid w:val="74887AE1"/>
    <w:rsid w:val="748F159E"/>
    <w:rsid w:val="7490335E"/>
    <w:rsid w:val="74A60FD5"/>
    <w:rsid w:val="74AB7552"/>
    <w:rsid w:val="74B27AFB"/>
    <w:rsid w:val="74BB730B"/>
    <w:rsid w:val="74CD789D"/>
    <w:rsid w:val="74D55127"/>
    <w:rsid w:val="74D86124"/>
    <w:rsid w:val="74DC4AE7"/>
    <w:rsid w:val="74FF4B63"/>
    <w:rsid w:val="751A38C8"/>
    <w:rsid w:val="751A66F8"/>
    <w:rsid w:val="7585073A"/>
    <w:rsid w:val="75B65F94"/>
    <w:rsid w:val="75BA46FD"/>
    <w:rsid w:val="75CE092B"/>
    <w:rsid w:val="75EF7FE9"/>
    <w:rsid w:val="7609644B"/>
    <w:rsid w:val="76221399"/>
    <w:rsid w:val="7635099D"/>
    <w:rsid w:val="764B01D8"/>
    <w:rsid w:val="764E6A3B"/>
    <w:rsid w:val="76607C7A"/>
    <w:rsid w:val="76636B42"/>
    <w:rsid w:val="769136B0"/>
    <w:rsid w:val="769B1F57"/>
    <w:rsid w:val="76A800A5"/>
    <w:rsid w:val="76C13CC0"/>
    <w:rsid w:val="76D147D0"/>
    <w:rsid w:val="76D304C7"/>
    <w:rsid w:val="76D9063A"/>
    <w:rsid w:val="76E9529A"/>
    <w:rsid w:val="772641FB"/>
    <w:rsid w:val="774029EB"/>
    <w:rsid w:val="774921DC"/>
    <w:rsid w:val="774C11E2"/>
    <w:rsid w:val="77762421"/>
    <w:rsid w:val="777803CC"/>
    <w:rsid w:val="77AE2BE1"/>
    <w:rsid w:val="77B56B1F"/>
    <w:rsid w:val="77BB708E"/>
    <w:rsid w:val="77C62767"/>
    <w:rsid w:val="77E107E7"/>
    <w:rsid w:val="77F061E8"/>
    <w:rsid w:val="780F09F4"/>
    <w:rsid w:val="780F3C42"/>
    <w:rsid w:val="78206CB5"/>
    <w:rsid w:val="783D5CEF"/>
    <w:rsid w:val="78686692"/>
    <w:rsid w:val="787B0D73"/>
    <w:rsid w:val="78A90480"/>
    <w:rsid w:val="78F341AE"/>
    <w:rsid w:val="78F96612"/>
    <w:rsid w:val="790E0FE8"/>
    <w:rsid w:val="791D61E5"/>
    <w:rsid w:val="793A1DDD"/>
    <w:rsid w:val="793A61D6"/>
    <w:rsid w:val="794104A2"/>
    <w:rsid w:val="794D01BF"/>
    <w:rsid w:val="795804B5"/>
    <w:rsid w:val="796A53AE"/>
    <w:rsid w:val="797A1220"/>
    <w:rsid w:val="797B01C2"/>
    <w:rsid w:val="79966449"/>
    <w:rsid w:val="799E2A6B"/>
    <w:rsid w:val="79C20167"/>
    <w:rsid w:val="79C67C2F"/>
    <w:rsid w:val="79F54A3E"/>
    <w:rsid w:val="7A083C89"/>
    <w:rsid w:val="7A364017"/>
    <w:rsid w:val="7A454C4A"/>
    <w:rsid w:val="7A4A15A8"/>
    <w:rsid w:val="7A4E3E96"/>
    <w:rsid w:val="7A8265E1"/>
    <w:rsid w:val="7A837830"/>
    <w:rsid w:val="7A955991"/>
    <w:rsid w:val="7AAC4F5C"/>
    <w:rsid w:val="7B026675"/>
    <w:rsid w:val="7B2C7CAA"/>
    <w:rsid w:val="7B592E1E"/>
    <w:rsid w:val="7B686D42"/>
    <w:rsid w:val="7B7B0C08"/>
    <w:rsid w:val="7B841746"/>
    <w:rsid w:val="7BA103ED"/>
    <w:rsid w:val="7BA43E85"/>
    <w:rsid w:val="7BBD4F47"/>
    <w:rsid w:val="7C1D3A6B"/>
    <w:rsid w:val="7C262AEB"/>
    <w:rsid w:val="7C300355"/>
    <w:rsid w:val="7C5866AC"/>
    <w:rsid w:val="7C587B42"/>
    <w:rsid w:val="7C6C5AC7"/>
    <w:rsid w:val="7C831CEC"/>
    <w:rsid w:val="7C9C5E76"/>
    <w:rsid w:val="7CA75EFF"/>
    <w:rsid w:val="7CB97E89"/>
    <w:rsid w:val="7CC6544B"/>
    <w:rsid w:val="7CD662C0"/>
    <w:rsid w:val="7CFB1883"/>
    <w:rsid w:val="7D0239FF"/>
    <w:rsid w:val="7D215EC9"/>
    <w:rsid w:val="7D3A2E5D"/>
    <w:rsid w:val="7D475EB1"/>
    <w:rsid w:val="7D5E40CD"/>
    <w:rsid w:val="7D782BD4"/>
    <w:rsid w:val="7D8526D6"/>
    <w:rsid w:val="7D9713E0"/>
    <w:rsid w:val="7DAF0D6C"/>
    <w:rsid w:val="7DCD56F2"/>
    <w:rsid w:val="7DF52776"/>
    <w:rsid w:val="7E002EC9"/>
    <w:rsid w:val="7E2131D3"/>
    <w:rsid w:val="7E2272E3"/>
    <w:rsid w:val="7E615D99"/>
    <w:rsid w:val="7E710A38"/>
    <w:rsid w:val="7E8F44AF"/>
    <w:rsid w:val="7E9B2BB4"/>
    <w:rsid w:val="7EAF0B77"/>
    <w:rsid w:val="7ED65B01"/>
    <w:rsid w:val="7EE822DB"/>
    <w:rsid w:val="7F001CE7"/>
    <w:rsid w:val="7F1419B6"/>
    <w:rsid w:val="7F2A644F"/>
    <w:rsid w:val="7F3A080E"/>
    <w:rsid w:val="7F4D1BDF"/>
    <w:rsid w:val="7F4E5DD5"/>
    <w:rsid w:val="7F563608"/>
    <w:rsid w:val="7F761FE2"/>
    <w:rsid w:val="7F944085"/>
    <w:rsid w:val="7FCB6EB2"/>
    <w:rsid w:val="7FE47E50"/>
    <w:rsid w:val="7FE75E80"/>
    <w:rsid w:val="7FEA4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qFormat="1" w:unhideWhenUsed="0" w:uiPriority="0" w:semiHidden="0" w:name="footnote text" w:locked="1"/>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ocked="1"/>
    <w:lsdException w:qFormat="1" w:unhideWhenUsed="0" w:uiPriority="0" w:semiHidden="0" w:name="caption" w:locked="1"/>
    <w:lsdException w:qFormat="1" w:uiPriority="99"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qFormat="1"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nhideWhenUsed="0" w:uiPriority="0" w:semiHidden="0" w:name="Salutation" w:locked="1"/>
    <w:lsdException w:qFormat="1" w:unhideWhenUsed="0" w:uiPriority="0" w:semiHidden="0" w:name="Date"/>
    <w:lsdException w:qFormat="1" w:uiPriority="99" w:semiHidden="0" w:name="Body Text First Indent" w:locked="1"/>
    <w:lsdException w:qFormat="1" w:unhideWhenUsed="0" w:uiPriority="0" w:semiHidden="0" w:name="Body Text First Indent 2" w:locked="1"/>
    <w:lsdException w:qFormat="1"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99"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99"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qFormat="1" w:unhideWhenUsed="0" w:uiPriority="0" w:semiHidden="0" w:name="Document Map" w:locked="1"/>
    <w:lsdException w:qFormat="1" w:unhideWhenUsed="0"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qFormat="1"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99"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6">
    <w:name w:val="heading 1"/>
    <w:basedOn w:val="1"/>
    <w:next w:val="1"/>
    <w:link w:val="72"/>
    <w:autoRedefine/>
    <w:qFormat/>
    <w:locked/>
    <w:uiPriority w:val="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7">
    <w:name w:val="heading 2"/>
    <w:basedOn w:val="1"/>
    <w:next w:val="1"/>
    <w:link w:val="73"/>
    <w:autoRedefine/>
    <w:qFormat/>
    <w:locked/>
    <w:uiPriority w:val="9"/>
    <w:pPr>
      <w:keepNext/>
      <w:keepLines/>
      <w:spacing w:before="120" w:after="120" w:line="500" w:lineRule="exact"/>
      <w:outlineLvl w:val="1"/>
    </w:pPr>
    <w:rPr>
      <w:rFonts w:ascii="仿宋_GB2312" w:hAnsi="Arial" w:eastAsia="仿宋_GB2312"/>
      <w:b/>
      <w:bCs/>
      <w:sz w:val="28"/>
      <w:szCs w:val="32"/>
    </w:rPr>
  </w:style>
  <w:style w:type="paragraph" w:styleId="8">
    <w:name w:val="heading 3"/>
    <w:basedOn w:val="1"/>
    <w:next w:val="1"/>
    <w:link w:val="74"/>
    <w:autoRedefine/>
    <w:qFormat/>
    <w:locked/>
    <w:uiPriority w:val="0"/>
    <w:pPr>
      <w:keepNext/>
      <w:keepLines/>
      <w:spacing w:before="260" w:after="260" w:line="416" w:lineRule="auto"/>
      <w:outlineLvl w:val="2"/>
    </w:pPr>
    <w:rPr>
      <w:b/>
      <w:bCs/>
      <w:sz w:val="32"/>
      <w:szCs w:val="32"/>
    </w:rPr>
  </w:style>
  <w:style w:type="paragraph" w:styleId="9">
    <w:name w:val="heading 4"/>
    <w:basedOn w:val="1"/>
    <w:next w:val="1"/>
    <w:autoRedefine/>
    <w:semiHidden/>
    <w:unhideWhenUsed/>
    <w:qFormat/>
    <w:locked/>
    <w:uiPriority w:val="0"/>
    <w:pPr>
      <w:keepNext/>
      <w:keepLines/>
      <w:numPr>
        <w:ilvl w:val="3"/>
        <w:numId w:val="1"/>
      </w:numPr>
      <w:spacing w:after="290" w:line="372" w:lineRule="auto"/>
      <w:jc w:val="left"/>
      <w:outlineLvl w:val="3"/>
    </w:pPr>
    <w:rPr>
      <w:rFonts w:ascii="Arial" w:hAnsi="Arial"/>
      <w:b/>
      <w:sz w:val="28"/>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customStyle="1" w:styleId="2">
    <w:name w:val="表格"/>
    <w:basedOn w:val="3"/>
    <w:next w:val="5"/>
    <w:link w:val="82"/>
    <w:autoRedefine/>
    <w:qFormat/>
    <w:uiPriority w:val="0"/>
    <w:pPr>
      <w:snapToGrid w:val="0"/>
      <w:spacing w:before="10" w:beforeLines="10" w:after="10" w:afterLines="10" w:line="260" w:lineRule="auto"/>
      <w:ind w:firstLine="0" w:firstLineChars="0"/>
    </w:pPr>
    <w:rPr>
      <w:rFonts w:ascii="Times New Roman" w:hAnsi="Times New Roman"/>
      <w:kern w:val="0"/>
      <w:sz w:val="21"/>
      <w:szCs w:val="21"/>
    </w:rPr>
  </w:style>
  <w:style w:type="paragraph" w:styleId="3">
    <w:name w:val="Normal Indent"/>
    <w:basedOn w:val="1"/>
    <w:next w:val="4"/>
    <w:link w:val="96"/>
    <w:autoRedefine/>
    <w:qFormat/>
    <w:locked/>
    <w:uiPriority w:val="0"/>
    <w:pPr>
      <w:ind w:firstLine="420"/>
    </w:pPr>
    <w:rPr>
      <w:szCs w:val="20"/>
    </w:rPr>
  </w:style>
  <w:style w:type="paragraph" w:customStyle="1" w:styleId="4">
    <w:name w:val="样式 正文文本 + 首行缩进:  2 字符"/>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styleId="5">
    <w:name w:val="Body Text 2"/>
    <w:basedOn w:val="1"/>
    <w:link w:val="102"/>
    <w:autoRedefine/>
    <w:qFormat/>
    <w:locked/>
    <w:uiPriority w:val="0"/>
    <w:pPr>
      <w:spacing w:after="120" w:line="480" w:lineRule="auto"/>
    </w:pPr>
  </w:style>
  <w:style w:type="paragraph" w:styleId="10">
    <w:name w:val="Note Heading"/>
    <w:basedOn w:val="1"/>
    <w:next w:val="1"/>
    <w:link w:val="95"/>
    <w:autoRedefine/>
    <w:qFormat/>
    <w:locked/>
    <w:uiPriority w:val="0"/>
    <w:pPr>
      <w:jc w:val="center"/>
    </w:pPr>
    <w:rPr>
      <w:szCs w:val="20"/>
    </w:rPr>
  </w:style>
  <w:style w:type="paragraph" w:styleId="11">
    <w:name w:val="caption"/>
    <w:basedOn w:val="1"/>
    <w:next w:val="1"/>
    <w:autoRedefine/>
    <w:qFormat/>
    <w:locked/>
    <w:uiPriority w:val="0"/>
    <w:rPr>
      <w:rFonts w:ascii="Cambria" w:hAnsi="Cambria" w:eastAsia="黑体"/>
      <w:sz w:val="20"/>
      <w:szCs w:val="20"/>
    </w:rPr>
  </w:style>
  <w:style w:type="paragraph" w:styleId="12">
    <w:name w:val="List Bullet"/>
    <w:basedOn w:val="1"/>
    <w:autoRedefine/>
    <w:qFormat/>
    <w:locked/>
    <w:uiPriority w:val="0"/>
    <w:pPr>
      <w:tabs>
        <w:tab w:val="left" w:pos="360"/>
      </w:tabs>
      <w:ind w:left="360" w:hanging="360"/>
    </w:pPr>
    <w:rPr>
      <w:szCs w:val="20"/>
    </w:rPr>
  </w:style>
  <w:style w:type="paragraph" w:styleId="13">
    <w:name w:val="Document Map"/>
    <w:basedOn w:val="1"/>
    <w:link w:val="97"/>
    <w:autoRedefine/>
    <w:qFormat/>
    <w:locked/>
    <w:uiPriority w:val="0"/>
    <w:pPr>
      <w:shd w:val="clear" w:color="auto" w:fill="000080"/>
    </w:pPr>
  </w:style>
  <w:style w:type="paragraph" w:styleId="14">
    <w:name w:val="annotation text"/>
    <w:basedOn w:val="1"/>
    <w:link w:val="81"/>
    <w:autoRedefine/>
    <w:semiHidden/>
    <w:qFormat/>
    <w:uiPriority w:val="0"/>
    <w:pPr>
      <w:ind w:firstLine="420"/>
      <w:jc w:val="left"/>
    </w:pPr>
    <w:rPr>
      <w:kern w:val="0"/>
      <w:szCs w:val="20"/>
    </w:rPr>
  </w:style>
  <w:style w:type="paragraph" w:styleId="15">
    <w:name w:val="Salutation"/>
    <w:basedOn w:val="1"/>
    <w:next w:val="1"/>
    <w:qFormat/>
    <w:locked/>
    <w:uiPriority w:val="0"/>
  </w:style>
  <w:style w:type="paragraph" w:styleId="16">
    <w:name w:val="Body Text 3"/>
    <w:basedOn w:val="1"/>
    <w:link w:val="98"/>
    <w:autoRedefine/>
    <w:qFormat/>
    <w:locked/>
    <w:uiPriority w:val="0"/>
    <w:pPr>
      <w:jc w:val="center"/>
    </w:pPr>
  </w:style>
  <w:style w:type="paragraph" w:styleId="17">
    <w:name w:val="Body Text"/>
    <w:basedOn w:val="1"/>
    <w:next w:val="18"/>
    <w:link w:val="80"/>
    <w:autoRedefine/>
    <w:qFormat/>
    <w:uiPriority w:val="0"/>
    <w:pPr>
      <w:widowControl/>
      <w:adjustRightInd w:val="0"/>
      <w:snapToGrid w:val="0"/>
      <w:spacing w:line="260" w:lineRule="auto"/>
      <w:ind w:firstLine="0" w:firstLineChars="0"/>
      <w:jc w:val="center"/>
    </w:pPr>
    <w:rPr>
      <w:kern w:val="0"/>
      <w:szCs w:val="20"/>
    </w:rPr>
  </w:style>
  <w:style w:type="paragraph" w:customStyle="1" w:styleId="18">
    <w:name w:val="xl2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rPr>
  </w:style>
  <w:style w:type="paragraph" w:styleId="19">
    <w:name w:val="Body Text Indent"/>
    <w:basedOn w:val="1"/>
    <w:link w:val="88"/>
    <w:autoRedefine/>
    <w:qFormat/>
    <w:uiPriority w:val="0"/>
    <w:pPr>
      <w:spacing w:after="120"/>
      <w:ind w:left="420" w:leftChars="200"/>
    </w:pPr>
    <w:rPr>
      <w:kern w:val="0"/>
      <w:szCs w:val="20"/>
    </w:rPr>
  </w:style>
  <w:style w:type="paragraph" w:styleId="20">
    <w:name w:val="Block Text"/>
    <w:basedOn w:val="1"/>
    <w:next w:val="1"/>
    <w:autoRedefine/>
    <w:qFormat/>
    <w:locked/>
    <w:uiPriority w:val="0"/>
    <w:pPr>
      <w:spacing w:line="500" w:lineRule="exact"/>
      <w:ind w:left="-105" w:leftChars="-50" w:right="-105" w:rightChars="-50"/>
      <w:jc w:val="center"/>
    </w:pPr>
    <w:rPr>
      <w:rFonts w:eastAsia="仿宋_GB2312"/>
      <w:sz w:val="28"/>
    </w:rPr>
  </w:style>
  <w:style w:type="paragraph" w:styleId="21">
    <w:name w:val="Plain Text"/>
    <w:basedOn w:val="1"/>
    <w:next w:val="15"/>
    <w:link w:val="99"/>
    <w:autoRedefine/>
    <w:qFormat/>
    <w:locked/>
    <w:uiPriority w:val="99"/>
    <w:rPr>
      <w:rFonts w:ascii="宋体" w:hAnsi="Courier New"/>
      <w:szCs w:val="21"/>
    </w:rPr>
  </w:style>
  <w:style w:type="paragraph" w:styleId="22">
    <w:name w:val="List Bullet 5"/>
    <w:basedOn w:val="1"/>
    <w:autoRedefine/>
    <w:qFormat/>
    <w:locked/>
    <w:uiPriority w:val="0"/>
    <w:pPr>
      <w:tabs>
        <w:tab w:val="left" w:pos="2040"/>
      </w:tabs>
      <w:ind w:firstLine="0" w:firstLineChars="0"/>
      <w:jc w:val="center"/>
    </w:pPr>
  </w:style>
  <w:style w:type="paragraph" w:styleId="23">
    <w:name w:val="Date"/>
    <w:basedOn w:val="1"/>
    <w:next w:val="1"/>
    <w:link w:val="76"/>
    <w:autoRedefine/>
    <w:qFormat/>
    <w:uiPriority w:val="0"/>
    <w:pPr>
      <w:ind w:left="100" w:leftChars="2500"/>
    </w:pPr>
    <w:rPr>
      <w:kern w:val="0"/>
      <w:szCs w:val="20"/>
    </w:rPr>
  </w:style>
  <w:style w:type="paragraph" w:styleId="24">
    <w:name w:val="Body Text Indent 2"/>
    <w:basedOn w:val="1"/>
    <w:next w:val="1"/>
    <w:link w:val="100"/>
    <w:autoRedefine/>
    <w:qFormat/>
    <w:locked/>
    <w:uiPriority w:val="99"/>
    <w:pPr>
      <w:spacing w:line="340" w:lineRule="exact"/>
      <w:ind w:firstLine="480"/>
      <w:jc w:val="left"/>
    </w:pPr>
    <w:rPr>
      <w:rFonts w:ascii="仿宋_GB2312" w:hAnsi="宋体" w:eastAsia="仿宋_GB2312"/>
    </w:rPr>
  </w:style>
  <w:style w:type="paragraph" w:styleId="25">
    <w:name w:val="Balloon Text"/>
    <w:basedOn w:val="1"/>
    <w:link w:val="84"/>
    <w:autoRedefine/>
    <w:semiHidden/>
    <w:qFormat/>
    <w:uiPriority w:val="0"/>
    <w:rPr>
      <w:kern w:val="0"/>
      <w:sz w:val="18"/>
      <w:szCs w:val="20"/>
    </w:rPr>
  </w:style>
  <w:style w:type="paragraph" w:styleId="26">
    <w:name w:val="footer"/>
    <w:basedOn w:val="1"/>
    <w:link w:val="75"/>
    <w:autoRedefine/>
    <w:qFormat/>
    <w:uiPriority w:val="0"/>
    <w:pPr>
      <w:tabs>
        <w:tab w:val="center" w:pos="4153"/>
        <w:tab w:val="right" w:pos="8306"/>
      </w:tabs>
      <w:snapToGrid w:val="0"/>
      <w:jc w:val="left"/>
    </w:pPr>
    <w:rPr>
      <w:kern w:val="0"/>
      <w:sz w:val="18"/>
      <w:szCs w:val="20"/>
    </w:rPr>
  </w:style>
  <w:style w:type="paragraph" w:styleId="27">
    <w:name w:val="header"/>
    <w:basedOn w:val="1"/>
    <w:link w:val="86"/>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28">
    <w:name w:val="toc 1"/>
    <w:basedOn w:val="1"/>
    <w:next w:val="1"/>
    <w:autoRedefine/>
    <w:qFormat/>
    <w:locked/>
    <w:uiPriority w:val="39"/>
    <w:pPr>
      <w:spacing w:before="120" w:after="120"/>
      <w:jc w:val="left"/>
    </w:pPr>
    <w:rPr>
      <w:b/>
      <w:bCs/>
      <w:caps/>
    </w:rPr>
  </w:style>
  <w:style w:type="paragraph" w:styleId="29">
    <w:name w:val="index heading"/>
    <w:basedOn w:val="1"/>
    <w:next w:val="30"/>
    <w:semiHidden/>
    <w:qFormat/>
    <w:locked/>
    <w:uiPriority w:val="0"/>
    <w:rPr>
      <w:rFonts w:ascii="Arial" w:hAnsi="Arial" w:cs="Arial"/>
      <w:b/>
      <w:bCs/>
    </w:rPr>
  </w:style>
  <w:style w:type="paragraph" w:styleId="30">
    <w:name w:val="index 1"/>
    <w:basedOn w:val="1"/>
    <w:next w:val="1"/>
    <w:qFormat/>
    <w:locked/>
    <w:uiPriority w:val="0"/>
    <w:rPr>
      <w:b/>
      <w:spacing w:val="-6"/>
      <w:sz w:val="28"/>
      <w:szCs w:val="28"/>
    </w:rPr>
  </w:style>
  <w:style w:type="paragraph" w:styleId="31">
    <w:name w:val="List"/>
    <w:basedOn w:val="1"/>
    <w:autoRedefine/>
    <w:qFormat/>
    <w:locked/>
    <w:uiPriority w:val="0"/>
    <w:pPr>
      <w:contextualSpacing/>
      <w:jc w:val="center"/>
    </w:pPr>
  </w:style>
  <w:style w:type="paragraph" w:styleId="32">
    <w:name w:val="footnote text"/>
    <w:basedOn w:val="1"/>
    <w:autoRedefine/>
    <w:qFormat/>
    <w:locked/>
    <w:uiPriority w:val="0"/>
    <w:pPr>
      <w:snapToGrid w:val="0"/>
      <w:jc w:val="left"/>
    </w:pPr>
    <w:rPr>
      <w:sz w:val="18"/>
      <w:szCs w:val="18"/>
    </w:rPr>
  </w:style>
  <w:style w:type="paragraph" w:styleId="33">
    <w:name w:val="Body Text Indent 3"/>
    <w:basedOn w:val="1"/>
    <w:link w:val="101"/>
    <w:autoRedefine/>
    <w:qFormat/>
    <w:locked/>
    <w:uiPriority w:val="0"/>
    <w:pPr>
      <w:ind w:firstLine="480"/>
    </w:pPr>
    <w:rPr>
      <w:rFonts w:eastAsia="仿宋_GB2312"/>
    </w:rPr>
  </w:style>
  <w:style w:type="paragraph" w:styleId="34">
    <w:name w:val="table of figures"/>
    <w:basedOn w:val="1"/>
    <w:next w:val="1"/>
    <w:autoRedefine/>
    <w:unhideWhenUsed/>
    <w:qFormat/>
    <w:locked/>
    <w:uiPriority w:val="99"/>
    <w:pPr>
      <w:ind w:left="200" w:leftChars="200" w:hanging="200" w:hangingChars="200"/>
    </w:pPr>
    <w:rPr>
      <w:kern w:val="0"/>
      <w:szCs w:val="21"/>
    </w:rPr>
  </w:style>
  <w:style w:type="paragraph" w:styleId="35">
    <w:name w:val="toc 2"/>
    <w:basedOn w:val="1"/>
    <w:next w:val="1"/>
    <w:qFormat/>
    <w:locked/>
    <w:uiPriority w:val="39"/>
    <w:pPr>
      <w:spacing w:before="120"/>
      <w:ind w:left="280" w:firstLine="200"/>
    </w:pPr>
    <w:rPr>
      <w:iCs/>
      <w:szCs w:val="20"/>
    </w:rPr>
  </w:style>
  <w:style w:type="paragraph" w:styleId="36">
    <w:name w:val="HTML Preformatted"/>
    <w:basedOn w:val="1"/>
    <w:link w:val="103"/>
    <w:autoRedefine/>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rPr>
  </w:style>
  <w:style w:type="paragraph" w:styleId="37">
    <w:name w:val="Normal (Web)"/>
    <w:basedOn w:val="1"/>
    <w:next w:val="1"/>
    <w:link w:val="78"/>
    <w:autoRedefine/>
    <w:qFormat/>
    <w:uiPriority w:val="0"/>
    <w:pPr>
      <w:widowControl/>
      <w:spacing w:before="100" w:beforeAutospacing="1" w:after="100" w:afterAutospacing="1"/>
      <w:jc w:val="left"/>
    </w:pPr>
    <w:rPr>
      <w:rFonts w:ascii="宋体" w:hAnsi="宋体"/>
      <w:kern w:val="0"/>
      <w:szCs w:val="20"/>
    </w:rPr>
  </w:style>
  <w:style w:type="paragraph" w:styleId="38">
    <w:name w:val="Title"/>
    <w:basedOn w:val="1"/>
    <w:next w:val="1"/>
    <w:qFormat/>
    <w:locked/>
    <w:uiPriority w:val="0"/>
    <w:pPr>
      <w:spacing w:line="600" w:lineRule="exact"/>
      <w:jc w:val="center"/>
    </w:pPr>
    <w:rPr>
      <w:rFonts w:hAnsi="@宋体" w:cs="@宋体"/>
      <w:b/>
      <w:bCs/>
      <w:spacing w:val="-10"/>
      <w:sz w:val="44"/>
      <w:szCs w:val="32"/>
    </w:rPr>
  </w:style>
  <w:style w:type="paragraph" w:styleId="39">
    <w:name w:val="annotation subject"/>
    <w:basedOn w:val="14"/>
    <w:next w:val="14"/>
    <w:link w:val="85"/>
    <w:autoRedefine/>
    <w:semiHidden/>
    <w:qFormat/>
    <w:uiPriority w:val="0"/>
    <w:rPr>
      <w:b/>
    </w:rPr>
  </w:style>
  <w:style w:type="paragraph" w:styleId="40">
    <w:name w:val="Body Text First Indent"/>
    <w:basedOn w:val="17"/>
    <w:link w:val="190"/>
    <w:autoRedefine/>
    <w:unhideWhenUsed/>
    <w:qFormat/>
    <w:locked/>
    <w:uiPriority w:val="99"/>
    <w:pPr>
      <w:widowControl w:val="0"/>
      <w:autoSpaceDE w:val="0"/>
      <w:autoSpaceDN w:val="0"/>
      <w:snapToGrid/>
      <w:spacing w:line="240" w:lineRule="auto"/>
      <w:ind w:firstLine="420" w:firstLineChars="100"/>
    </w:pPr>
    <w:rPr>
      <w:rFonts w:ascii="楷体_GB2312" w:eastAsia="楷体_GB2312"/>
      <w:color w:val="000000"/>
      <w:szCs w:val="21"/>
    </w:rPr>
  </w:style>
  <w:style w:type="paragraph" w:styleId="41">
    <w:name w:val="Body Text First Indent 2"/>
    <w:basedOn w:val="19"/>
    <w:next w:val="17"/>
    <w:qFormat/>
    <w:locked/>
    <w:uiPriority w:val="0"/>
    <w:pPr>
      <w:ind w:firstLine="420"/>
    </w:pPr>
  </w:style>
  <w:style w:type="table" w:styleId="43">
    <w:name w:val="Table Grid"/>
    <w:basedOn w:val="42"/>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autoRedefine/>
    <w:qFormat/>
    <w:locked/>
    <w:uiPriority w:val="0"/>
    <w:rPr>
      <w:b/>
      <w:bCs/>
      <w:sz w:val="24"/>
    </w:rPr>
  </w:style>
  <w:style w:type="character" w:styleId="46">
    <w:name w:val="page number"/>
    <w:basedOn w:val="44"/>
    <w:autoRedefine/>
    <w:qFormat/>
    <w:locked/>
    <w:uiPriority w:val="0"/>
  </w:style>
  <w:style w:type="character" w:styleId="47">
    <w:name w:val="FollowedHyperlink"/>
    <w:autoRedefine/>
    <w:qFormat/>
    <w:locked/>
    <w:uiPriority w:val="0"/>
    <w:rPr>
      <w:color w:val="0163AF"/>
      <w:sz w:val="24"/>
      <w:u w:val="single"/>
    </w:rPr>
  </w:style>
  <w:style w:type="character" w:styleId="48">
    <w:name w:val="Emphasis"/>
    <w:autoRedefine/>
    <w:qFormat/>
    <w:locked/>
    <w:uiPriority w:val="0"/>
    <w:rPr>
      <w:color w:val="CC0033"/>
      <w:sz w:val="24"/>
    </w:rPr>
  </w:style>
  <w:style w:type="character" w:styleId="49">
    <w:name w:val="Hyperlink"/>
    <w:autoRedefine/>
    <w:qFormat/>
    <w:locked/>
    <w:uiPriority w:val="99"/>
    <w:rPr>
      <w:color w:val="136EC2"/>
      <w:sz w:val="24"/>
      <w:u w:val="single"/>
    </w:rPr>
  </w:style>
  <w:style w:type="character" w:styleId="50">
    <w:name w:val="annotation reference"/>
    <w:autoRedefine/>
    <w:semiHidden/>
    <w:qFormat/>
    <w:uiPriority w:val="0"/>
    <w:rPr>
      <w:sz w:val="21"/>
    </w:rPr>
  </w:style>
  <w:style w:type="paragraph" w:customStyle="1" w:styleId="51">
    <w:name w:val="表头"/>
    <w:basedOn w:val="40"/>
    <w:next w:val="2"/>
    <w:autoRedefine/>
    <w:qFormat/>
    <w:uiPriority w:val="0"/>
    <w:pPr>
      <w:jc w:val="center"/>
    </w:pPr>
    <w:rPr>
      <w:b/>
      <w:szCs w:val="20"/>
    </w:rPr>
  </w:style>
  <w:style w:type="paragraph" w:customStyle="1" w:styleId="52">
    <w:name w:val="文本"/>
    <w:basedOn w:val="53"/>
    <w:qFormat/>
    <w:uiPriority w:val="0"/>
    <w:pPr>
      <w:spacing w:line="360" w:lineRule="auto"/>
      <w:ind w:firstLine="200" w:firstLineChars="200"/>
      <w:jc w:val="both"/>
    </w:pPr>
    <w:rPr>
      <w:rFonts w:eastAsia="宋体"/>
      <w:b w:val="0"/>
    </w:rPr>
  </w:style>
  <w:style w:type="paragraph" w:customStyle="1" w:styleId="53">
    <w:name w:val="三级标题"/>
    <w:basedOn w:val="54"/>
    <w:qFormat/>
    <w:uiPriority w:val="0"/>
    <w:rPr>
      <w:rFonts w:eastAsia="黑体"/>
      <w:b/>
      <w:kern w:val="2"/>
      <w:sz w:val="24"/>
      <w:szCs w:val="22"/>
      <w:lang w:val="en-US" w:eastAsia="zh-CN" w:bidi="ar-SA"/>
    </w:rPr>
  </w:style>
  <w:style w:type="paragraph" w:customStyle="1" w:styleId="54">
    <w:name w:val="环评正文"/>
    <w:basedOn w:val="3"/>
    <w:link w:val="209"/>
    <w:qFormat/>
    <w:uiPriority w:val="0"/>
    <w:pPr>
      <w:keepNext/>
      <w:keepLines/>
      <w:adjustRightInd w:val="0"/>
      <w:snapToGrid w:val="0"/>
      <w:ind w:firstLine="200"/>
      <w:jc w:val="center"/>
    </w:pPr>
    <w:rPr>
      <w:rFonts w:cs="宋体"/>
      <w:color w:val="000000"/>
      <w:szCs w:val="28"/>
    </w:rPr>
  </w:style>
  <w:style w:type="paragraph" w:customStyle="1" w:styleId="55">
    <w:name w:val="Body Text 21"/>
    <w:basedOn w:val="1"/>
    <w:qFormat/>
    <w:uiPriority w:val="0"/>
    <w:pPr>
      <w:spacing w:after="120" w:line="360" w:lineRule="auto"/>
      <w:ind w:firstLine="720" w:firstLineChars="200"/>
      <w:jc w:val="left"/>
    </w:pPr>
    <w:rPr>
      <w:rFonts w:ascii="Times New Roman" w:hAnsi="Times New Roman" w:eastAsia="宋体"/>
    </w:rPr>
  </w:style>
  <w:style w:type="paragraph" w:customStyle="1" w:styleId="56">
    <w:name w:val="表格文字"/>
    <w:basedOn w:val="21"/>
    <w:next w:val="1"/>
    <w:autoRedefine/>
    <w:qFormat/>
    <w:uiPriority w:val="0"/>
    <w:pPr>
      <w:adjustRightInd w:val="0"/>
      <w:spacing w:line="320" w:lineRule="exact"/>
      <w:jc w:val="center"/>
    </w:pPr>
    <w:rPr>
      <w:szCs w:val="20"/>
    </w:rPr>
  </w:style>
  <w:style w:type="paragraph" w:customStyle="1" w:styleId="57">
    <w:name w:val="样式5"/>
    <w:basedOn w:val="3"/>
    <w:autoRedefine/>
    <w:qFormat/>
    <w:uiPriority w:val="0"/>
    <w:pPr>
      <w:spacing w:line="380" w:lineRule="exact"/>
      <w:ind w:firstLine="566" w:firstLineChars="202"/>
    </w:pPr>
    <w:rPr>
      <w:rFonts w:eastAsia="华文行楷"/>
      <w:sz w:val="28"/>
    </w:rPr>
  </w:style>
  <w:style w:type="paragraph" w:customStyle="1" w:styleId="58">
    <w:name w:val="T正文"/>
    <w:qFormat/>
    <w:uiPriority w:val="0"/>
    <w:pPr>
      <w:widowControl w:val="0"/>
      <w:adjustRightInd w:val="0"/>
      <w:snapToGrid w:val="0"/>
      <w:spacing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59">
    <w:name w:val="Normal (Web)1"/>
    <w:basedOn w:val="1"/>
    <w:next w:val="60"/>
    <w:qFormat/>
    <w:uiPriority w:val="0"/>
    <w:pPr>
      <w:widowControl/>
    </w:pPr>
    <w:rPr>
      <w:rFonts w:ascii="宋体"/>
      <w:szCs w:val="21"/>
    </w:rPr>
  </w:style>
  <w:style w:type="paragraph" w:customStyle="1" w:styleId="60">
    <w:name w:val="Date1"/>
    <w:basedOn w:val="1"/>
    <w:next w:val="1"/>
    <w:qFormat/>
    <w:uiPriority w:val="99"/>
    <w:pPr>
      <w:widowControl/>
      <w:adjustRightInd w:val="0"/>
      <w:snapToGrid w:val="0"/>
      <w:ind w:firstLine="200"/>
      <w:textAlignment w:val="baseline"/>
    </w:pPr>
    <w:rPr>
      <w:kern w:val="0"/>
      <w:lang w:eastAsia="en-US" w:bidi="en-US"/>
    </w:rPr>
  </w:style>
  <w:style w:type="paragraph" w:customStyle="1" w:styleId="61">
    <w:name w:val="Default"/>
    <w:basedOn w:val="62"/>
    <w:autoRedefine/>
    <w:qFormat/>
    <w:uiPriority w:val="0"/>
    <w:pPr>
      <w:autoSpaceDE w:val="0"/>
      <w:autoSpaceDN w:val="0"/>
      <w:adjustRightInd w:val="0"/>
    </w:pPr>
    <w:rPr>
      <w:rFonts w:hAnsi="Times New Roman" w:cs="宋体"/>
      <w:color w:val="000000"/>
      <w:sz w:val="24"/>
      <w:szCs w:val="24"/>
    </w:rPr>
  </w:style>
  <w:style w:type="paragraph" w:customStyle="1" w:styleId="62">
    <w:name w:val="纯文本1"/>
    <w:basedOn w:val="1"/>
    <w:autoRedefine/>
    <w:qFormat/>
    <w:uiPriority w:val="0"/>
    <w:pPr>
      <w:spacing w:line="240" w:lineRule="auto"/>
      <w:textAlignment w:val="baseline"/>
    </w:pPr>
    <w:rPr>
      <w:rFonts w:ascii="宋体" w:hAnsi="Courier New"/>
      <w:sz w:val="21"/>
      <w:szCs w:val="20"/>
    </w:rPr>
  </w:style>
  <w:style w:type="paragraph" w:customStyle="1" w:styleId="63">
    <w:name w:val="样式 正文文本缩进 + 行距: 1.5 倍行距"/>
    <w:basedOn w:val="19"/>
    <w:qFormat/>
    <w:uiPriority w:val="0"/>
    <w:pPr>
      <w:ind w:left="90" w:leftChars="32" w:firstLine="560"/>
    </w:pPr>
    <w:rPr>
      <w:rFonts w:cs="宋体"/>
    </w:rPr>
  </w:style>
  <w:style w:type="paragraph" w:customStyle="1" w:styleId="64">
    <w:name w:val="样式 正文首行缩进 + 首行缩进:  2 字符1"/>
    <w:basedOn w:val="40"/>
    <w:autoRedefine/>
    <w:qFormat/>
    <w:uiPriority w:val="0"/>
    <w:pPr>
      <w:spacing w:line="360" w:lineRule="auto"/>
      <w:ind w:firstLine="480" w:firstLineChars="200"/>
    </w:pPr>
  </w:style>
  <w:style w:type="paragraph" w:customStyle="1" w:styleId="65">
    <w:name w:val="正文1"/>
    <w:next w:val="1"/>
    <w:autoRedefine/>
    <w:qFormat/>
    <w:uiPriority w:val="0"/>
    <w:pPr>
      <w:widowControl w:val="0"/>
      <w:jc w:val="both"/>
    </w:pPr>
    <w:rPr>
      <w:rFonts w:ascii="宋体" w:hAnsi="Courier New" w:eastAsia="宋体" w:cs="宋体"/>
      <w:sz w:val="2"/>
      <w:lang w:val="en-US" w:eastAsia="zh-CN" w:bidi="ar-SA"/>
    </w:rPr>
  </w:style>
  <w:style w:type="paragraph" w:customStyle="1" w:styleId="66">
    <w:name w:val="表格标题新"/>
    <w:basedOn w:val="1"/>
    <w:next w:val="1"/>
    <w:autoRedefine/>
    <w:qFormat/>
    <w:uiPriority w:val="0"/>
    <w:pPr>
      <w:tabs>
        <w:tab w:val="left" w:pos="0"/>
      </w:tabs>
      <w:adjustRightInd w:val="0"/>
      <w:snapToGrid w:val="0"/>
      <w:spacing w:beforeLines="50" w:line="400" w:lineRule="exact"/>
      <w:ind w:firstLine="562"/>
      <w:jc w:val="center"/>
    </w:pPr>
    <w:rPr>
      <w:rFonts w:eastAsia="黑体"/>
      <w:b/>
      <w:snapToGrid w:val="0"/>
      <w:kern w:val="0"/>
    </w:rPr>
  </w:style>
  <w:style w:type="paragraph" w:customStyle="1" w:styleId="67">
    <w:name w:val="0正文"/>
    <w:basedOn w:val="19"/>
    <w:next w:val="27"/>
    <w:autoRedefine/>
    <w:unhideWhenUsed/>
    <w:qFormat/>
    <w:uiPriority w:val="0"/>
    <w:rPr>
      <w:szCs w:val="22"/>
    </w:rPr>
  </w:style>
  <w:style w:type="paragraph" w:customStyle="1" w:styleId="68">
    <w:name w:val="样式 样式 样式 四号 左侧:  1.53 厘米 + 首行缩进:  2 字符 + 居中 左侧:  2 字符 首行缩进:  2..."/>
    <w:basedOn w:val="69"/>
    <w:autoRedefine/>
    <w:qFormat/>
    <w:uiPriority w:val="0"/>
    <w:pPr>
      <w:spacing w:line="240" w:lineRule="auto"/>
      <w:ind w:firstLine="0" w:firstLineChars="0"/>
      <w:jc w:val="center"/>
    </w:pPr>
  </w:style>
  <w:style w:type="paragraph" w:customStyle="1" w:styleId="69">
    <w:name w:val="样式 样式 四号 左侧:  1.53 厘米 + 首行缩进:  2 字符"/>
    <w:basedOn w:val="70"/>
    <w:autoRedefine/>
    <w:qFormat/>
    <w:uiPriority w:val="0"/>
    <w:pPr>
      <w:ind w:left="200" w:leftChars="200"/>
    </w:pPr>
    <w:rPr>
      <w:szCs w:val="20"/>
    </w:rPr>
  </w:style>
  <w:style w:type="paragraph" w:customStyle="1" w:styleId="70">
    <w:name w:val="样式 四号 左侧:  1.53 厘米"/>
    <w:basedOn w:val="1"/>
    <w:autoRedefine/>
    <w:qFormat/>
    <w:uiPriority w:val="0"/>
    <w:pPr>
      <w:adjustRightInd w:val="0"/>
    </w:pPr>
    <w:rPr>
      <w:w w:val="90"/>
      <w:sz w:val="28"/>
      <w:szCs w:val="28"/>
    </w:rPr>
  </w:style>
  <w:style w:type="paragraph" w:customStyle="1" w:styleId="71">
    <w:name w:val="默认段落"/>
    <w:basedOn w:val="1"/>
    <w:autoRedefine/>
    <w:qFormat/>
    <w:uiPriority w:val="99"/>
  </w:style>
  <w:style w:type="character" w:customStyle="1" w:styleId="72">
    <w:name w:val="标题 1 Char"/>
    <w:link w:val="6"/>
    <w:autoRedefine/>
    <w:qFormat/>
    <w:uiPriority w:val="0"/>
    <w:rPr>
      <w:rFonts w:eastAsia="黑体"/>
      <w:b/>
      <w:bCs/>
      <w:color w:val="000000"/>
      <w:kern w:val="44"/>
      <w:sz w:val="30"/>
      <w:szCs w:val="30"/>
    </w:rPr>
  </w:style>
  <w:style w:type="character" w:customStyle="1" w:styleId="73">
    <w:name w:val="标题 2 Char"/>
    <w:basedOn w:val="44"/>
    <w:link w:val="7"/>
    <w:autoRedefine/>
    <w:qFormat/>
    <w:uiPriority w:val="9"/>
    <w:rPr>
      <w:rFonts w:ascii="仿宋_GB2312" w:hAnsi="Arial" w:eastAsia="仿宋_GB2312"/>
      <w:b/>
      <w:bCs/>
      <w:kern w:val="2"/>
      <w:sz w:val="28"/>
      <w:szCs w:val="32"/>
    </w:rPr>
  </w:style>
  <w:style w:type="character" w:customStyle="1" w:styleId="74">
    <w:name w:val="标题 3 Char"/>
    <w:basedOn w:val="44"/>
    <w:link w:val="8"/>
    <w:autoRedefine/>
    <w:qFormat/>
    <w:uiPriority w:val="0"/>
    <w:rPr>
      <w:b/>
      <w:bCs/>
      <w:kern w:val="2"/>
      <w:sz w:val="32"/>
      <w:szCs w:val="32"/>
    </w:rPr>
  </w:style>
  <w:style w:type="character" w:customStyle="1" w:styleId="75">
    <w:name w:val="页脚 Char"/>
    <w:link w:val="26"/>
    <w:autoRedefine/>
    <w:qFormat/>
    <w:locked/>
    <w:uiPriority w:val="99"/>
    <w:rPr>
      <w:sz w:val="18"/>
    </w:rPr>
  </w:style>
  <w:style w:type="character" w:customStyle="1" w:styleId="76">
    <w:name w:val="日期 Char"/>
    <w:link w:val="23"/>
    <w:autoRedefine/>
    <w:qFormat/>
    <w:locked/>
    <w:uiPriority w:val="0"/>
    <w:rPr>
      <w:rFonts w:ascii="Times New Roman" w:hAnsi="Times New Roman" w:eastAsia="宋体"/>
      <w:sz w:val="24"/>
    </w:rPr>
  </w:style>
  <w:style w:type="character" w:customStyle="1" w:styleId="77">
    <w:name w:val="页脚 字符"/>
    <w:basedOn w:val="44"/>
    <w:autoRedefine/>
    <w:qFormat/>
    <w:uiPriority w:val="99"/>
  </w:style>
  <w:style w:type="character" w:customStyle="1" w:styleId="78">
    <w:name w:val="普通(网站) Char"/>
    <w:link w:val="37"/>
    <w:autoRedefine/>
    <w:qFormat/>
    <w:locked/>
    <w:uiPriority w:val="0"/>
    <w:rPr>
      <w:rFonts w:ascii="宋体" w:hAnsi="宋体" w:eastAsia="宋体"/>
      <w:sz w:val="24"/>
    </w:rPr>
  </w:style>
  <w:style w:type="character" w:customStyle="1" w:styleId="79">
    <w:name w:val="正文文本 字符1"/>
    <w:autoRedefine/>
    <w:semiHidden/>
    <w:qFormat/>
    <w:uiPriority w:val="0"/>
    <w:rPr>
      <w:rFonts w:ascii="Times New Roman" w:hAnsi="Times New Roman" w:eastAsia="宋体"/>
      <w:sz w:val="24"/>
    </w:rPr>
  </w:style>
  <w:style w:type="character" w:customStyle="1" w:styleId="80">
    <w:name w:val="正文文本 Char"/>
    <w:link w:val="17"/>
    <w:autoRedefine/>
    <w:qFormat/>
    <w:locked/>
    <w:uiPriority w:val="0"/>
    <w:rPr>
      <w:rFonts w:eastAsia="宋体"/>
      <w:sz w:val="24"/>
    </w:rPr>
  </w:style>
  <w:style w:type="character" w:customStyle="1" w:styleId="81">
    <w:name w:val="批注文字 Char"/>
    <w:link w:val="14"/>
    <w:autoRedefine/>
    <w:semiHidden/>
    <w:qFormat/>
    <w:locked/>
    <w:uiPriority w:val="0"/>
    <w:rPr>
      <w:sz w:val="24"/>
    </w:rPr>
  </w:style>
  <w:style w:type="character" w:customStyle="1" w:styleId="82">
    <w:name w:val="表格 Char"/>
    <w:link w:val="2"/>
    <w:autoRedefine/>
    <w:qFormat/>
    <w:locked/>
    <w:uiPriority w:val="0"/>
    <w:rPr>
      <w:rFonts w:ascii="Times New Roman" w:hAnsi="Times New Roman" w:eastAsia="宋体"/>
      <w:sz w:val="21"/>
      <w:szCs w:val="21"/>
    </w:rPr>
  </w:style>
  <w:style w:type="character" w:customStyle="1" w:styleId="83">
    <w:name w:val="日期 字符"/>
    <w:autoRedefine/>
    <w:semiHidden/>
    <w:qFormat/>
    <w:uiPriority w:val="0"/>
    <w:rPr>
      <w:rFonts w:ascii="Times New Roman" w:hAnsi="Times New Roman" w:eastAsia="宋体"/>
      <w:sz w:val="24"/>
    </w:rPr>
  </w:style>
  <w:style w:type="character" w:customStyle="1" w:styleId="84">
    <w:name w:val="批注框文本 Char"/>
    <w:link w:val="25"/>
    <w:autoRedefine/>
    <w:semiHidden/>
    <w:qFormat/>
    <w:locked/>
    <w:uiPriority w:val="0"/>
    <w:rPr>
      <w:rFonts w:ascii="Times New Roman" w:hAnsi="Times New Roman" w:eastAsia="宋体"/>
      <w:sz w:val="18"/>
    </w:rPr>
  </w:style>
  <w:style w:type="character" w:customStyle="1" w:styleId="85">
    <w:name w:val="批注主题 Char"/>
    <w:link w:val="39"/>
    <w:autoRedefine/>
    <w:semiHidden/>
    <w:qFormat/>
    <w:locked/>
    <w:uiPriority w:val="0"/>
    <w:rPr>
      <w:rFonts w:ascii="Times New Roman" w:hAnsi="Times New Roman" w:eastAsia="宋体"/>
      <w:b/>
      <w:kern w:val="2"/>
      <w:sz w:val="24"/>
    </w:rPr>
  </w:style>
  <w:style w:type="character" w:customStyle="1" w:styleId="86">
    <w:name w:val="页眉 Char"/>
    <w:link w:val="27"/>
    <w:autoRedefine/>
    <w:qFormat/>
    <w:locked/>
    <w:uiPriority w:val="99"/>
    <w:rPr>
      <w:sz w:val="18"/>
    </w:rPr>
  </w:style>
  <w:style w:type="character" w:customStyle="1" w:styleId="87">
    <w:name w:val="批注文字 字符1"/>
    <w:autoRedefine/>
    <w:semiHidden/>
    <w:qFormat/>
    <w:uiPriority w:val="0"/>
    <w:rPr>
      <w:rFonts w:ascii="Times New Roman" w:hAnsi="Times New Roman" w:eastAsia="宋体"/>
      <w:sz w:val="24"/>
    </w:rPr>
  </w:style>
  <w:style w:type="character" w:customStyle="1" w:styleId="88">
    <w:name w:val="正文文本缩进 Char"/>
    <w:link w:val="19"/>
    <w:autoRedefine/>
    <w:semiHidden/>
    <w:qFormat/>
    <w:locked/>
    <w:uiPriority w:val="0"/>
    <w:rPr>
      <w:rFonts w:ascii="Times New Roman" w:hAnsi="Times New Roman" w:eastAsia="宋体"/>
      <w:sz w:val="24"/>
    </w:rPr>
  </w:style>
  <w:style w:type="paragraph" w:customStyle="1" w:styleId="89">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0">
    <w:name w:val="普通(网站)2"/>
    <w:basedOn w:val="1"/>
    <w:autoRedefine/>
    <w:qFormat/>
    <w:uiPriority w:val="0"/>
    <w:pPr>
      <w:widowControl/>
      <w:spacing w:before="100" w:beforeAutospacing="1" w:after="100" w:afterAutospacing="1"/>
      <w:jc w:val="left"/>
    </w:pPr>
    <w:rPr>
      <w:rFonts w:ascii="宋体" w:hAnsi="宋体"/>
      <w:szCs w:val="20"/>
    </w:rPr>
  </w:style>
  <w:style w:type="paragraph" w:customStyle="1" w:styleId="91">
    <w:name w:val="报告图表"/>
    <w:basedOn w:val="1"/>
    <w:autoRedefine/>
    <w:qFormat/>
    <w:uiPriority w:val="0"/>
    <w:pPr>
      <w:spacing w:line="240" w:lineRule="exact"/>
      <w:jc w:val="center"/>
    </w:pPr>
    <w:rPr>
      <w:szCs w:val="21"/>
    </w:rPr>
  </w:style>
  <w:style w:type="paragraph" w:customStyle="1" w:styleId="92">
    <w:name w:val="图表"/>
    <w:basedOn w:val="1"/>
    <w:autoRedefine/>
    <w:qFormat/>
    <w:uiPriority w:val="0"/>
    <w:pPr>
      <w:spacing w:line="440" w:lineRule="exact"/>
      <w:ind w:firstLine="480"/>
    </w:pPr>
    <w:rPr>
      <w:rFonts w:eastAsia="Times New Roman"/>
      <w:szCs w:val="28"/>
    </w:rPr>
  </w:style>
  <w:style w:type="paragraph" w:styleId="93">
    <w:name w:val="List Paragraph"/>
    <w:basedOn w:val="1"/>
    <w:autoRedefine/>
    <w:qFormat/>
    <w:uiPriority w:val="1"/>
    <w:pPr>
      <w:ind w:left="1506" w:hanging="601"/>
    </w:pPr>
    <w:rPr>
      <w:rFonts w:ascii="宋体" w:hAnsi="宋体" w:cs="宋体"/>
      <w:lang w:val="zh-CN" w:bidi="zh-CN"/>
    </w:rPr>
  </w:style>
  <w:style w:type="paragraph" w:customStyle="1" w:styleId="94">
    <w:name w:val="样式 样式 宋体 小四 黑色 行距: 最小值 25 磅 + 首行缩进:  2 字符1"/>
    <w:basedOn w:val="1"/>
    <w:autoRedefine/>
    <w:qFormat/>
    <w:uiPriority w:val="0"/>
    <w:pPr>
      <w:spacing w:line="500" w:lineRule="atLeast"/>
      <w:ind w:firstLine="482"/>
    </w:pPr>
    <w:rPr>
      <w:rFonts w:ascii="宋体" w:hAnsi="宋体" w:cs="宋体"/>
      <w:color w:val="000000"/>
      <w:szCs w:val="20"/>
    </w:rPr>
  </w:style>
  <w:style w:type="character" w:customStyle="1" w:styleId="95">
    <w:name w:val="注释标题 Char"/>
    <w:basedOn w:val="44"/>
    <w:link w:val="10"/>
    <w:autoRedefine/>
    <w:qFormat/>
    <w:uiPriority w:val="0"/>
    <w:rPr>
      <w:kern w:val="2"/>
      <w:sz w:val="21"/>
    </w:rPr>
  </w:style>
  <w:style w:type="character" w:customStyle="1" w:styleId="96">
    <w:name w:val="正文缩进 Char"/>
    <w:link w:val="3"/>
    <w:autoRedefine/>
    <w:qFormat/>
    <w:uiPriority w:val="0"/>
    <w:rPr>
      <w:kern w:val="2"/>
      <w:sz w:val="21"/>
    </w:rPr>
  </w:style>
  <w:style w:type="character" w:customStyle="1" w:styleId="97">
    <w:name w:val="文档结构图 Char"/>
    <w:basedOn w:val="44"/>
    <w:link w:val="13"/>
    <w:autoRedefine/>
    <w:qFormat/>
    <w:uiPriority w:val="0"/>
    <w:rPr>
      <w:kern w:val="2"/>
      <w:sz w:val="21"/>
      <w:szCs w:val="24"/>
      <w:shd w:val="clear" w:color="auto" w:fill="000080"/>
    </w:rPr>
  </w:style>
  <w:style w:type="character" w:customStyle="1" w:styleId="98">
    <w:name w:val="正文文本 3 Char"/>
    <w:basedOn w:val="44"/>
    <w:link w:val="16"/>
    <w:autoRedefine/>
    <w:qFormat/>
    <w:uiPriority w:val="0"/>
    <w:rPr>
      <w:kern w:val="2"/>
      <w:sz w:val="21"/>
      <w:szCs w:val="24"/>
    </w:rPr>
  </w:style>
  <w:style w:type="character" w:customStyle="1" w:styleId="99">
    <w:name w:val="纯文本 Char"/>
    <w:basedOn w:val="44"/>
    <w:link w:val="21"/>
    <w:autoRedefine/>
    <w:qFormat/>
    <w:uiPriority w:val="0"/>
    <w:rPr>
      <w:rFonts w:ascii="宋体" w:hAnsi="Courier New"/>
      <w:kern w:val="2"/>
      <w:sz w:val="21"/>
      <w:szCs w:val="21"/>
    </w:rPr>
  </w:style>
  <w:style w:type="character" w:customStyle="1" w:styleId="100">
    <w:name w:val="正文文本缩进 2 Char"/>
    <w:basedOn w:val="44"/>
    <w:link w:val="24"/>
    <w:autoRedefine/>
    <w:qFormat/>
    <w:uiPriority w:val="99"/>
    <w:rPr>
      <w:rFonts w:ascii="仿宋_GB2312" w:hAnsi="宋体" w:eastAsia="仿宋_GB2312"/>
      <w:kern w:val="2"/>
      <w:sz w:val="24"/>
      <w:szCs w:val="24"/>
    </w:rPr>
  </w:style>
  <w:style w:type="character" w:customStyle="1" w:styleId="101">
    <w:name w:val="正文文本缩进 3 Char"/>
    <w:basedOn w:val="44"/>
    <w:link w:val="33"/>
    <w:autoRedefine/>
    <w:qFormat/>
    <w:uiPriority w:val="0"/>
    <w:rPr>
      <w:rFonts w:eastAsia="仿宋_GB2312"/>
      <w:kern w:val="2"/>
      <w:sz w:val="24"/>
      <w:szCs w:val="24"/>
    </w:rPr>
  </w:style>
  <w:style w:type="character" w:customStyle="1" w:styleId="102">
    <w:name w:val="正文文本 2 Char"/>
    <w:basedOn w:val="44"/>
    <w:link w:val="5"/>
    <w:autoRedefine/>
    <w:qFormat/>
    <w:uiPriority w:val="0"/>
    <w:rPr>
      <w:kern w:val="2"/>
      <w:sz w:val="21"/>
      <w:szCs w:val="24"/>
    </w:rPr>
  </w:style>
  <w:style w:type="character" w:customStyle="1" w:styleId="103">
    <w:name w:val="HTML 预设格式 Char"/>
    <w:basedOn w:val="44"/>
    <w:link w:val="36"/>
    <w:autoRedefine/>
    <w:qFormat/>
    <w:uiPriority w:val="0"/>
    <w:rPr>
      <w:rFonts w:ascii="Arial" w:hAnsi="Arial"/>
      <w:sz w:val="24"/>
      <w:szCs w:val="24"/>
    </w:rPr>
  </w:style>
  <w:style w:type="character" w:customStyle="1" w:styleId="104">
    <w:name w:val="headline-content2"/>
    <w:basedOn w:val="44"/>
    <w:autoRedefine/>
    <w:qFormat/>
    <w:uiPriority w:val="0"/>
  </w:style>
  <w:style w:type="character" w:customStyle="1" w:styleId="105">
    <w:name w:val="样式 正文文本 + 宋体 小四 行距: 1.5 倍行距 Char"/>
    <w:link w:val="106"/>
    <w:autoRedefine/>
    <w:qFormat/>
    <w:uiPriority w:val="0"/>
    <w:rPr>
      <w:rFonts w:ascii="宋体" w:hAnsi="宋体" w:cs="宋体"/>
      <w:kern w:val="2"/>
      <w:sz w:val="24"/>
    </w:rPr>
  </w:style>
  <w:style w:type="paragraph" w:customStyle="1" w:styleId="106">
    <w:name w:val="样式 正文文本 + 宋体 小四 行距: 1.5 倍行距"/>
    <w:basedOn w:val="17"/>
    <w:link w:val="105"/>
    <w:autoRedefine/>
    <w:qFormat/>
    <w:uiPriority w:val="0"/>
    <w:pPr>
      <w:widowControl w:val="0"/>
      <w:snapToGrid/>
      <w:spacing w:after="120" w:line="360" w:lineRule="auto"/>
      <w:ind w:firstLine="360" w:firstLineChars="150"/>
    </w:pPr>
    <w:rPr>
      <w:rFonts w:ascii="宋体" w:hAnsi="宋体" w:cs="宋体"/>
      <w:kern w:val="2"/>
    </w:rPr>
  </w:style>
  <w:style w:type="character" w:customStyle="1" w:styleId="107">
    <w:name w:val="样式4 Char"/>
    <w:link w:val="108"/>
    <w:autoRedefine/>
    <w:qFormat/>
    <w:uiPriority w:val="0"/>
    <w:rPr>
      <w:rFonts w:ascii="宋体" w:hAnsi="宋体"/>
      <w:sz w:val="24"/>
    </w:rPr>
  </w:style>
  <w:style w:type="paragraph" w:customStyle="1" w:styleId="108">
    <w:name w:val="样式4"/>
    <w:basedOn w:val="1"/>
    <w:link w:val="107"/>
    <w:autoRedefine/>
    <w:qFormat/>
    <w:uiPriority w:val="0"/>
    <w:pPr>
      <w:snapToGrid w:val="0"/>
      <w:ind w:firstLine="480"/>
    </w:pPr>
    <w:rPr>
      <w:rFonts w:ascii="宋体" w:hAnsi="宋体"/>
      <w:kern w:val="0"/>
      <w:szCs w:val="20"/>
    </w:rPr>
  </w:style>
  <w:style w:type="character" w:customStyle="1" w:styleId="109">
    <w:name w:val="不明显强调1"/>
    <w:autoRedefine/>
    <w:qFormat/>
    <w:uiPriority w:val="19"/>
    <w:rPr>
      <w:i/>
      <w:iCs/>
      <w:color w:val="808080"/>
      <w:sz w:val="24"/>
    </w:rPr>
  </w:style>
  <w:style w:type="character" w:customStyle="1" w:styleId="110">
    <w:name w:val="样式 小四"/>
    <w:autoRedefine/>
    <w:qFormat/>
    <w:uiPriority w:val="0"/>
    <w:rPr>
      <w:sz w:val="24"/>
    </w:rPr>
  </w:style>
  <w:style w:type="character" w:customStyle="1" w:styleId="111">
    <w:name w:val="样式 小四 黑色 行距: 1.5 倍行距 Char"/>
    <w:link w:val="112"/>
    <w:autoRedefine/>
    <w:qFormat/>
    <w:uiPriority w:val="0"/>
    <w:rPr>
      <w:rFonts w:cs="宋体"/>
      <w:color w:val="000000"/>
      <w:sz w:val="24"/>
    </w:rPr>
  </w:style>
  <w:style w:type="paragraph" w:customStyle="1" w:styleId="112">
    <w:name w:val="样式 小四 黑色 行距: 1.5 倍行距"/>
    <w:basedOn w:val="1"/>
    <w:link w:val="111"/>
    <w:autoRedefine/>
    <w:qFormat/>
    <w:uiPriority w:val="0"/>
    <w:pPr>
      <w:ind w:firstLine="360" w:firstLineChars="150"/>
    </w:pPr>
    <w:rPr>
      <w:rFonts w:cs="宋体"/>
      <w:color w:val="000000"/>
      <w:kern w:val="0"/>
      <w:szCs w:val="20"/>
    </w:rPr>
  </w:style>
  <w:style w:type="character" w:customStyle="1" w:styleId="113">
    <w:name w:val="页码1"/>
    <w:basedOn w:val="44"/>
    <w:autoRedefine/>
    <w:qFormat/>
    <w:uiPriority w:val="0"/>
  </w:style>
  <w:style w:type="character" w:customStyle="1" w:styleId="114">
    <w:name w:val="样式 宋体 小四 黑色 行距: 最小值 25 磅 Char"/>
    <w:link w:val="115"/>
    <w:autoRedefine/>
    <w:qFormat/>
    <w:uiPriority w:val="0"/>
    <w:rPr>
      <w:rFonts w:ascii="宋体" w:hAnsi="宋体" w:cs="宋体"/>
      <w:color w:val="000000"/>
      <w:kern w:val="2"/>
      <w:sz w:val="24"/>
    </w:rPr>
  </w:style>
  <w:style w:type="paragraph" w:customStyle="1" w:styleId="115">
    <w:name w:val="样式 宋体 小四 黑色 行距: 最小值 25 磅"/>
    <w:basedOn w:val="1"/>
    <w:link w:val="114"/>
    <w:autoRedefine/>
    <w:qFormat/>
    <w:uiPriority w:val="0"/>
    <w:pPr>
      <w:spacing w:line="500" w:lineRule="atLeast"/>
      <w:ind w:firstLine="480"/>
    </w:pPr>
    <w:rPr>
      <w:rFonts w:ascii="宋体" w:hAnsi="宋体" w:cs="宋体"/>
      <w:color w:val="000000"/>
      <w:szCs w:val="20"/>
    </w:rPr>
  </w:style>
  <w:style w:type="character" w:customStyle="1" w:styleId="116">
    <w:name w:val="样式8 Char"/>
    <w:link w:val="117"/>
    <w:autoRedefine/>
    <w:qFormat/>
    <w:uiPriority w:val="0"/>
    <w:rPr>
      <w:rFonts w:ascii="宋体" w:hAnsi="宋体" w:cs="宋体"/>
      <w:color w:val="000000"/>
      <w:sz w:val="24"/>
    </w:rPr>
  </w:style>
  <w:style w:type="paragraph" w:customStyle="1" w:styleId="117">
    <w:name w:val="样式8"/>
    <w:basedOn w:val="1"/>
    <w:link w:val="116"/>
    <w:autoRedefine/>
    <w:qFormat/>
    <w:uiPriority w:val="0"/>
    <w:pPr>
      <w:spacing w:line="500" w:lineRule="exact"/>
      <w:ind w:firstLine="480"/>
    </w:pPr>
    <w:rPr>
      <w:rFonts w:ascii="宋体" w:hAnsi="宋体" w:cs="宋体"/>
      <w:color w:val="000000"/>
      <w:kern w:val="0"/>
      <w:szCs w:val="20"/>
    </w:rPr>
  </w:style>
  <w:style w:type="character" w:customStyle="1" w:styleId="118">
    <w:name w:val="标题2"/>
    <w:autoRedefine/>
    <w:qFormat/>
    <w:uiPriority w:val="0"/>
    <w:rPr>
      <w:rFonts w:eastAsia="楷体_GB2312"/>
      <w:b/>
      <w:sz w:val="28"/>
      <w:szCs w:val="28"/>
    </w:rPr>
  </w:style>
  <w:style w:type="character" w:customStyle="1" w:styleId="119">
    <w:name w:val="样式 样式 样式 小四 行距: 固定值 25 磅 + 黑色 + 首行缩进:  0 字符 Char"/>
    <w:basedOn w:val="120"/>
    <w:link w:val="123"/>
    <w:autoRedefine/>
    <w:qFormat/>
    <w:uiPriority w:val="0"/>
    <w:rPr>
      <w:rFonts w:cs="宋体"/>
      <w:color w:val="000000"/>
      <w:kern w:val="2"/>
      <w:sz w:val="24"/>
    </w:rPr>
  </w:style>
  <w:style w:type="character" w:customStyle="1" w:styleId="120">
    <w:name w:val="样式 样式 小四 行距: 固定值 25 磅 + 黑色 Char"/>
    <w:link w:val="121"/>
    <w:autoRedefine/>
    <w:qFormat/>
    <w:uiPriority w:val="0"/>
    <w:rPr>
      <w:rFonts w:cs="宋体"/>
      <w:color w:val="000000"/>
      <w:kern w:val="2"/>
      <w:sz w:val="24"/>
    </w:rPr>
  </w:style>
  <w:style w:type="paragraph" w:customStyle="1" w:styleId="121">
    <w:name w:val="样式 样式 小四 行距: 固定值 25 磅 + 黑色"/>
    <w:basedOn w:val="122"/>
    <w:link w:val="120"/>
    <w:autoRedefine/>
    <w:qFormat/>
    <w:uiPriority w:val="0"/>
    <w:rPr>
      <w:color w:val="000000"/>
    </w:rPr>
  </w:style>
  <w:style w:type="paragraph" w:customStyle="1" w:styleId="122">
    <w:name w:val="样式 小四 行距: 固定值 25 磅"/>
    <w:basedOn w:val="1"/>
    <w:link w:val="124"/>
    <w:autoRedefine/>
    <w:qFormat/>
    <w:uiPriority w:val="0"/>
    <w:pPr>
      <w:spacing w:line="500" w:lineRule="exact"/>
      <w:ind w:firstLine="480"/>
    </w:pPr>
    <w:rPr>
      <w:rFonts w:cs="宋体"/>
      <w:szCs w:val="20"/>
    </w:rPr>
  </w:style>
  <w:style w:type="paragraph" w:customStyle="1" w:styleId="123">
    <w:name w:val="样式 样式 样式 小四 行距: 固定值 25 磅 + 黑色 + 首行缩进:  0 字符"/>
    <w:basedOn w:val="121"/>
    <w:link w:val="119"/>
    <w:autoRedefine/>
    <w:qFormat/>
    <w:uiPriority w:val="0"/>
    <w:pPr>
      <w:ind w:firstLine="0" w:firstLineChars="0"/>
    </w:pPr>
  </w:style>
  <w:style w:type="character" w:customStyle="1" w:styleId="124">
    <w:name w:val="样式 小四 行距: 固定值 25 磅 Char"/>
    <w:link w:val="122"/>
    <w:qFormat/>
    <w:uiPriority w:val="0"/>
    <w:rPr>
      <w:rFonts w:cs="宋体"/>
      <w:kern w:val="2"/>
      <w:sz w:val="24"/>
    </w:rPr>
  </w:style>
  <w:style w:type="character" w:customStyle="1" w:styleId="125">
    <w:name w:val="样式 宋体 小四 黑色 行距: 1.5 倍行距 Char"/>
    <w:link w:val="126"/>
    <w:autoRedefine/>
    <w:qFormat/>
    <w:uiPriority w:val="0"/>
    <w:rPr>
      <w:rFonts w:ascii="宋体" w:hAnsi="宋体" w:cs="宋体"/>
      <w:color w:val="000000"/>
      <w:kern w:val="2"/>
      <w:sz w:val="24"/>
    </w:rPr>
  </w:style>
  <w:style w:type="paragraph" w:customStyle="1" w:styleId="126">
    <w:name w:val="样式 宋体 小四 黑色 行距: 1.5 倍行距"/>
    <w:basedOn w:val="1"/>
    <w:link w:val="125"/>
    <w:autoRedefine/>
    <w:qFormat/>
    <w:uiPriority w:val="0"/>
    <w:pPr>
      <w:ind w:firstLine="480"/>
    </w:pPr>
    <w:rPr>
      <w:rFonts w:ascii="宋体" w:hAnsi="宋体" w:cs="宋体"/>
      <w:color w:val="000000"/>
      <w:szCs w:val="20"/>
    </w:rPr>
  </w:style>
  <w:style w:type="character" w:customStyle="1" w:styleId="127">
    <w:name w:val="样式 宋体 黑色 行距: 最小值 25 磅 Char"/>
    <w:link w:val="128"/>
    <w:autoRedefine/>
    <w:qFormat/>
    <w:uiPriority w:val="0"/>
    <w:rPr>
      <w:rFonts w:ascii="宋体" w:hAnsi="宋体" w:cs="宋体"/>
      <w:color w:val="000000"/>
      <w:kern w:val="2"/>
      <w:sz w:val="24"/>
    </w:rPr>
  </w:style>
  <w:style w:type="paragraph" w:customStyle="1" w:styleId="128">
    <w:name w:val="样式 宋体 黑色 行距: 最小值 25 磅"/>
    <w:basedOn w:val="1"/>
    <w:link w:val="127"/>
    <w:autoRedefine/>
    <w:qFormat/>
    <w:uiPriority w:val="0"/>
    <w:pPr>
      <w:spacing w:line="500" w:lineRule="atLeast"/>
      <w:ind w:firstLine="480"/>
    </w:pPr>
    <w:rPr>
      <w:rFonts w:ascii="宋体" w:hAnsi="宋体" w:cs="宋体"/>
      <w:color w:val="000000"/>
      <w:szCs w:val="20"/>
    </w:rPr>
  </w:style>
  <w:style w:type="character" w:customStyle="1" w:styleId="129">
    <w:name w:val="标题1"/>
    <w:basedOn w:val="44"/>
    <w:autoRedefine/>
    <w:qFormat/>
    <w:uiPriority w:val="0"/>
  </w:style>
  <w:style w:type="character" w:customStyle="1" w:styleId="130">
    <w:name w:val="标准正文 Char"/>
    <w:autoRedefine/>
    <w:qFormat/>
    <w:uiPriority w:val="0"/>
    <w:rPr>
      <w:rFonts w:ascii="宋体" w:hAnsi="宋体" w:eastAsia="宋体" w:cs="宋体"/>
      <w:b/>
      <w:bCs/>
      <w:kern w:val="44"/>
      <w:sz w:val="24"/>
      <w:szCs w:val="32"/>
      <w:lang w:val="en-US" w:eastAsia="zh-CN" w:bidi="ar-SA"/>
    </w:rPr>
  </w:style>
  <w:style w:type="character" w:customStyle="1" w:styleId="131">
    <w:name w:val="apple-style-span"/>
    <w:basedOn w:val="44"/>
    <w:autoRedefine/>
    <w:qFormat/>
    <w:uiPriority w:val="0"/>
  </w:style>
  <w:style w:type="character" w:customStyle="1" w:styleId="132">
    <w:name w:val="样式12 Char"/>
    <w:link w:val="133"/>
    <w:autoRedefine/>
    <w:qFormat/>
    <w:uiPriority w:val="0"/>
    <w:rPr>
      <w:rFonts w:cs="宋体"/>
      <w:color w:val="000000"/>
      <w:kern w:val="2"/>
      <w:sz w:val="24"/>
    </w:rPr>
  </w:style>
  <w:style w:type="paragraph" w:customStyle="1" w:styleId="133">
    <w:name w:val="样式12"/>
    <w:basedOn w:val="1"/>
    <w:link w:val="132"/>
    <w:autoRedefine/>
    <w:qFormat/>
    <w:uiPriority w:val="0"/>
    <w:pPr>
      <w:ind w:firstLine="480"/>
    </w:pPr>
    <w:rPr>
      <w:rFonts w:cs="宋体"/>
      <w:color w:val="000000"/>
      <w:szCs w:val="20"/>
    </w:rPr>
  </w:style>
  <w:style w:type="character" w:customStyle="1" w:styleId="134">
    <w:name w:val="水保-正文 Char"/>
    <w:link w:val="135"/>
    <w:autoRedefine/>
    <w:qFormat/>
    <w:uiPriority w:val="0"/>
    <w:rPr>
      <w:sz w:val="24"/>
      <w:szCs w:val="21"/>
    </w:rPr>
  </w:style>
  <w:style w:type="paragraph" w:customStyle="1" w:styleId="135">
    <w:name w:val="水保-正文"/>
    <w:basedOn w:val="1"/>
    <w:next w:val="1"/>
    <w:link w:val="134"/>
    <w:autoRedefine/>
    <w:qFormat/>
    <w:uiPriority w:val="0"/>
    <w:pPr>
      <w:ind w:firstLine="200"/>
    </w:pPr>
    <w:rPr>
      <w:kern w:val="0"/>
      <w:szCs w:val="21"/>
    </w:rPr>
  </w:style>
  <w:style w:type="character" w:customStyle="1" w:styleId="136">
    <w:name w:val="环评正文2 Char"/>
    <w:link w:val="137"/>
    <w:autoRedefine/>
    <w:qFormat/>
    <w:uiPriority w:val="0"/>
    <w:rPr>
      <w:rFonts w:ascii="宋体" w:hAnsi="宋体" w:cs="宋体"/>
      <w:bCs/>
      <w:color w:val="000000"/>
      <w:kern w:val="2"/>
      <w:sz w:val="24"/>
      <w:szCs w:val="21"/>
    </w:rPr>
  </w:style>
  <w:style w:type="paragraph" w:customStyle="1" w:styleId="137">
    <w:name w:val="环评正文2"/>
    <w:basedOn w:val="1"/>
    <w:link w:val="136"/>
    <w:autoRedefine/>
    <w:qFormat/>
    <w:uiPriority w:val="0"/>
    <w:pPr>
      <w:tabs>
        <w:tab w:val="left" w:pos="720"/>
      </w:tabs>
      <w:ind w:firstLine="480"/>
    </w:pPr>
    <w:rPr>
      <w:rFonts w:ascii="宋体" w:hAnsi="宋体" w:cs="宋体"/>
      <w:bCs/>
      <w:color w:val="000000"/>
      <w:szCs w:val="21"/>
    </w:rPr>
  </w:style>
  <w:style w:type="paragraph" w:customStyle="1" w:styleId="138">
    <w:name w:val="ISO标题3内文"/>
    <w:autoRedefine/>
    <w:qFormat/>
    <w:uiPriority w:val="0"/>
    <w:pPr>
      <w:ind w:left="1620"/>
    </w:pPr>
    <w:rPr>
      <w:rFonts w:ascii="宋体" w:hAnsi="宋体" w:eastAsia="宋体" w:cs="Times New Roman"/>
      <w:color w:val="000000"/>
      <w:sz w:val="24"/>
      <w:szCs w:val="24"/>
      <w:lang w:val="en-US" w:eastAsia="zh-CN" w:bidi="ar-SA"/>
    </w:rPr>
  </w:style>
  <w:style w:type="paragraph" w:customStyle="1" w:styleId="139">
    <w:name w:val="样式 样式 宋体 小四 黑色 行距: 最小值 25 磅 + 首行缩进:  2 字符"/>
    <w:basedOn w:val="115"/>
    <w:autoRedefine/>
    <w:qFormat/>
    <w:uiPriority w:val="0"/>
    <w:pPr>
      <w:ind w:firstLine="506"/>
    </w:pPr>
  </w:style>
  <w:style w:type="paragraph" w:customStyle="1" w:styleId="140">
    <w:name w:val="0 正文"/>
    <w:basedOn w:val="141"/>
    <w:autoRedefine/>
    <w:qFormat/>
    <w:uiPriority w:val="0"/>
    <w:pPr>
      <w:spacing w:line="440" w:lineRule="exact"/>
      <w:ind w:firstLine="720"/>
    </w:pPr>
    <w:rPr>
      <w:sz w:val="24"/>
    </w:rPr>
  </w:style>
  <w:style w:type="paragraph" w:customStyle="1" w:styleId="141">
    <w:name w:val="报告正文"/>
    <w:basedOn w:val="1"/>
    <w:next w:val="1"/>
    <w:autoRedefine/>
    <w:qFormat/>
    <w:uiPriority w:val="0"/>
    <w:pPr>
      <w:ind w:firstLine="560"/>
    </w:pPr>
    <w:rPr>
      <w:rFonts w:eastAsia="Times New Roman"/>
      <w:sz w:val="28"/>
      <w:szCs w:val="28"/>
    </w:rPr>
  </w:style>
  <w:style w:type="paragraph" w:customStyle="1" w:styleId="142">
    <w:name w:val="Char Char Char Char"/>
    <w:basedOn w:val="1"/>
    <w:autoRedefine/>
    <w:qFormat/>
    <w:uiPriority w:val="0"/>
    <w:rPr>
      <w:szCs w:val="20"/>
    </w:rPr>
  </w:style>
  <w:style w:type="paragraph" w:customStyle="1" w:styleId="143">
    <w:name w:val="Char2 Char Char Char Char Char Char Char Char 字元 字元 Char Char Char"/>
    <w:basedOn w:val="1"/>
    <w:autoRedefine/>
    <w:qFormat/>
    <w:uiPriority w:val="0"/>
  </w:style>
  <w:style w:type="paragraph" w:customStyle="1" w:styleId="144">
    <w:name w:val="样式 样式 样式 样式 样式 小四 黑色 行距: 1.5 倍行距 + 宋体 + 首行缩进:  1.5 字符 + 首行缩进:  2..."/>
    <w:basedOn w:val="145"/>
    <w:autoRedefine/>
    <w:qFormat/>
    <w:uiPriority w:val="0"/>
    <w:pPr>
      <w:spacing w:line="500" w:lineRule="exact"/>
    </w:pPr>
  </w:style>
  <w:style w:type="paragraph" w:customStyle="1" w:styleId="145">
    <w:name w:val="样式 样式 样式 样式 小四 黑色 行距: 1.5 倍行距 + 宋体 + 首行缩进:  1.5 字符 + 首行缩进:  2 字符"/>
    <w:basedOn w:val="146"/>
    <w:autoRedefine/>
    <w:qFormat/>
    <w:uiPriority w:val="0"/>
    <w:pPr>
      <w:ind w:firstLine="480" w:firstLineChars="200"/>
    </w:pPr>
  </w:style>
  <w:style w:type="paragraph" w:customStyle="1" w:styleId="146">
    <w:name w:val="样式 样式 样式 小四 黑色 行距: 1.5 倍行距 + 宋体 + 首行缩进:  1.5 字符"/>
    <w:basedOn w:val="1"/>
    <w:autoRedefine/>
    <w:qFormat/>
    <w:uiPriority w:val="0"/>
    <w:pPr>
      <w:ind w:firstLine="378" w:firstLineChars="150"/>
    </w:pPr>
    <w:rPr>
      <w:rFonts w:ascii="宋体" w:hAnsi="宋体" w:cs="宋体"/>
      <w:color w:val="000000"/>
    </w:rPr>
  </w:style>
  <w:style w:type="paragraph" w:customStyle="1" w:styleId="147">
    <w:name w:val="0 一"/>
    <w:basedOn w:val="148"/>
    <w:autoRedefine/>
    <w:qFormat/>
    <w:uiPriority w:val="0"/>
    <w:pPr>
      <w:numPr>
        <w:ilvl w:val="0"/>
        <w:numId w:val="2"/>
      </w:numPr>
      <w:tabs>
        <w:tab w:val="left" w:pos="0"/>
        <w:tab w:val="clear" w:pos="570"/>
      </w:tabs>
      <w:spacing w:beforeLines="80" w:afterLines="20"/>
      <w:ind w:left="0" w:firstLine="562"/>
    </w:pPr>
    <w:rPr>
      <w:bCs w:val="0"/>
      <w:sz w:val="30"/>
    </w:rPr>
  </w:style>
  <w:style w:type="paragraph" w:customStyle="1" w:styleId="148">
    <w:name w:val="0 1.1"/>
    <w:basedOn w:val="149"/>
    <w:autoRedefine/>
    <w:qFormat/>
    <w:uiPriority w:val="0"/>
    <w:rPr>
      <w:b w:val="0"/>
      <w:kern w:val="0"/>
      <w:szCs w:val="20"/>
    </w:rPr>
  </w:style>
  <w:style w:type="paragraph" w:customStyle="1" w:styleId="149">
    <w:name w:val="1.1"/>
    <w:basedOn w:val="1"/>
    <w:autoRedefine/>
    <w:qFormat/>
    <w:uiPriority w:val="0"/>
    <w:pPr>
      <w:spacing w:before="31" w:after="31"/>
      <w:ind w:firstLine="562"/>
      <w:outlineLvl w:val="1"/>
    </w:pPr>
    <w:rPr>
      <w:rFonts w:eastAsia="黑体"/>
      <w:b/>
      <w:bCs/>
      <w:sz w:val="28"/>
      <w:szCs w:val="28"/>
    </w:rPr>
  </w:style>
  <w:style w:type="paragraph" w:customStyle="1" w:styleId="150">
    <w:name w:val="小标题"/>
    <w:basedOn w:val="1"/>
    <w:autoRedefine/>
    <w:qFormat/>
    <w:uiPriority w:val="0"/>
    <w:pPr>
      <w:adjustRightInd w:val="0"/>
      <w:snapToGrid w:val="0"/>
      <w:ind w:firstLine="480"/>
    </w:pPr>
    <w:rPr>
      <w:rFonts w:ascii="宋体" w:hAnsi="宋体" w:eastAsia="黑体" w:cs="宋体"/>
      <w:b/>
      <w:kern w:val="21"/>
    </w:rPr>
  </w:style>
  <w:style w:type="paragraph" w:customStyle="1" w:styleId="151">
    <w:name w:val="样式 样式 样式 样式 四号 行距: 固定值 32 磅 + 红色 + 自动设置 首行缩进:  2 字符 段前: 0.5 行 段后..."/>
    <w:basedOn w:val="1"/>
    <w:autoRedefine/>
    <w:qFormat/>
    <w:uiPriority w:val="0"/>
    <w:pPr>
      <w:ind w:firstLine="200"/>
    </w:pPr>
    <w:rPr>
      <w:rFonts w:cs="宋体"/>
      <w:szCs w:val="20"/>
      <w:lang w:eastAsia="ja-JP"/>
    </w:rPr>
  </w:style>
  <w:style w:type="paragraph" w:customStyle="1" w:styleId="152">
    <w:name w:val="表格样式"/>
    <w:basedOn w:val="1"/>
    <w:autoRedefine/>
    <w:qFormat/>
    <w:uiPriority w:val="0"/>
    <w:rPr>
      <w:rFonts w:ascii="黑体" w:eastAsia="黑体" w:cs="宋体"/>
      <w:szCs w:val="20"/>
    </w:rPr>
  </w:style>
  <w:style w:type="paragraph" w:customStyle="1" w:styleId="153">
    <w:name w:val="Table Paragraph"/>
    <w:basedOn w:val="1"/>
    <w:autoRedefine/>
    <w:qFormat/>
    <w:uiPriority w:val="1"/>
    <w:rPr>
      <w:rFonts w:ascii="宋体" w:hAnsi="宋体" w:cs="宋体"/>
      <w:lang w:val="zh-CN" w:bidi="zh-CN"/>
    </w:rPr>
  </w:style>
  <w:style w:type="paragraph" w:customStyle="1" w:styleId="154">
    <w:name w:val="小四表文左齐"/>
    <w:basedOn w:val="1"/>
    <w:autoRedefine/>
    <w:qFormat/>
    <w:uiPriority w:val="0"/>
    <w:pPr>
      <w:spacing w:line="400" w:lineRule="exact"/>
      <w:jc w:val="center"/>
    </w:pPr>
    <w:rPr>
      <w:rFonts w:ascii="楷体_GB2312" w:hAnsi="宋体" w:eastAsia="楷体_GB2312"/>
      <w:szCs w:val="21"/>
    </w:rPr>
  </w:style>
  <w:style w:type="paragraph" w:customStyle="1" w:styleId="155">
    <w:name w:val="样式 样式 样式 样式 样式 四号 行距: 固定值 32 磅 + 红色 + 自动设置 首行缩进:  2 字符 段前: 0.5 行..."/>
    <w:basedOn w:val="151"/>
    <w:autoRedefine/>
    <w:qFormat/>
    <w:uiPriority w:val="0"/>
  </w:style>
  <w:style w:type="paragraph" w:customStyle="1" w:styleId="156">
    <w:name w:val="表格表头"/>
    <w:basedOn w:val="1"/>
    <w:autoRedefine/>
    <w:qFormat/>
    <w:uiPriority w:val="0"/>
    <w:pPr>
      <w:spacing w:beforeLines="50"/>
      <w:jc w:val="center"/>
    </w:pPr>
    <w:rPr>
      <w:b/>
      <w:szCs w:val="22"/>
    </w:rPr>
  </w:style>
  <w:style w:type="paragraph" w:customStyle="1" w:styleId="157">
    <w:name w:val="正文样式1"/>
    <w:basedOn w:val="1"/>
    <w:autoRedefine/>
    <w:qFormat/>
    <w:uiPriority w:val="0"/>
    <w:pPr>
      <w:adjustRightInd w:val="0"/>
      <w:ind w:firstLine="510"/>
      <w:textAlignment w:val="baseline"/>
    </w:pPr>
    <w:rPr>
      <w:spacing w:val="8"/>
      <w:kern w:val="0"/>
      <w:szCs w:val="20"/>
    </w:rPr>
  </w:style>
  <w:style w:type="paragraph" w:customStyle="1" w:styleId="158">
    <w:name w:val="正文文本缩进1"/>
    <w:basedOn w:val="1"/>
    <w:autoRedefine/>
    <w:qFormat/>
    <w:uiPriority w:val="0"/>
    <w:pPr>
      <w:ind w:firstLine="570"/>
    </w:pPr>
    <w:rPr>
      <w:rFonts w:ascii="Calibri" w:hAnsi="Calibri" w:cs="黑体"/>
      <w:sz w:val="32"/>
    </w:rPr>
  </w:style>
  <w:style w:type="paragraph" w:customStyle="1" w:styleId="159">
    <w:name w:val="修订1"/>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60">
    <w:name w:val="样式2"/>
    <w:basedOn w:val="1"/>
    <w:autoRedefine/>
    <w:qFormat/>
    <w:uiPriority w:val="0"/>
    <w:pPr>
      <w:tabs>
        <w:tab w:val="left" w:pos="567"/>
      </w:tabs>
      <w:adjustRightInd w:val="0"/>
      <w:snapToGrid w:val="0"/>
      <w:ind w:firstLine="482"/>
      <w:textAlignment w:val="baseline"/>
    </w:pPr>
    <w:rPr>
      <w:b/>
      <w:bCs/>
      <w:snapToGrid w:val="0"/>
      <w:color w:val="000000"/>
      <w:kern w:val="0"/>
    </w:rPr>
  </w:style>
  <w:style w:type="paragraph" w:customStyle="1" w:styleId="161">
    <w:name w:val="简单回函地址"/>
    <w:basedOn w:val="1"/>
    <w:autoRedefine/>
    <w:qFormat/>
    <w:uiPriority w:val="0"/>
    <w:rPr>
      <w:rFonts w:ascii="宋体" w:hAnsi="宋体"/>
      <w:szCs w:val="32"/>
    </w:rPr>
  </w:style>
  <w:style w:type="paragraph" w:customStyle="1" w:styleId="162">
    <w:name w:val="表格B"/>
    <w:basedOn w:val="163"/>
    <w:autoRedefine/>
    <w:qFormat/>
    <w:uiPriority w:val="0"/>
    <w:pPr>
      <w:spacing w:line="240" w:lineRule="auto"/>
      <w:jc w:val="center"/>
    </w:pPr>
  </w:style>
  <w:style w:type="paragraph" w:customStyle="1" w:styleId="163">
    <w:name w:val="样式1"/>
    <w:basedOn w:val="29"/>
    <w:next w:val="20"/>
    <w:autoRedefine/>
    <w:qFormat/>
    <w:uiPriority w:val="0"/>
  </w:style>
  <w:style w:type="paragraph" w:customStyle="1" w:styleId="164">
    <w:name w:val="样式 正文B + 黑色"/>
    <w:basedOn w:val="165"/>
    <w:autoRedefine/>
    <w:qFormat/>
    <w:uiPriority w:val="0"/>
    <w:rPr>
      <w:color w:val="000000"/>
    </w:rPr>
  </w:style>
  <w:style w:type="paragraph" w:customStyle="1" w:styleId="165">
    <w:name w:val="正文B"/>
    <w:basedOn w:val="163"/>
    <w:autoRedefine/>
    <w:qFormat/>
    <w:uiPriority w:val="0"/>
    <w:pPr>
      <w:ind w:firstLine="200"/>
    </w:pPr>
    <w:rPr>
      <w:rFonts w:ascii="宋体" w:hAnsi="宋体" w:cs="宋体"/>
      <w:szCs w:val="20"/>
    </w:rPr>
  </w:style>
  <w:style w:type="paragraph" w:customStyle="1" w:styleId="166">
    <w:name w:val="小四宋居中1.0"/>
    <w:basedOn w:val="1"/>
    <w:next w:val="1"/>
    <w:autoRedefine/>
    <w:qFormat/>
    <w:uiPriority w:val="0"/>
    <w:pPr>
      <w:spacing w:line="230" w:lineRule="exact"/>
      <w:jc w:val="center"/>
    </w:pPr>
    <w:rPr>
      <w:rFonts w:ascii="仿宋_GB2312" w:hAnsi="Arial" w:eastAsia="仿宋_GB2312" w:cs="Arial"/>
      <w:szCs w:val="21"/>
    </w:rPr>
  </w:style>
  <w:style w:type="paragraph" w:customStyle="1" w:styleId="167">
    <w:name w:val="p0"/>
    <w:basedOn w:val="1"/>
    <w:qFormat/>
    <w:uiPriority w:val="0"/>
    <w:pPr>
      <w:widowControl/>
    </w:pPr>
    <w:rPr>
      <w:kern w:val="0"/>
      <w:szCs w:val="21"/>
    </w:rPr>
  </w:style>
  <w:style w:type="paragraph" w:customStyle="1" w:styleId="168">
    <w:name w:val="注释"/>
    <w:basedOn w:val="1"/>
    <w:autoRedefine/>
    <w:qFormat/>
    <w:uiPriority w:val="0"/>
    <w:pPr>
      <w:adjustRightInd w:val="0"/>
      <w:snapToGrid w:val="0"/>
      <w:textAlignment w:val="baseline"/>
    </w:pPr>
    <w:rPr>
      <w:rFonts w:ascii="宋体"/>
      <w:snapToGrid w:val="0"/>
      <w:spacing w:val="4"/>
      <w:kern w:val="0"/>
    </w:rPr>
  </w:style>
  <w:style w:type="paragraph" w:customStyle="1" w:styleId="169">
    <w:name w:val="样式 首行缩进:  2 字符"/>
    <w:basedOn w:val="1"/>
    <w:autoRedefine/>
    <w:qFormat/>
    <w:uiPriority w:val="0"/>
    <w:pPr>
      <w:tabs>
        <w:tab w:val="left" w:pos="0"/>
      </w:tabs>
      <w:spacing w:line="560" w:lineRule="exact"/>
      <w:ind w:firstLine="560"/>
    </w:pPr>
    <w:rPr>
      <w:rFonts w:hAnsi="宋体" w:eastAsia="仿宋_GB2312"/>
      <w:spacing w:val="12"/>
      <w:sz w:val="28"/>
      <w:szCs w:val="20"/>
    </w:rPr>
  </w:style>
  <w:style w:type="paragraph" w:customStyle="1" w:styleId="170">
    <w:name w:val="Char Char Char Char Char Char Char Char Char Char Char Char Char Char Char Char"/>
    <w:basedOn w:val="1"/>
    <w:autoRedefine/>
    <w:qFormat/>
    <w:uiPriority w:val="0"/>
  </w:style>
  <w:style w:type="paragraph" w:customStyle="1" w:styleId="171">
    <w:name w:val="样式 宋体 小四 左 行距: 固定值 25 磅"/>
    <w:basedOn w:val="1"/>
    <w:autoRedefine/>
    <w:qFormat/>
    <w:uiPriority w:val="0"/>
    <w:pPr>
      <w:spacing w:line="500" w:lineRule="exact"/>
      <w:ind w:firstLine="520"/>
      <w:jc w:val="left"/>
    </w:pPr>
    <w:rPr>
      <w:rFonts w:ascii="宋体" w:hAnsi="宋体" w:cs="宋体"/>
      <w:spacing w:val="10"/>
      <w:szCs w:val="20"/>
    </w:rPr>
  </w:style>
  <w:style w:type="paragraph" w:customStyle="1" w:styleId="172">
    <w:name w:val="题注1"/>
    <w:basedOn w:val="1"/>
    <w:next w:val="21"/>
    <w:autoRedefine/>
    <w:qFormat/>
    <w:uiPriority w:val="0"/>
    <w:pPr>
      <w:spacing w:before="120" w:line="440" w:lineRule="exact"/>
      <w:jc w:val="center"/>
    </w:pPr>
    <w:rPr>
      <w:rFonts w:ascii="仿宋_GB2312" w:hAnsi="Courier New" w:eastAsia="仿宋_GB2312"/>
      <w:b/>
      <w:bCs/>
      <w:szCs w:val="20"/>
    </w:rPr>
  </w:style>
  <w:style w:type="paragraph" w:customStyle="1" w:styleId="173">
    <w:name w:val="样式 样式 样式 样式 首行缩进:  0.85 厘米 段前: 0.5 行 段后: 0.5 行 + 首行缩进:  2 字符 + 左..."/>
    <w:basedOn w:val="17"/>
    <w:autoRedefine/>
    <w:qFormat/>
    <w:uiPriority w:val="0"/>
    <w:pPr>
      <w:widowControl w:val="0"/>
      <w:snapToGrid/>
      <w:spacing w:line="360" w:lineRule="auto"/>
      <w:ind w:firstLine="200" w:firstLineChars="200"/>
    </w:pPr>
    <w:rPr>
      <w:kern w:val="2"/>
      <w:szCs w:val="24"/>
    </w:rPr>
  </w:style>
  <w:style w:type="paragraph" w:customStyle="1" w:styleId="174">
    <w:name w:val="Char Char Char1 Char Char Char Char Char Char Char Char Char Char"/>
    <w:basedOn w:val="1"/>
    <w:autoRedefine/>
    <w:qFormat/>
    <w:uiPriority w:val="0"/>
    <w:rPr>
      <w:szCs w:val="21"/>
    </w:rPr>
  </w:style>
  <w:style w:type="paragraph" w:customStyle="1" w:styleId="175">
    <w:name w:val="样式 正文B + 首行缩进:  2 字符"/>
    <w:basedOn w:val="165"/>
    <w:autoRedefine/>
    <w:qFormat/>
    <w:uiPriority w:val="0"/>
    <w:pPr>
      <w:ind w:firstLine="480"/>
    </w:pPr>
  </w:style>
  <w:style w:type="paragraph" w:customStyle="1" w:styleId="176">
    <w:name w:val="Char"/>
    <w:basedOn w:val="1"/>
    <w:autoRedefine/>
    <w:qFormat/>
    <w:uiPriority w:val="0"/>
    <w:pPr>
      <w:ind w:firstLine="200"/>
    </w:pPr>
    <w:rPr>
      <w:rFonts w:ascii="宋体" w:hAnsi="宋体" w:cs="宋体"/>
    </w:rPr>
  </w:style>
  <w:style w:type="paragraph" w:customStyle="1" w:styleId="177">
    <w:name w:val="样式 小四 黑色 行距: 固定值 25 磅1"/>
    <w:basedOn w:val="1"/>
    <w:qFormat/>
    <w:uiPriority w:val="0"/>
    <w:pPr>
      <w:spacing w:line="500" w:lineRule="exact"/>
      <w:ind w:firstLine="480"/>
    </w:pPr>
    <w:rPr>
      <w:rFonts w:cs="宋体"/>
      <w:color w:val="000000"/>
      <w:szCs w:val="20"/>
    </w:rPr>
  </w:style>
  <w:style w:type="paragraph" w:customStyle="1" w:styleId="178">
    <w:name w:val="文本框"/>
    <w:basedOn w:val="1"/>
    <w:next w:val="1"/>
    <w:qFormat/>
    <w:uiPriority w:val="0"/>
    <w:pPr>
      <w:tabs>
        <w:tab w:val="left" w:pos="0"/>
      </w:tabs>
      <w:spacing w:line="300" w:lineRule="exact"/>
      <w:jc w:val="center"/>
    </w:pPr>
    <w:rPr>
      <w:rFonts w:hAnsi="宋体" w:eastAsia="仿宋_GB2312"/>
      <w:szCs w:val="28"/>
    </w:rPr>
  </w:style>
  <w:style w:type="paragraph" w:customStyle="1" w:styleId="179">
    <w:name w:val="Char Char Char Char Char Char Char"/>
    <w:basedOn w:val="1"/>
    <w:autoRedefine/>
    <w:qFormat/>
    <w:uiPriority w:val="0"/>
  </w:style>
  <w:style w:type="paragraph" w:customStyle="1" w:styleId="1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rPr>
  </w:style>
  <w:style w:type="paragraph" w:customStyle="1" w:styleId="181">
    <w:name w:val="正文a"/>
    <w:basedOn w:val="1"/>
    <w:autoRedefine/>
    <w:qFormat/>
    <w:uiPriority w:val="99"/>
    <w:pPr>
      <w:spacing w:line="460" w:lineRule="exact"/>
    </w:pPr>
  </w:style>
  <w:style w:type="paragraph" w:customStyle="1" w:styleId="182">
    <w:name w:val="样式13"/>
    <w:basedOn w:val="1"/>
    <w:autoRedefine/>
    <w:qFormat/>
    <w:uiPriority w:val="0"/>
    <w:pPr>
      <w:ind w:firstLine="480"/>
    </w:pPr>
    <w:rPr>
      <w:rFonts w:ascii="宋体" w:hAnsi="宋体" w:cs="宋体"/>
      <w:color w:val="000000"/>
      <w:szCs w:val="20"/>
    </w:rPr>
  </w:style>
  <w:style w:type="paragraph" w:customStyle="1" w:styleId="183">
    <w:name w:val="表格内容"/>
    <w:autoRedefine/>
    <w:qFormat/>
    <w:uiPriority w:val="0"/>
    <w:pPr>
      <w:jc w:val="center"/>
    </w:pPr>
    <w:rPr>
      <w:rFonts w:ascii="Times New Roman" w:hAnsi="Times New Roman" w:eastAsia="宋体" w:cs="Times New Roman"/>
      <w:kern w:val="2"/>
      <w:sz w:val="21"/>
      <w:szCs w:val="22"/>
      <w:lang w:val="en-US" w:eastAsia="zh-CN" w:bidi="ar-SA"/>
    </w:rPr>
  </w:style>
  <w:style w:type="paragraph" w:customStyle="1" w:styleId="184">
    <w:name w:val="样式 小四 黑色 行距: 固定值 25 磅"/>
    <w:basedOn w:val="1"/>
    <w:qFormat/>
    <w:uiPriority w:val="0"/>
    <w:pPr>
      <w:spacing w:line="500" w:lineRule="exact"/>
      <w:ind w:firstLine="480"/>
    </w:pPr>
    <w:rPr>
      <w:rFonts w:cs="宋体"/>
      <w:color w:val="000000"/>
      <w:szCs w:val="20"/>
    </w:rPr>
  </w:style>
  <w:style w:type="paragraph" w:customStyle="1" w:styleId="185">
    <w:name w:val="报告书正文"/>
    <w:basedOn w:val="1"/>
    <w:autoRedefine/>
    <w:qFormat/>
    <w:uiPriority w:val="0"/>
    <w:pPr>
      <w:spacing w:line="300" w:lineRule="auto"/>
      <w:ind w:firstLine="480"/>
    </w:pPr>
    <w:rPr>
      <w:rFonts w:ascii="宋体" w:hAnsi="宋体"/>
    </w:rPr>
  </w:style>
  <w:style w:type="paragraph" w:customStyle="1" w:styleId="186">
    <w:name w:val="报告样式4"/>
    <w:basedOn w:val="3"/>
    <w:autoRedefine/>
    <w:qFormat/>
    <w:uiPriority w:val="0"/>
    <w:pPr>
      <w:ind w:firstLine="480"/>
    </w:pPr>
    <w:rPr>
      <w:bCs/>
      <w:szCs w:val="22"/>
    </w:rPr>
  </w:style>
  <w:style w:type="paragraph" w:customStyle="1" w:styleId="187">
    <w:name w:val="图表标题"/>
    <w:basedOn w:val="1"/>
    <w:next w:val="1"/>
    <w:autoRedefine/>
    <w:qFormat/>
    <w:uiPriority w:val="0"/>
    <w:pPr>
      <w:jc w:val="center"/>
      <w:outlineLvl w:val="4"/>
    </w:pPr>
    <w:rPr>
      <w:b/>
    </w:rPr>
  </w:style>
  <w:style w:type="paragraph" w:customStyle="1" w:styleId="188">
    <w:name w:val="样式 样式 样式 样式 小四 左 首行缩进:  2 字符 + 首行缩进:  2 字符 Char + 右  0 字符1 + 首行缩...3"/>
    <w:basedOn w:val="1"/>
    <w:qFormat/>
    <w:uiPriority w:val="99"/>
    <w:pPr>
      <w:adjustRightInd w:val="0"/>
      <w:ind w:firstLine="480"/>
      <w:jc w:val="left"/>
      <w:textAlignment w:val="baseline"/>
    </w:pPr>
    <w:rPr>
      <w:rFonts w:cs="宋体"/>
      <w:szCs w:val="20"/>
    </w:rPr>
  </w:style>
  <w:style w:type="paragraph" w:customStyle="1" w:styleId="189">
    <w:name w:val="表格居中"/>
    <w:basedOn w:val="1"/>
    <w:qFormat/>
    <w:uiPriority w:val="0"/>
    <w:pPr>
      <w:spacing w:line="0" w:lineRule="atLeast"/>
      <w:jc w:val="center"/>
    </w:pPr>
    <w:rPr>
      <w:rFonts w:ascii="等线" w:hAnsi="等线" w:cs="Arial"/>
      <w:szCs w:val="21"/>
    </w:rPr>
  </w:style>
  <w:style w:type="character" w:customStyle="1" w:styleId="190">
    <w:name w:val="正文首行缩进 Char"/>
    <w:basedOn w:val="80"/>
    <w:link w:val="40"/>
    <w:autoRedefine/>
    <w:qFormat/>
    <w:uiPriority w:val="99"/>
    <w:rPr>
      <w:rFonts w:ascii="楷体_GB2312" w:eastAsia="楷体_GB2312"/>
      <w:color w:val="000000"/>
      <w:sz w:val="24"/>
      <w:szCs w:val="21"/>
    </w:rPr>
  </w:style>
  <w:style w:type="character" w:customStyle="1" w:styleId="191">
    <w:name w:val="4博创表格标题 Char"/>
    <w:link w:val="192"/>
    <w:autoRedefine/>
    <w:qFormat/>
    <w:uiPriority w:val="0"/>
    <w:rPr>
      <w:rFonts w:ascii="Times New Roman" w:hAnsi="Times New Roman"/>
      <w:b/>
      <w:kern w:val="0"/>
      <w:sz w:val="20"/>
      <w:szCs w:val="20"/>
    </w:rPr>
  </w:style>
  <w:style w:type="paragraph" w:customStyle="1" w:styleId="192">
    <w:name w:val="4表格标题"/>
    <w:basedOn w:val="1"/>
    <w:link w:val="191"/>
    <w:unhideWhenUsed/>
    <w:qFormat/>
    <w:uiPriority w:val="0"/>
    <w:pPr>
      <w:spacing w:line="240" w:lineRule="auto"/>
      <w:ind w:firstLine="0" w:firstLineChars="0"/>
      <w:jc w:val="center"/>
    </w:pPr>
    <w:rPr>
      <w:b/>
      <w:kern w:val="0"/>
      <w:sz w:val="20"/>
      <w:szCs w:val="20"/>
    </w:rPr>
  </w:style>
  <w:style w:type="paragraph" w:customStyle="1" w:styleId="193">
    <w:name w:val="5表格"/>
    <w:basedOn w:val="1"/>
    <w:unhideWhenUsed/>
    <w:qFormat/>
    <w:uiPriority w:val="0"/>
    <w:pPr>
      <w:spacing w:line="240" w:lineRule="auto"/>
      <w:ind w:firstLine="0" w:firstLineChars="0"/>
      <w:jc w:val="center"/>
    </w:pPr>
  </w:style>
  <w:style w:type="table" w:customStyle="1" w:styleId="194">
    <w:name w:val="Table Normal"/>
    <w:semiHidden/>
    <w:unhideWhenUsed/>
    <w:qFormat/>
    <w:uiPriority w:val="0"/>
    <w:tblPr>
      <w:tblCellMar>
        <w:top w:w="0" w:type="dxa"/>
        <w:left w:w="0" w:type="dxa"/>
        <w:bottom w:w="0" w:type="dxa"/>
        <w:right w:w="0" w:type="dxa"/>
      </w:tblCellMar>
    </w:tblPr>
  </w:style>
  <w:style w:type="paragraph" w:customStyle="1" w:styleId="195">
    <w:name w:val="表 头"/>
    <w:basedOn w:val="1"/>
    <w:autoRedefine/>
    <w:qFormat/>
    <w:uiPriority w:val="0"/>
    <w:pPr>
      <w:ind w:firstLine="0" w:firstLineChars="0"/>
      <w:jc w:val="center"/>
    </w:pPr>
    <w:rPr>
      <w:rFonts w:ascii="宋体" w:hAnsi="Calibri"/>
      <w:b/>
      <w:bCs/>
      <w:kern w:val="24"/>
    </w:rPr>
  </w:style>
  <w:style w:type="paragraph" w:customStyle="1" w:styleId="196">
    <w:name w:val="新正文"/>
    <w:basedOn w:val="1"/>
    <w:autoRedefine/>
    <w:qFormat/>
    <w:uiPriority w:val="0"/>
    <w:pPr>
      <w:spacing w:before="30" w:beforeLines="30" w:after="20" w:afterLines="20"/>
      <w:ind w:firstLine="200"/>
    </w:pPr>
  </w:style>
  <w:style w:type="paragraph" w:customStyle="1" w:styleId="197">
    <w:name w:val="3正文"/>
    <w:basedOn w:val="1"/>
    <w:unhideWhenUsed/>
    <w:qFormat/>
    <w:uiPriority w:val="0"/>
    <w:rPr>
      <w:kern w:val="0"/>
      <w:sz w:val="20"/>
      <w:szCs w:val="20"/>
    </w:rPr>
  </w:style>
  <w:style w:type="paragraph" w:customStyle="1" w:styleId="198">
    <w:name w:val="正文2"/>
    <w:autoRedefine/>
    <w:qFormat/>
    <w:uiPriority w:val="0"/>
    <w:pPr>
      <w:jc w:val="both"/>
    </w:pPr>
    <w:rPr>
      <w:rFonts w:ascii="MingLiU" w:hAnsi="MingLiU" w:eastAsia="宋体" w:cs="宋体"/>
      <w:kern w:val="2"/>
      <w:sz w:val="21"/>
      <w:szCs w:val="21"/>
      <w:lang w:val="en-US" w:eastAsia="zh-CN" w:bidi="ar-SA"/>
    </w:rPr>
  </w:style>
  <w:style w:type="paragraph" w:customStyle="1" w:styleId="199">
    <w:name w:val="新格式表内文字"/>
    <w:basedOn w:val="1"/>
    <w:qFormat/>
    <w:uiPriority w:val="0"/>
    <w:pPr>
      <w:jc w:val="left"/>
    </w:pPr>
    <w:rPr>
      <w:kern w:val="0"/>
      <w:szCs w:val="20"/>
    </w:rPr>
  </w:style>
  <w:style w:type="paragraph" w:customStyle="1" w:styleId="200">
    <w:name w:val="1正文"/>
    <w:basedOn w:val="1"/>
    <w:qFormat/>
    <w:uiPriority w:val="0"/>
    <w:rPr>
      <w:kern w:val="0"/>
      <w:sz w:val="20"/>
      <w:szCs w:val="20"/>
    </w:rPr>
  </w:style>
  <w:style w:type="paragraph" w:customStyle="1" w:styleId="201">
    <w:name w:val="正文 首行缩进:  2 字符"/>
    <w:basedOn w:val="1"/>
    <w:qFormat/>
    <w:uiPriority w:val="0"/>
    <w:pPr>
      <w:adjustRightInd w:val="0"/>
      <w:snapToGrid w:val="0"/>
      <w:spacing w:line="500" w:lineRule="exact"/>
      <w:ind w:firstLine="200"/>
      <w:jc w:val="left"/>
    </w:pPr>
    <w:rPr>
      <w:rFonts w:ascii="宋体" w:hAnsi="宋体"/>
      <w:szCs w:val="20"/>
    </w:rPr>
  </w:style>
  <w:style w:type="paragraph" w:customStyle="1" w:styleId="202">
    <w:name w:val="列出段落1"/>
    <w:basedOn w:val="1"/>
    <w:qFormat/>
    <w:uiPriority w:val="1"/>
    <w:pPr>
      <w:ind w:firstLine="420"/>
    </w:pPr>
    <w:rPr>
      <w:szCs w:val="22"/>
    </w:rPr>
  </w:style>
  <w:style w:type="paragraph" w:customStyle="1" w:styleId="203">
    <w:name w:val="_Style 2"/>
    <w:basedOn w:val="1"/>
    <w:next w:val="1"/>
    <w:qFormat/>
    <w:uiPriority w:val="1"/>
    <w:pPr>
      <w:jc w:val="center"/>
    </w:pPr>
    <w:rPr>
      <w:rFonts w:ascii="Calibri" w:hAnsi="Calibri"/>
      <w:sz w:val="22"/>
      <w:szCs w:val="22"/>
    </w:rPr>
  </w:style>
  <w:style w:type="paragraph" w:customStyle="1" w:styleId="204">
    <w:name w:val="Body text|1"/>
    <w:basedOn w:val="1"/>
    <w:autoRedefine/>
    <w:qFormat/>
    <w:uiPriority w:val="0"/>
    <w:pPr>
      <w:spacing w:after="160" w:line="432" w:lineRule="auto"/>
      <w:ind w:firstLine="40"/>
    </w:pPr>
    <w:rPr>
      <w:rFonts w:ascii="宋体" w:hAnsi="宋体" w:cs="宋体"/>
      <w:sz w:val="20"/>
      <w:szCs w:val="20"/>
      <w:lang w:val="zh-TW" w:eastAsia="zh-TW" w:bidi="zh-TW"/>
    </w:rPr>
  </w:style>
  <w:style w:type="paragraph" w:customStyle="1" w:styleId="205">
    <w:name w:val="Other|1"/>
    <w:basedOn w:val="1"/>
    <w:qFormat/>
    <w:uiPriority w:val="0"/>
    <w:pPr>
      <w:spacing w:line="272" w:lineRule="exact"/>
    </w:pPr>
    <w:rPr>
      <w:rFonts w:ascii="宋体" w:hAnsi="宋体" w:cs="宋体"/>
      <w:sz w:val="20"/>
      <w:szCs w:val="20"/>
      <w:lang w:val="zh-TW" w:eastAsia="zh-TW" w:bidi="zh-TW"/>
    </w:rPr>
  </w:style>
  <w:style w:type="paragraph" w:customStyle="1" w:styleId="206">
    <w:name w:val="Table caption|1"/>
    <w:basedOn w:val="1"/>
    <w:autoRedefine/>
    <w:qFormat/>
    <w:uiPriority w:val="0"/>
    <w:pPr>
      <w:spacing w:line="409" w:lineRule="exact"/>
    </w:pPr>
    <w:rPr>
      <w:rFonts w:ascii="宋体" w:hAnsi="宋体" w:cs="宋体"/>
      <w:b/>
      <w:bCs/>
      <w:sz w:val="20"/>
      <w:szCs w:val="20"/>
      <w:lang w:val="zh-TW" w:eastAsia="zh-TW" w:bidi="zh-TW"/>
    </w:rPr>
  </w:style>
  <w:style w:type="paragraph" w:customStyle="1" w:styleId="207">
    <w:name w:val="Body text|2"/>
    <w:basedOn w:val="1"/>
    <w:autoRedefine/>
    <w:qFormat/>
    <w:uiPriority w:val="0"/>
    <w:pPr>
      <w:ind w:firstLine="180"/>
    </w:pPr>
    <w:rPr>
      <w:sz w:val="20"/>
      <w:szCs w:val="20"/>
    </w:rPr>
  </w:style>
  <w:style w:type="paragraph" w:customStyle="1" w:styleId="208">
    <w:name w:val="Body text|5"/>
    <w:basedOn w:val="1"/>
    <w:autoRedefine/>
    <w:qFormat/>
    <w:uiPriority w:val="0"/>
    <w:pPr>
      <w:spacing w:after="140"/>
    </w:pPr>
    <w:rPr>
      <w:rFonts w:ascii="宋体" w:hAnsi="宋体" w:cs="宋体"/>
      <w:sz w:val="34"/>
      <w:szCs w:val="34"/>
      <w:u w:val="single"/>
      <w:lang w:val="zh-TW" w:eastAsia="zh-TW" w:bidi="zh-TW"/>
    </w:rPr>
  </w:style>
  <w:style w:type="character" w:customStyle="1" w:styleId="209">
    <w:name w:val="环评正文 Char"/>
    <w:link w:val="54"/>
    <w:autoRedefine/>
    <w:qFormat/>
    <w:uiPriority w:val="0"/>
    <w:rPr>
      <w:rFonts w:cs="宋体"/>
      <w:color w:val="000000"/>
      <w:sz w:val="24"/>
      <w:szCs w:val="28"/>
    </w:rPr>
  </w:style>
  <w:style w:type="paragraph" w:customStyle="1" w:styleId="210">
    <w:name w:val="_Style 4"/>
    <w:next w:val="1"/>
    <w:autoRedefine/>
    <w:qFormat/>
    <w:uiPriority w:val="1"/>
    <w:pPr>
      <w:widowControl w:val="0"/>
      <w:jc w:val="both"/>
    </w:pPr>
    <w:rPr>
      <w:rFonts w:ascii="Calibri" w:hAnsi="Calibri" w:eastAsia="仿宋_GB2312" w:cs="Times New Roman"/>
      <w:kern w:val="2"/>
      <w:sz w:val="24"/>
      <w:szCs w:val="22"/>
      <w:lang w:val="en-US" w:eastAsia="zh-CN" w:bidi="ar-SA"/>
    </w:rPr>
  </w:style>
  <w:style w:type="paragraph" w:customStyle="1" w:styleId="211">
    <w:name w:val="标题表格"/>
    <w:basedOn w:val="1"/>
    <w:autoRedefine/>
    <w:qFormat/>
    <w:uiPriority w:val="0"/>
    <w:pPr>
      <w:jc w:val="center"/>
    </w:pPr>
    <w:rPr>
      <w:b/>
      <w:sz w:val="21"/>
    </w:rPr>
  </w:style>
  <w:style w:type="paragraph" w:customStyle="1" w:styleId="212">
    <w:name w:val="表格内文字"/>
    <w:basedOn w:val="1"/>
    <w:qFormat/>
    <w:uiPriority w:val="0"/>
    <w:pPr>
      <w:jc w:val="center"/>
    </w:pPr>
    <w:rPr>
      <w:sz w:val="21"/>
    </w:rPr>
  </w:style>
  <w:style w:type="paragraph" w:customStyle="1" w:styleId="213">
    <w:name w:val="环评小小标题"/>
    <w:basedOn w:val="1"/>
    <w:qFormat/>
    <w:uiPriority w:val="0"/>
    <w:rPr>
      <w:rFonts w:ascii="Calibri" w:hAnsi="Calibri"/>
      <w:b/>
    </w:rPr>
  </w:style>
  <w:style w:type="paragraph" w:customStyle="1" w:styleId="214">
    <w:name w:val="小小标题"/>
    <w:basedOn w:val="1"/>
    <w:autoRedefine/>
    <w:qFormat/>
    <w:uiPriority w:val="0"/>
    <w:rPr>
      <w:b/>
    </w:rPr>
  </w:style>
  <w:style w:type="paragraph" w:customStyle="1" w:styleId="215">
    <w:name w:val="6表内文字 居中"/>
    <w:basedOn w:val="1"/>
    <w:autoRedefine/>
    <w:qFormat/>
    <w:uiPriority w:val="0"/>
    <w:pPr>
      <w:adjustRightInd w:val="0"/>
      <w:jc w:val="center"/>
      <w:textAlignment w:val="baseline"/>
    </w:pPr>
    <w:rPr>
      <w:sz w:val="21"/>
      <w:szCs w:val="21"/>
    </w:rPr>
  </w:style>
  <w:style w:type="paragraph" w:customStyle="1" w:styleId="216">
    <w:name w:val="标题 21"/>
    <w:basedOn w:val="65"/>
    <w:next w:val="3"/>
    <w:autoRedefine/>
    <w:qFormat/>
    <w:uiPriority w:val="0"/>
    <w:pPr>
      <w:keepNext/>
      <w:keepLines/>
      <w:tabs>
        <w:tab w:val="left" w:pos="5295"/>
      </w:tabs>
      <w:spacing w:before="468" w:after="468"/>
      <w:ind w:firstLine="567" w:firstLineChars="157"/>
      <w:outlineLvl w:val="1"/>
    </w:pPr>
    <w:rPr>
      <w:rFonts w:hAnsi="宋体"/>
      <w:b/>
      <w:color w:val="000000"/>
      <w:sz w:val="36"/>
    </w:rPr>
  </w:style>
  <w:style w:type="paragraph" w:customStyle="1" w:styleId="217">
    <w:name w:val="表格标题"/>
    <w:basedOn w:val="51"/>
    <w:qFormat/>
    <w:uiPriority w:val="0"/>
    <w:pPr>
      <w:snapToGrid w:val="0"/>
      <w:spacing w:line="240" w:lineRule="auto"/>
      <w:ind w:firstLine="0" w:firstLineChars="0"/>
      <w:jc w:val="center"/>
    </w:pPr>
    <w:rPr>
      <w:rFonts w:hint="eastAsia" w:ascii="宋体" w:hAnsi="宋体" w:cs="宋体"/>
      <w:bCs/>
      <w:sz w:val="21"/>
      <w:szCs w:val="21"/>
    </w:rPr>
  </w:style>
  <w:style w:type="paragraph" w:customStyle="1" w:styleId="218">
    <w:name w:val="5"/>
    <w:basedOn w:val="1"/>
    <w:qFormat/>
    <w:uiPriority w:val="0"/>
    <w:pPr>
      <w:adjustRightInd w:val="0"/>
      <w:snapToGrid w:val="0"/>
      <w:spacing w:before="93" w:beforeLines="30" w:after="93" w:afterLines="30" w:line="300" w:lineRule="auto"/>
    </w:pPr>
    <w:rPr>
      <w:rFonts w:cs="宋体"/>
    </w:rPr>
  </w:style>
  <w:style w:type="paragraph" w:customStyle="1" w:styleId="219">
    <w:name w:val="1博创正文"/>
    <w:basedOn w:val="1"/>
    <w:autoRedefine/>
    <w:qFormat/>
    <w:uiPriority w:val="0"/>
    <w:rPr>
      <w:kern w:val="0"/>
    </w:rPr>
  </w:style>
  <w:style w:type="paragraph" w:customStyle="1" w:styleId="220">
    <w:name w:val="范表头"/>
    <w:basedOn w:val="1"/>
    <w:qFormat/>
    <w:uiPriority w:val="0"/>
    <w:pPr>
      <w:snapToGrid w:val="0"/>
      <w:spacing w:before="50" w:beforeLines="50" w:line="240" w:lineRule="auto"/>
      <w:ind w:firstLine="0" w:firstLineChars="0"/>
      <w:jc w:val="center"/>
    </w:pPr>
    <w:rPr>
      <w:b/>
      <w:sz w:val="21"/>
      <w:szCs w:val="21"/>
    </w:rPr>
  </w:style>
  <w:style w:type="paragraph" w:customStyle="1" w:styleId="221">
    <w:name w:val="报告表格内容"/>
    <w:basedOn w:val="1"/>
    <w:next w:val="1"/>
    <w:qFormat/>
    <w:uiPriority w:val="0"/>
    <w:pPr>
      <w:widowControl/>
      <w:spacing w:line="240" w:lineRule="auto"/>
      <w:ind w:firstLine="0" w:firstLineChars="0"/>
      <w:jc w:val="center"/>
    </w:pPr>
    <w:rPr>
      <w:kern w:val="0"/>
      <w:sz w:val="21"/>
    </w:rPr>
  </w:style>
  <w:style w:type="paragraph" w:customStyle="1" w:styleId="222">
    <w:name w:val="表表表表"/>
    <w:basedOn w:val="56"/>
    <w:qFormat/>
    <w:uiPriority w:val="0"/>
    <w:pPr>
      <w:adjustRightInd/>
      <w:snapToGrid w:val="0"/>
      <w:spacing w:line="240" w:lineRule="auto"/>
    </w:pPr>
    <w:rPr>
      <w:sz w:val="21"/>
      <w:szCs w:val="21"/>
    </w:rPr>
  </w:style>
  <w:style w:type="paragraph" w:customStyle="1" w:styleId="223">
    <w:name w:val="正文内容"/>
    <w:basedOn w:val="1"/>
    <w:autoRedefine/>
    <w:qFormat/>
    <w:uiPriority w:val="0"/>
    <w:pPr>
      <w:ind w:firstLine="200"/>
    </w:pPr>
  </w:style>
  <w:style w:type="paragraph" w:customStyle="1" w:styleId="224">
    <w:name w:val="2段落标题"/>
    <w:basedOn w:val="192"/>
    <w:autoRedefine/>
    <w:unhideWhenUsed/>
    <w:qFormat/>
    <w:uiPriority w:val="0"/>
    <w:pPr>
      <w:spacing w:before="25" w:beforeLines="25" w:line="360" w:lineRule="auto"/>
      <w:ind w:firstLine="561" w:firstLineChars="200"/>
      <w:jc w:val="left"/>
    </w:pPr>
    <w:rPr>
      <w:b w:val="0"/>
    </w:rPr>
  </w:style>
  <w:style w:type="paragraph" w:customStyle="1" w:styleId="225">
    <w:name w:val="新表格"/>
    <w:basedOn w:val="3"/>
    <w:qFormat/>
    <w:uiPriority w:val="0"/>
    <w:pPr>
      <w:snapToGrid w:val="0"/>
      <w:ind w:firstLine="0"/>
      <w:jc w:val="center"/>
    </w:pPr>
    <w:rPr>
      <w:rFonts w:ascii="宋体" w:hAnsi="宋体"/>
      <w:kern w:val="0"/>
      <w:sz w:val="21"/>
      <w:szCs w:val="21"/>
    </w:rPr>
  </w:style>
  <w:style w:type="paragraph" w:customStyle="1" w:styleId="226">
    <w:name w:val="正文_19"/>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27">
    <w:name w:val="Table Text"/>
    <w:basedOn w:val="1"/>
    <w:semiHidden/>
    <w:qFormat/>
    <w:uiPriority w:val="0"/>
    <w:rPr>
      <w:rFonts w:ascii="仿宋" w:hAnsi="仿宋" w:eastAsia="仿宋" w:cs="仿宋"/>
      <w:lang w:eastAsia="en-US"/>
    </w:rPr>
  </w:style>
  <w:style w:type="paragraph" w:customStyle="1" w:styleId="228">
    <w:name w:val="2 博创 表格标题"/>
    <w:basedOn w:val="1"/>
    <w:unhideWhenUsed/>
    <w:qFormat/>
    <w:uiPriority w:val="0"/>
    <w:pPr>
      <w:autoSpaceDE w:val="0"/>
      <w:autoSpaceDN w:val="0"/>
      <w:spacing w:line="240" w:lineRule="auto"/>
      <w:ind w:firstLine="0" w:firstLineChars="0"/>
      <w:jc w:val="center"/>
    </w:pPr>
    <w:rPr>
      <w:rFonts w:hint="eastAsia"/>
      <w:b/>
      <w:snapToGrid w:val="0"/>
    </w:rPr>
  </w:style>
  <w:style w:type="paragraph" w:customStyle="1" w:styleId="229">
    <w:name w:val="3 博创表格内容"/>
    <w:basedOn w:val="1"/>
    <w:unhideWhenUsed/>
    <w:qFormat/>
    <w:uiPriority w:val="0"/>
    <w:pPr>
      <w:autoSpaceDE w:val="0"/>
      <w:autoSpaceDN w:val="0"/>
      <w:spacing w:line="240" w:lineRule="auto"/>
      <w:ind w:firstLine="0" w:firstLineChars="0"/>
      <w:jc w:val="center"/>
    </w:pPr>
    <w:rPr>
      <w:rFonts w:hint="eastAsia"/>
      <w:kern w:val="0"/>
      <w:sz w:val="21"/>
      <w:szCs w:val="20"/>
    </w:rPr>
  </w:style>
  <w:style w:type="table" w:customStyle="1" w:styleId="230">
    <w:name w:val="样式14"/>
    <w:basedOn w:val="42"/>
    <w:autoRedefine/>
    <w:qFormat/>
    <w:uiPriority w:val="99"/>
    <w:pPr>
      <w:jc w:val="center"/>
    </w:pPr>
    <w:rPr>
      <w:rFonts w:ascii="Calibri" w:hAnsi="Calibri"/>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rPr>
      <w:jc w:val="center"/>
    </w:trPr>
    <w:tcPr>
      <w:shd w:val="clear" w:color="auto" w:fill="auto"/>
      <w:vAlign w:val="center"/>
    </w:tcPr>
  </w:style>
  <w:style w:type="paragraph" w:customStyle="1" w:styleId="231">
    <w:name w:val="表头1111111122222"/>
    <w:basedOn w:val="3"/>
    <w:qFormat/>
    <w:uiPriority w:val="0"/>
    <w:pPr>
      <w:spacing w:before="156" w:beforeLines="50" w:after="156" w:afterLines="50"/>
      <w:ind w:firstLine="0"/>
      <w:jc w:val="center"/>
    </w:pPr>
    <w:rPr>
      <w:rFonts w:eastAsia="黑体"/>
      <w:szCs w:val="24"/>
      <w:lang w:val="zh-CN"/>
    </w:rPr>
  </w:style>
  <w:style w:type="paragraph" w:customStyle="1" w:styleId="232">
    <w:name w:val="段"/>
    <w:qFormat/>
    <w:uiPriority w:val="0"/>
    <w:pPr>
      <w:autoSpaceDE w:val="0"/>
      <w:autoSpaceDN w:val="0"/>
      <w:ind w:firstLine="200" w:firstLineChars="200"/>
      <w:jc w:val="both"/>
    </w:pPr>
    <w:rPr>
      <w:rFonts w:ascii="宋体" w:hAnsi="Calibri" w:eastAsia="宋体" w:cs="Times New Roman"/>
      <w:sz w:val="21"/>
      <w:szCs w:val="22"/>
      <w:lang w:val="zh-CN" w:eastAsia="zh-CN" w:bidi="ar-SA"/>
    </w:rPr>
  </w:style>
  <w:style w:type="paragraph" w:customStyle="1" w:styleId="233">
    <w:name w:val="1博创表格标题"/>
    <w:basedOn w:val="1"/>
    <w:qFormat/>
    <w:uiPriority w:val="0"/>
    <w:pPr>
      <w:spacing w:line="240" w:lineRule="auto"/>
      <w:ind w:firstLine="0" w:firstLineChars="0"/>
      <w:jc w:val="center"/>
    </w:pPr>
    <w:rPr>
      <w:b/>
    </w:rPr>
  </w:style>
  <w:style w:type="paragraph" w:customStyle="1" w:styleId="234">
    <w:name w:val="1博创表格"/>
    <w:basedOn w:val="1"/>
    <w:qFormat/>
    <w:uiPriority w:val="0"/>
    <w:pPr>
      <w:spacing w:line="240" w:lineRule="auto"/>
      <w:ind w:firstLine="0" w:firstLineChars="0"/>
      <w:jc w:val="center"/>
    </w:pPr>
    <w:rPr>
      <w:kern w:val="0"/>
      <w:sz w:val="21"/>
      <w:szCs w:val="21"/>
    </w:rPr>
  </w:style>
  <w:style w:type="paragraph" w:customStyle="1" w:styleId="235">
    <w:name w:val="表"/>
    <w:basedOn w:val="38"/>
    <w:autoRedefine/>
    <w:qFormat/>
    <w:uiPriority w:val="0"/>
    <w:pPr>
      <w:keepNext/>
      <w:spacing w:before="120" w:after="60" w:line="560" w:lineRule="exact"/>
      <w:ind w:left="200" w:leftChars="200" w:firstLine="425"/>
      <w:jc w:val="center"/>
    </w:pPr>
    <w:rPr>
      <w:rFonts w:eastAsia="楷体_GB2312"/>
      <w:kern w:val="0"/>
      <w:sz w:val="28"/>
    </w:rPr>
  </w:style>
  <w:style w:type="paragraph" w:customStyle="1" w:styleId="236">
    <w:name w:val="Revision"/>
    <w:hidden/>
    <w:semiHidden/>
    <w:qFormat/>
    <w:uiPriority w:val="99"/>
    <w:rPr>
      <w:rFonts w:ascii="Times New Roman" w:hAnsi="Times New Roman" w:eastAsia="宋体" w:cs="Times New Roman"/>
      <w:kern w:val="2"/>
      <w:sz w:val="24"/>
      <w:szCs w:val="24"/>
      <w:lang w:val="en-US" w:eastAsia="zh-CN" w:bidi="ar-SA"/>
    </w:rPr>
  </w:style>
  <w:style w:type="paragraph" w:customStyle="1" w:styleId="237">
    <w:name w:val="一级标题"/>
    <w:basedOn w:val="1"/>
    <w:qFormat/>
    <w:uiPriority w:val="0"/>
    <w:pPr>
      <w:widowControl/>
      <w:ind w:firstLine="539"/>
      <w:jc w:val="left"/>
    </w:pPr>
    <w:rPr>
      <w:rFonts w:ascii="宋体" w:hAnsi="宋体" w:eastAsia="黑体" w:cs="宋体"/>
      <w:kern w:val="0"/>
      <w:sz w:val="28"/>
    </w:rPr>
  </w:style>
  <w:style w:type="paragraph" w:customStyle="1" w:styleId="238">
    <w:name w:val="3表格"/>
    <w:basedOn w:val="1"/>
    <w:qFormat/>
    <w:uiPriority w:val="0"/>
    <w:pPr>
      <w:widowControl/>
      <w:jc w:val="center"/>
    </w:pPr>
    <w:rPr>
      <w:szCs w:val="21"/>
    </w:rPr>
  </w:style>
  <w:style w:type="paragraph" w:customStyle="1" w:styleId="239">
    <w:name w:val="睿柏报告表内容"/>
    <w:basedOn w:val="1"/>
    <w:qFormat/>
    <w:uiPriority w:val="0"/>
    <w:pPr>
      <w:spacing w:line="400" w:lineRule="exact"/>
      <w:ind w:firstLine="720" w:firstLineChars="200"/>
      <w:jc w:val="left"/>
    </w:pPr>
    <w:rPr>
      <w:rFonts w:hint="default" w:ascii="Times New Roman" w:hAnsi="Times New Roman" w:eastAsia="宋体"/>
      <w:sz w:val="21"/>
    </w:rPr>
  </w:style>
  <w:style w:type="paragraph" w:customStyle="1" w:styleId="240">
    <w:name w:val="表格文本"/>
    <w:basedOn w:val="1"/>
    <w:qFormat/>
    <w:uiPriority w:val="0"/>
    <w:pPr>
      <w:jc w:val="center"/>
    </w:pPr>
    <w:rPr>
      <w:szCs w:val="22"/>
    </w:rPr>
  </w:style>
  <w:style w:type="paragraph" w:customStyle="1" w:styleId="241">
    <w:name w:val="列出段落"/>
    <w:basedOn w:val="1"/>
    <w:qFormat/>
    <w:uiPriority w:val="0"/>
    <w:pPr>
      <w:ind w:firstLine="420" w:firstLineChars="200"/>
    </w:pPr>
  </w:style>
  <w:style w:type="paragraph" w:customStyle="1" w:styleId="242">
    <w:name w:val="表内字"/>
    <w:basedOn w:val="1"/>
    <w:qFormat/>
    <w:uiPriority w:val="0"/>
    <w:pPr>
      <w:spacing w:line="320" w:lineRule="exact"/>
      <w:jc w:val="center"/>
    </w:pPr>
    <w:rPr>
      <w:kern w:val="0"/>
      <w:szCs w:val="21"/>
    </w:rPr>
  </w:style>
  <w:style w:type="character" w:customStyle="1" w:styleId="243">
    <w:name w:val="font01"/>
    <w:basedOn w:val="44"/>
    <w:qFormat/>
    <w:uiPriority w:val="0"/>
    <w:rPr>
      <w:rFonts w:hint="default" w:ascii="Times New Roman" w:hAnsi="Times New Roman" w:cs="Times New Roman"/>
      <w:color w:val="000000"/>
      <w:sz w:val="21"/>
      <w:szCs w:val="21"/>
      <w:u w:val="none"/>
    </w:rPr>
  </w:style>
  <w:style w:type="paragraph" w:customStyle="1" w:styleId="244">
    <w:name w:val="【表头】"/>
    <w:basedOn w:val="1"/>
    <w:qFormat/>
    <w:uiPriority w:val="0"/>
    <w:pPr>
      <w:spacing w:line="240" w:lineRule="auto"/>
      <w:jc w:val="center"/>
    </w:pPr>
    <w:rPr>
      <w:b/>
      <w:szCs w:val="24"/>
    </w:rPr>
  </w:style>
  <w:style w:type="paragraph" w:customStyle="1" w:styleId="245">
    <w:name w:val="表格内"/>
    <w:basedOn w:val="1"/>
    <w:qFormat/>
    <w:uiPriority w:val="0"/>
    <w:pPr>
      <w:widowControl/>
      <w:adjustRightInd w:val="0"/>
      <w:snapToGrid w:val="0"/>
      <w:spacing w:after="200" w:line="360" w:lineRule="exact"/>
      <w:jc w:val="center"/>
    </w:pPr>
    <w:rPr>
      <w:rFonts w:eastAsia="微软雅黑"/>
      <w:snapToGrid w:val="0"/>
      <w:kern w:val="0"/>
      <w:sz w:val="22"/>
      <w:szCs w:val="21"/>
    </w:rPr>
  </w:style>
  <w:style w:type="paragraph" w:customStyle="1" w:styleId="246">
    <w:name w:val="..表格内容"/>
    <w:qFormat/>
    <w:uiPriority w:val="0"/>
    <w:pPr>
      <w:widowControl w:val="0"/>
      <w:jc w:val="center"/>
    </w:pPr>
    <w:rPr>
      <w:rFonts w:ascii="Times New Roman" w:hAnsi="宋体" w:eastAsia="宋体" w:cs="Times New Roman"/>
      <w:sz w:val="21"/>
      <w:szCs w:val="24"/>
      <w:lang w:val="en-US" w:eastAsia="zh-CN" w:bidi="ar-SA"/>
    </w:rPr>
  </w:style>
  <w:style w:type="paragraph" w:customStyle="1" w:styleId="247">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248">
    <w:name w:val="+正文"/>
    <w:basedOn w:val="1"/>
    <w:qFormat/>
    <w:uiPriority w:val="0"/>
    <w:pPr>
      <w:spacing w:line="360" w:lineRule="auto"/>
      <w:ind w:firstLine="200" w:firstLineChars="200"/>
    </w:pPr>
    <w:rPr>
      <w:rFonts w:hAnsi="宋体"/>
      <w:color w:val="FF0000"/>
      <w:sz w:val="24"/>
      <w:szCs w:val="28"/>
    </w:rPr>
  </w:style>
  <w:style w:type="paragraph" w:customStyle="1" w:styleId="249">
    <w:name w:val="2级标题"/>
    <w:basedOn w:val="1"/>
    <w:next w:val="200"/>
    <w:qFormat/>
    <w:uiPriority w:val="0"/>
    <w:pPr>
      <w:adjustRightInd w:val="0"/>
      <w:snapToGrid w:val="0"/>
      <w:spacing w:line="400" w:lineRule="exact"/>
      <w:jc w:val="both"/>
    </w:pPr>
    <w:rPr>
      <w:rFonts w:ascii="Times New Roman" w:hAnsi="Times New Roman" w:eastAsia="黑体"/>
      <w:b/>
      <w:kern w:val="2"/>
      <w:sz w:val="24"/>
      <w:lang w:eastAsia="zh-CN" w:bidi="zh-CN"/>
    </w:rPr>
  </w:style>
  <w:style w:type="paragraph" w:customStyle="1" w:styleId="250">
    <w:name w:val="3级标题"/>
    <w:basedOn w:val="200"/>
    <w:qFormat/>
    <w:uiPriority w:val="1"/>
    <w:rPr>
      <w:b/>
    </w:rPr>
  </w:style>
  <w:style w:type="paragraph" w:customStyle="1" w:styleId="251">
    <w:name w:val="lh-1级标题--报告表"/>
    <w:next w:val="1"/>
    <w:qFormat/>
    <w:uiPriority w:val="0"/>
    <w:pPr>
      <w:keepNext/>
      <w:pageBreakBefore/>
      <w:numPr>
        <w:ilvl w:val="0"/>
        <w:numId w:val="3"/>
      </w:numPr>
      <w:spacing w:line="360" w:lineRule="auto"/>
      <w:outlineLvl w:val="0"/>
    </w:pPr>
    <w:rPr>
      <w:rFonts w:ascii="Times New Roman" w:hAnsi="Times New Roman" w:eastAsia="宋体" w:cs="Times New Roman"/>
      <w:b/>
      <w:bCs/>
      <w:snapToGrid w:val="0"/>
      <w:sz w:val="24"/>
      <w:szCs w:val="44"/>
      <w:lang w:val="en-US" w:eastAsia="zh-CN" w:bidi="ar-SA"/>
    </w:rPr>
  </w:style>
  <w:style w:type="paragraph" w:customStyle="1" w:styleId="252">
    <w:name w:val="~~~正文"/>
    <w:basedOn w:val="1"/>
    <w:qFormat/>
    <w:uiPriority w:val="0"/>
    <w:pPr>
      <w:widowControl/>
      <w:spacing w:line="360" w:lineRule="auto"/>
      <w:ind w:firstLine="200" w:firstLineChars="200"/>
      <w:jc w:val="left"/>
    </w:pPr>
    <w:rPr>
      <w:rFonts w:ascii="Calibri" w:hAnsi="Calibri"/>
      <w:sz w:val="24"/>
    </w:rPr>
  </w:style>
  <w:style w:type="paragraph" w:customStyle="1" w:styleId="253">
    <w:name w:val="表格正文"/>
    <w:basedOn w:val="217"/>
    <w:qFormat/>
    <w:uiPriority w:val="0"/>
    <w:pPr>
      <w:wordWrap w:val="0"/>
    </w:pPr>
    <w:rPr>
      <w:b w:val="0"/>
    </w:rPr>
  </w:style>
  <w:style w:type="paragraph" w:customStyle="1" w:styleId="254">
    <w:name w:val="环评标题"/>
    <w:basedOn w:val="54"/>
    <w:qFormat/>
    <w:uiPriority w:val="0"/>
    <w:pPr>
      <w:ind w:firstLine="0" w:firstLineChars="0"/>
    </w:pPr>
    <w:rPr>
      <w:b/>
    </w:rPr>
  </w:style>
  <w:style w:type="paragraph" w:customStyle="1" w:styleId="255">
    <w:name w:val="正文新"/>
    <w:basedOn w:val="1"/>
    <w:qFormat/>
    <w:uiPriority w:val="0"/>
    <w:pPr>
      <w:spacing w:line="460" w:lineRule="exact"/>
      <w:ind w:firstLine="480" w:firstLineChars="200"/>
    </w:pPr>
    <w:rPr>
      <w:sz w:val="24"/>
    </w:rPr>
  </w:style>
  <w:style w:type="character" w:customStyle="1" w:styleId="256">
    <w:name w:val="font21"/>
    <w:basedOn w:val="44"/>
    <w:qFormat/>
    <w:uiPriority w:val="0"/>
    <w:rPr>
      <w:rFonts w:ascii="Calibri" w:hAnsi="Calibri" w:cs="Calibri"/>
      <w:b/>
      <w:bCs/>
      <w:color w:val="000000"/>
      <w:sz w:val="16"/>
      <w:szCs w:val="16"/>
      <w:u w:val="none"/>
    </w:rPr>
  </w:style>
  <w:style w:type="character" w:customStyle="1" w:styleId="257">
    <w:name w:val="font11"/>
    <w:basedOn w:val="44"/>
    <w:qFormat/>
    <w:uiPriority w:val="0"/>
    <w:rPr>
      <w:rFonts w:hint="eastAsia" w:ascii="宋体" w:hAnsi="宋体" w:eastAsia="宋体" w:cs="宋体"/>
      <w:color w:val="000000"/>
      <w:sz w:val="16"/>
      <w:szCs w:val="16"/>
      <w:u w:val="none"/>
    </w:rPr>
  </w:style>
  <w:style w:type="paragraph" w:customStyle="1" w:styleId="258">
    <w:name w:val="-正文"/>
    <w:basedOn w:val="1"/>
    <w:qFormat/>
    <w:uiPriority w:val="0"/>
    <w:pPr>
      <w:widowControl w:val="0"/>
      <w:spacing w:line="480" w:lineRule="exact"/>
      <w:ind w:firstLine="200" w:firstLineChars="200"/>
      <w:jc w:val="both"/>
    </w:pPr>
    <w:rPr>
      <w:rFonts w:eastAsia="宋体" w:cs="宋体"/>
      <w:kern w:val="2"/>
      <w:sz w:val="24"/>
      <w:lang w:val="en-US" w:eastAsia="zh-CN" w:bidi="ar-SA"/>
    </w:rPr>
  </w:style>
  <w:style w:type="character" w:customStyle="1" w:styleId="259">
    <w:name w:val="表头字体 Char"/>
    <w:link w:val="260"/>
    <w:qFormat/>
    <w:uiPriority w:val="0"/>
  </w:style>
  <w:style w:type="paragraph" w:customStyle="1" w:styleId="260">
    <w:name w:val="表头字体"/>
    <w:basedOn w:val="1"/>
    <w:link w:val="259"/>
    <w:qFormat/>
    <w:uiPriority w:val="0"/>
    <w:pPr>
      <w:spacing w:line="360" w:lineRule="auto"/>
      <w:jc w:val="center"/>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0.png"/><Relationship Id="rId35" Type="http://schemas.openxmlformats.org/officeDocument/2006/relationships/image" Target="media/image19.png"/><Relationship Id="rId34" Type="http://schemas.openxmlformats.org/officeDocument/2006/relationships/image" Target="media/image18.jpeg"/><Relationship Id="rId33" Type="http://schemas.openxmlformats.org/officeDocument/2006/relationships/image" Target="media/image17.jpe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footnotes" Target="footnotes.xml"/><Relationship Id="rId29" Type="http://schemas.openxmlformats.org/officeDocument/2006/relationships/image" Target="media/image13.wmf"/><Relationship Id="rId28" Type="http://schemas.openxmlformats.org/officeDocument/2006/relationships/image" Target="media/image12.wmf"/><Relationship Id="rId27" Type="http://schemas.openxmlformats.org/officeDocument/2006/relationships/oleObject" Target="embeddings/oleObject7.bin"/><Relationship Id="rId26" Type="http://schemas.openxmlformats.org/officeDocument/2006/relationships/image" Target="media/image11.wmf"/><Relationship Id="rId25" Type="http://schemas.openxmlformats.org/officeDocument/2006/relationships/oleObject" Target="embeddings/oleObject6.bin"/><Relationship Id="rId24" Type="http://schemas.openxmlformats.org/officeDocument/2006/relationships/image" Target="media/image10.wmf"/><Relationship Id="rId23" Type="http://schemas.openxmlformats.org/officeDocument/2006/relationships/oleObject" Target="embeddings/oleObject5.bin"/><Relationship Id="rId22" Type="http://schemas.openxmlformats.org/officeDocument/2006/relationships/image" Target="media/image9.wmf"/><Relationship Id="rId21" Type="http://schemas.openxmlformats.org/officeDocument/2006/relationships/oleObject" Target="embeddings/oleObject4.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7.png"/><Relationship Id="rId17" Type="http://schemas.openxmlformats.org/officeDocument/2006/relationships/image" Target="media/image6.wmf"/><Relationship Id="rId16" Type="http://schemas.openxmlformats.org/officeDocument/2006/relationships/oleObject" Target="embeddings/oleObject2.bin"/><Relationship Id="rId15" Type="http://schemas.openxmlformats.org/officeDocument/2006/relationships/image" Target="media/image5.wmf"/><Relationship Id="rId14" Type="http://schemas.openxmlformats.org/officeDocument/2006/relationships/oleObject" Target="embeddings/oleObject1.bin"/><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91</Pages>
  <Words>33900</Words>
  <Characters>36084</Characters>
  <Lines>1</Lines>
  <Paragraphs>1</Paragraphs>
  <TotalTime>88</TotalTime>
  <ScaleCrop>false</ScaleCrop>
  <LinksUpToDate>false</LinksUpToDate>
  <CharactersWithSpaces>36172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2024-11-03T14:35:00Z</dcterms:created>
  <dc:creator>lhj</dc:creator>
  <cp:lastModifiedBy>15393579524</cp:lastModifiedBy>
  <cp:lastPrinted>2025-09-02T03:22:00Z</cp:lastPrinted>
  <dcterms:modified xsi:type="dcterms:W3CDTF">2026-08-26T05:08:22Z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4D0AEE802E984AC68F3CAFC5942CEB2B_13</vt:lpwstr>
  </property>
  <property fmtid="{D5CDD505-2E9C-101B-9397-08002B2CF9AE}" pid="4" name="KSOTemplateDocerSaveRecord">
    <vt:lpwstr>eyJoZGlkIjoiMjM5MzZjNWVkODllMDA2ZTgwYTVjNjZjYmJkMTlmY2IiLCJ1c2VySWQiOiIxMDA2MDY4NDU0In0=</vt:lpwstr>
  </property>
</Properties>
</file>